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  <Override PartName="/word/media/rId36.pdf" ContentType="application/pdf"/>
  <Override PartName="/word/media/rId45.pdf" ContentType="application/pdf"/>
  <Override PartName="/word/media/rId11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frame, per-level ribs and femora. Classes for a sixth lumbar vertebra, a thirteenth thoracic</w:t>
      </w:r>
      <w:r>
        <w:t xml:space="preserve"> </w:t>
      </w:r>
      <w:r>
        <w:t xml:space="preserve">vertebra, a separate first sacral segment, and lumbar ribs make the set expressive enough for anatomical anomalies.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 on the acquisition with highest bone coverage,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loader; archived at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Testing whether a network can classify a vertebra from</w:t>
      </w:r>
      <w:r>
        <w:t xml:space="preserve"> </w:t>
      </w:r>
      <w:r>
        <w:t xml:space="preserve">local features alone; updating textbook morphometry drawn from small cadaveric series;</w:t>
      </w:r>
      <w:r>
        <w:t xml:space="preserve"> </w:t>
      </w:r>
      <w:r>
        <w:t xml:space="preserve">spinopelvic assessment at the lumbosacral interface; variant studies; opportunistic</w:t>
      </w:r>
      <w:r>
        <w:t xml:space="preserve"> </w:t>
      </w:r>
      <w:r>
        <w:t xml:space="preserve">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</w:t>
      </w:r>
      <w:r>
        <w:t xml:space="preserve"> </w:t>
      </w:r>
      <w:r>
        <w:t xml:space="preserve">angles supine; no held-out test set; the rib layer is a triaged-review pseudolabel;</w:t>
      </w:r>
      <w:r>
        <w:t xml:space="preserve"> </w:t>
      </w:r>
      <w:r>
        <w:t xml:space="preserve">Castellvi grades assigned by two radiology resident physicians.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spine commonly carries seven cervical, twelve thoracic and five lumbar vertebrae, and a</w:t>
      </w:r>
      <w:r>
        <w:t xml:space="preserve"> </w:t>
      </w:r>
      <w:r>
        <w:t xml:space="preserve">vertebra is identified by where it falls in that sequence. Transitional variants sit at the</w:t>
      </w:r>
      <w:r>
        <w:t xml:space="preserve"> </w:t>
      </w:r>
      <w:r>
        <w:t xml:space="preserve">two ends of the lumbar column — the thoracolumbar transitional vertebra (TLTV) above, the</w:t>
      </w:r>
      <w:r>
        <w:t xml:space="preserve"> </w:t>
      </w:r>
      <w:r>
        <w:t xml:space="preserve">lumbosacral transitional vertebra (LSTV) below — and they disturb identification in two</w:t>
      </w:r>
      <w:r>
        <w:t xml:space="preserve"> </w:t>
      </w:r>
      <w:r>
        <w:t xml:space="preserve">ways at once. They change what the border vertebra and its ribs</w:t>
      </w:r>
      <w:r>
        <w:t xml:space="preserve"> </w:t>
      </w:r>
      <w:r>
        <w:rPr>
          <w:i/>
          <w:iCs/>
        </w:rPr>
        <w:t xml:space="preserve">look like</w:t>
      </w:r>
      <w:r>
        <w:t xml:space="preserve">: a</w:t>
      </w:r>
      <w:r>
        <w:t xml:space="preserve"> </w:t>
      </w:r>
      <w:r>
        <w:t xml:space="preserve">thoracolumbar border vertebra may carry a full rib, a hypoplastic stump, or none at all, and</w:t>
      </w:r>
      <w:r>
        <w:t xml:space="preserve"> </w:t>
      </w:r>
      <w:r>
        <w:t xml:space="preserve">a lumbosacral one may be partly or completely assimilated to the sacrum, with an anteriorly</w:t>
      </w:r>
      <w:r>
        <w:t xml:space="preserve"> </w:t>
      </w:r>
      <w:r>
        <w:t xml:space="preserve">wedged body, a reduced disc beneath it and hypoplastic facet joints, or conversely separated</w:t>
      </w:r>
      <w:r>
        <w:t xml:space="preserve"> </w:t>
      </w:r>
      <w:r>
        <w:t xml:space="preserve">from it with a squared body, lumbar-type facets and a full-height disc </w:t>
      </w:r>
      <w:r>
        <w:t xml:space="preserve">.</w:t>
      </w:r>
      <w:r>
        <w:t xml:space="preserve"> </w:t>
      </w:r>
      <w:r>
        <w:t xml:space="preserve">They also change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vertebrae each region contains — eleven or thirteen</w:t>
      </w:r>
      <w:r>
        <w:t xml:space="preserve"> </w:t>
      </w:r>
      <w:r>
        <w:t xml:space="preserve">thoracic, four or six lumbar.</w:t>
      </w:r>
    </w:p>
    <w:p>
      <w:pPr>
        <w:pStyle w:val="BodyText"/>
      </w:pPr>
      <w:r>
        <w:t xml:space="preserve">Either change alone would be tractable. Together they make it difficult to state definitively</w:t>
      </w:r>
      <w:r>
        <w:t xml:space="preserve"> </w:t>
      </w:r>
      <w:r>
        <w:t xml:space="preserve">what any vertebra at these borders</w:t>
      </w:r>
      <w:r>
        <w:t xml:space="preserve"> </w:t>
      </w:r>
      <w:r>
        <w:rPr>
          <w:i/>
          <w:iCs/>
        </w:rPr>
        <w:t xml:space="preserve">is</w:t>
      </w:r>
      <w:r>
        <w:t xml:space="preserve">. Four rib-free vertebrae above the sacrum may mean</w:t>
      </w:r>
      <w:r>
        <w:t xml:space="preserve"> </w:t>
      </w:r>
      <w:r>
        <w:t xml:space="preserve">an L1 bearing a lumbar rib or an L5 assimilated to it; six may mean a true sixth lumbar</w:t>
      </w:r>
      <w:r>
        <w:t xml:space="preserve"> </w:t>
      </w:r>
      <w:r>
        <w:t xml:space="preserve">vertebra or a T12 whose ribs are aplastic. Each pair yields the same count, and the</w:t>
      </w:r>
      <w:r>
        <w:t xml:space="preserve"> </w:t>
      </w:r>
      <w:r>
        <w:t xml:space="preserve">morphology that would separate the two readings is not decisive to a human reader in every</w:t>
      </w:r>
      <w:r>
        <w:t xml:space="preserve"> </w:t>
      </w:r>
      <w:r>
        <w:t xml:space="preserve">case. Whether it nonetheless differs enough for a learned classifier to separate them, or at</w:t>
      </w:r>
      <w:r>
        <w:t xml:space="preserve"> </w:t>
      </w:r>
      <w:r>
        <w:t xml:space="preserve">least to assign each reading a probability, is the question this release is built to</w:t>
      </w:r>
      <w:r>
        <w:t xml:space="preserve"> </w:t>
      </w:r>
      <w:r>
        <w:t xml:space="preserve">support. Absent that, what remains is the sequence — conventionally established by</w:t>
      </w:r>
      <w:r>
        <w:t xml:space="preserve"> </w:t>
      </w:r>
      <w:r>
        <w:t xml:space="preserve">counting downward from C2, the reference standard for numeration </w:t>
      </w:r>
      <w:r>
        <w:t xml:space="preserve">, and</w:t>
      </w:r>
      <w:r>
        <w:t xml:space="preserve"> </w:t>
      </w:r>
      <w:r>
        <w:t xml:space="preserve">unavailable in any spine-limited acquisition. LSTV is common,</w:t>
      </w:r>
      <w:r>
        <w:t xml:space="preserve"> </w:t>
      </w:r>
      <w:r>
        <w:t xml:space="preserve">reported between 4% and 30% depending on definition, and wrong-level surgery is its most</w:t>
      </w:r>
      <w:r>
        <w:t xml:space="preserve"> </w:t>
      </w:r>
      <w:r>
        <w:t xml:space="preserve">serious consequence.</w:t>
      </w:r>
    </w:p>
    <w:p>
      <w:pPr>
        <w:pStyle w:val="BodyText"/>
      </w:pPr>
      <w:r>
        <w:t xml:space="preserve">Existing public collections do not make this tractable, and not because they are small</w:t>
      </w:r>
      <w:r>
        <w:t xml:space="preserve"> </w:t>
      </w:r>
      <w:r>
        <w:t xml:space="preserve">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): the spine collections omit the pelvis, the pelvic ones carry no</w:t>
      </w:r>
      <w:r>
        <w:t xml:space="preserve"> </w:t>
      </w:r>
      <w:r>
        <w:t xml:space="preserve">vertebral count, and the whole-body scheme, TotalSegmentator, has neither an L6 class nor a class for a rib</w:t>
      </w:r>
      <w:r>
        <w:t xml:space="preserve"> </w:t>
      </w:r>
      <w:r>
        <w:t xml:space="preserve">borne by a lumbar vertebra, so a six-lumbar spine cannot be written down in them at any</w:t>
      </w:r>
      <w:r>
        <w:t xml:space="preserve"> </w:t>
      </w:r>
      <w:r>
        <w:t xml:space="preserve">segmentation quality. VerSe </w:t>
      </w:r>
      <w:r>
        <w:t xml:space="preserve"> </w:t>
      </w:r>
      <w:r>
        <w:t xml:space="preserve">is the instructive case, and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(b) gives it: a collection can enrich for anatomical variants</w:t>
      </w:r>
      <w:r>
        <w:t xml:space="preserve"> </w:t>
      </w:r>
      <w:r>
        <w:t xml:space="preserve">deliberately, grade them, and still be unable to represent the ones it grades.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Citations should</w:t>
      </w:r>
      <w:r>
        <w:t xml:space="preserve"> </w:t>
      </w:r>
      <w:r>
        <w:t xml:space="preserve">use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15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</w:t>
      </w:r>
    </w:p>
    <w:p>
      <w:pPr>
        <w:pStyle w:val="BodyText"/>
      </w:pPr>
      <w:r>
        <w:rPr>
          <w:i/>
          <w:iCs/>
        </w:rPr>
        <w:t xml:space="preserve">And the morphology may be local rather than global.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A thoracic vertebra differs in shape from a lumbar one — in the span of its</w:t>
      </w:r>
      <w:r>
        <w:t xml:space="preserve"> </w:t>
      </w:r>
      <w:r>
        <w:t xml:space="preserve">transverse processes relative to its body, in the proportions of its endplates and canal —</w:t>
      </w:r>
      <w:r>
        <w:t xml:space="preserve"> </w:t>
      </w:r>
      <w:r>
        <w:t xml:space="preserve">and if that difference holds at the boundary itself, the phenotype is decidable from the</w:t>
      </w:r>
      <w:r>
        <w:t xml:space="preserve"> </w:t>
      </w:r>
      <w:r>
        <w:t xml:space="preserve">vertebra in front of the reader without 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bookmarkStart w:id="14" w:name="fig:priorart"/>
    <w:p>
      <w:pPr>
        <w:pStyle w:val="CaptionedFigure"/>
      </w:pPr>
      <w:r>
        <w:drawing>
          <wp:inline>
            <wp:extent cx="5334000" cy="174734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_priorart.pdf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 CT collections at the lumbosacral junction. (a) Size, stated first</w:t>
      </w:r>
      <w:r>
        <w:t xml:space="preserve"> </w:t>
      </w:r>
      <w:r>
        <w:t xml:space="preserve">because it is the claim this dataset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make: three of the five comparators</w:t>
      </w:r>
      <w:r>
        <w:t xml:space="preserve"> </w:t>
      </w:r>
      <w:r>
        <w:t xml:space="preserve">carry more scans, and RibSeg v2 </w:t>
      </w:r>
      <w:r>
        <w:t xml:space="preserve"> </w:t>
      </w:r>
      <w:r>
        <w:t xml:space="preserve">labels more ribs. (b) What each published scheme can</w:t>
      </w:r>
      <w:r>
        <w:t xml:space="preserve"> </w:t>
      </w:r>
      <w:r>
        <w:rPr>
          <w:i/>
          <w:iCs/>
        </w:rPr>
        <w:t xml:space="preserve">represent</w:t>
      </w:r>
      <w:r>
        <w:t xml:space="preserve">, a property of its</w:t>
      </w:r>
      <w:r>
        <w:t xml:space="preserve"> </w:t>
      </w:r>
      <w:r>
        <w:t xml:space="preserve">class list rather than of its segmentation quality. VerSe is graded-but-excluding: it</w:t>
      </w:r>
      <w:r>
        <w:t xml:space="preserve"> </w:t>
      </w:r>
      <w:r>
        <w:t xml:space="preserve">applies the Castellvi classification and uses it to decide what to omit, leaving vertebrae</w:t>
      </w:r>
      <w:r>
        <w:t xml:space="preserve"> </w:t>
      </w:r>
      <w:r>
        <w:t xml:space="preserve">partially fused to the sacrum unsegmented </w:t>
      </w:r>
      <w:r>
        <w:t xml:space="preserve"> </w:t>
      </w:r>
      <w:r>
        <w:t xml:space="preserve">— 25 of the 33 graded</w:t>
      </w:r>
      <w:r>
        <w:t xml:space="preserve"> </w:t>
      </w:r>
      <w:r>
        <w:t xml:space="preserve">records here.</w:t>
      </w:r>
    </w:p>
    <w:bookmarkEnd w:id="14"/>
    <w:bookmarkEnd w:id="15"/>
    <w:bookmarkEnd w:id="16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7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is not a bookkeeping detail.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 prone and supine, often with more than one kernel, so one patient identifier</w:t>
      </w:r>
      <w:r>
        <w:t xml:space="preserve"> </w:t>
      </w:r>
      <w:r>
        <w:t xml:space="preserve">resolves to several volumes differing in posture, position, field of view and noise — and</w:t>
      </w:r>
      <w:r>
        <w:t xml:space="preserve"> </w:t>
      </w:r>
      <w:r>
        <w:t xml:space="preserve">an annotation carries a patient identifier and nothing finer.</w:t>
      </w:r>
    </w:p>
    <w:p>
      <w:pPr>
        <w:pStyle w:val="BodyText"/>
      </w:pPr>
      <w:r>
        <w:t xml:space="preserve">Placing it on the wrong volume of the same patient is not merely a displacement. The spine is</w:t>
      </w:r>
      <w:r>
        <w:t xml:space="preserve"> </w:t>
      </w:r>
      <w:r>
        <w:t xml:space="preserve">mildly deformable, and turning a patient from supine to prone alters lumbar lordosis and the</w:t>
      </w:r>
      <w:r>
        <w:t xml:space="preserve"> </w:t>
      </w:r>
      <w:r>
        <w:t xml:space="preserve">alignment of each segment against the next, so a vertebra moves by a different amount, and in</w:t>
      </w:r>
      <w:r>
        <w:t xml:space="preserve"> </w:t>
      </w:r>
      <w:r>
        <w:t xml:space="preserve">a different direction, from the one above it.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other, and no rigid realignment recovers them. In isolation such a mask</w:t>
      </w:r>
      <w:r>
        <w:t xml:space="preserve"> </w:t>
      </w:r>
      <w:r>
        <w:t xml:space="preserve">looks like competent work; it reveals itself only when overlaid on the image.</w:t>
      </w:r>
    </w:p>
    <w:p>
      <w:pPr>
        <w:pStyle w:val="BodyText"/>
      </w:pPr>
      <w:r>
        <w:t xml:space="preserve">The crosswalk (Fig. S1) therefore resolves each annotation first to a</w:t>
      </w:r>
      <w:r>
        <w:t xml:space="preserve"> </w:t>
      </w:r>
      <w:r>
        <w:t xml:space="preserve">patient and then, within that patient’s volumes only, to the series 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 by overlap with the</w:t>
      </w:r>
      <w:r>
        <w:t xml:space="preserve"> </w:t>
      </w:r>
      <w:r>
        <w:t xml:space="preserve">annotation mask. Bone rather than image similarity, because bone is what the annotation</w:t>
      </w:r>
      <w:r>
        <w:t xml:space="preserve"> </w:t>
      </w:r>
      <w:r>
        <w:t xml:space="preserve">describes — two acquisitions of one abdomen resemble each other everywhere except in where</w:t>
      </w:r>
      <w:r>
        <w:t xml:space="preserve"> </w:t>
      </w:r>
      <w:r>
        <w:t xml:space="preserve">the skeleton sits.</w:t>
      </w:r>
    </w:p>
    <w:bookmarkEnd w:id="17"/>
    <w:bookmarkStart w:id="18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independently, so they do not always land on the same</w:t>
      </w:r>
      <w:r>
        <w:t xml:space="preserve"> </w:t>
      </w:r>
      <w:r>
        <w:t xml:space="preserve">series. Of 802 records, 342 carry spine and pelvic annotations on the same volume</w:t>
      </w:r>
      <w:r>
        <w:t xml:space="preserve"> </w:t>
      </w:r>
      <w:r>
        <w:t xml:space="preserve">(</w:t>
      </w:r>
      <w:r>
        <w:rPr>
          <w:i/>
          <w:iCs/>
        </w:rPr>
        <w:t xml:space="preserve">fused</w:t>
      </w:r>
      <w:r>
        <w:t xml:space="preserve">), 351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, 89 are</w:t>
      </w:r>
      <w:r>
        <w:t xml:space="preserve"> </w:t>
      </w:r>
      <w:r>
        <w:rPr>
          <w:i/>
          <w:iCs/>
        </w:rPr>
        <w:t xml:space="preserve">spine_only</w:t>
      </w:r>
      <w:r>
        <w:t xml:space="preserve"> </w:t>
      </w:r>
      <w:r>
        <w:t xml:space="preserve">with no pelvic</w:t>
      </w:r>
      <w:r>
        <w:t xml:space="preserve"> </w:t>
      </w:r>
      <w:r>
        <w:t xml:space="preserve">annotation for that patient, and 20 are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. These four are the values of</w:t>
      </w:r>
      <w:r>
        <w:t xml:space="preserve"> </w:t>
      </w:r>
      <w:r>
        <w:t xml:space="preserve">the manifest’s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 </w:t>
      </w:r>
      <w:r>
        <w:t xml:space="preserve">field; the coarser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field folds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spine_only</w:t>
      </w:r>
      <w:r>
        <w:t xml:space="preserve">, so a user wanting the four types should read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. The split is the crosswalk’s</w:t>
      </w:r>
      <w:r>
        <w:t xml:space="preserve"> </w:t>
      </w:r>
      <w:r>
        <w:t xml:space="preserve">main finding rather than bookkeeping: in those separate records — nearly half of all</w:t>
      </w:r>
      <w:r>
        <w:t xml:space="preserve"> </w:t>
      </w:r>
      <w:r>
        <w:t xml:space="preserve">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person</w:t>
      </w:r>
      <w:r>
        <w:t xml:space="preserve">, and</w:t>
      </w:r>
      <w:r>
        <w:t xml:space="preserve"> </w:t>
      </w:r>
      <w:r>
        <w:t xml:space="preserve">neither recorded which. A pelvic annotation placed on the other acquisition of a</w:t>
      </w:r>
      <w:r>
        <w:t xml:space="preserve"> </w:t>
      </w:r>
      <w:r>
        <w:t xml:space="preserve">prone/supine pair cannot be combined with the spine annotation without resampling across a</w:t>
      </w:r>
      <w:r>
        <w:t xml:space="preserve"> </w:t>
      </w:r>
      <w:r>
        <w:t xml:space="preserve">change of posture. Those records are retained rather than discarded, and held out of the</w:t>
      </w:r>
      <w:r>
        <w:t xml:space="preserve"> </w:t>
      </w:r>
      <w:r>
        <w:t xml:space="preserve">postural analyses, because two acquisitions of one patient differing in spinal alignment are</w:t>
      </w:r>
      <w:r>
        <w:t xml:space="preserve"> </w:t>
      </w:r>
      <w:r>
        <w:t xml:space="preserve">a resource for a mobility study rather than a defect.</w:t>
      </w:r>
    </w:p>
    <w:bookmarkEnd w:id="18"/>
    <w:bookmarkStart w:id="19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usable as a spinopelvic dataset, so</w:t>
      </w:r>
      <w:r>
        <w:t xml:space="preserve"> </w:t>
      </w:r>
      <w:r>
        <w:t xml:space="preserve">the missing structures were pseudolabeled — asymmetrically (Fig. S1),</w:t>
      </w:r>
      <w:r>
        <w:t xml:space="preserve"> </w:t>
      </w:r>
      <w:r>
        <w:t xml:space="preserve">because the two directions are not equivalent.</w:t>
      </w:r>
    </w:p>
    <w:p>
      <w:pPr>
        <w:pStyle w:val="BodyText"/>
      </w:pPr>
      <w:r>
        <w:t xml:space="preserve">Pelvis onto spine-only records is the safe direction. The sacrum and innominate bones are</w:t>
      </w:r>
      <w:r>
        <w:t xml:space="preserve"> </w:t>
      </w:r>
      <w:r>
        <w:t xml:space="preserve">single objects with no enumeration: no count to get wrong, no naming convention to choose,</w:t>
      </w:r>
      <w:r>
        <w:t xml:space="preserve"> </w:t>
      </w:r>
      <w:r>
        <w:t xml:space="preserve">no analog of a transitional vertebra.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exactly this purpose.</w:t>
      </w:r>
    </w:p>
    <w:p>
      <w:pPr>
        <w:pStyle w:val="BodyText"/>
      </w:pPr>
      <w:r>
        <w:t xml:space="preserve">The reverse direction carries the whole problem this dataset exists to address, since a</w:t>
      </w:r>
      <w:r>
        <w:t xml:space="preserve"> </w:t>
      </w:r>
      <w:r>
        <w:t xml:space="preserve">pseudolabeled spine must commit to a vertebral count and on a transitional vertebra will</w:t>
      </w:r>
      <w:r>
        <w:t xml:space="preserve"> </w:t>
      </w:r>
      <w:r>
        <w:t xml:space="preserve">commit to the commoner reading. Those 20 records were therefore corrected by hand rather</w:t>
      </w:r>
      <w:r>
        <w:t xml:space="preserve"> </w:t>
      </w:r>
      <w:r>
        <w:t xml:space="preserve">than densified automatically — tractable at twenty cases, which is the practical reason</w:t>
      </w:r>
      <w:r>
        <w:t xml:space="preserve"> </w:t>
      </w:r>
      <w:r>
        <w:t xml:space="preserve">the asymmetry runs the way it does.</w:t>
      </w:r>
    </w:p>
    <w:bookmarkEnd w:id="19"/>
    <w:bookmarkStart w:id="20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is a detection model of high reported</w:t>
      </w:r>
      <w:r>
        <w:t xml:space="preserve"> </w:t>
      </w:r>
      <w:r>
        <w:t xml:space="preserve">accuracy, but it segments ribs that lie</w:t>
      </w:r>
      <w:r>
        <w:t xml:space="preserve"> </w:t>
      </w:r>
      <w:r>
        <w:rPr>
          <w:i/>
          <w:iCs/>
        </w:rPr>
        <w:t xml:space="preserve">entirely within</w:t>
      </w:r>
      <w:r>
        <w:t xml:space="preserve"> </w:t>
      </w:r>
      <w:r>
        <w:t xml:space="preserve">the field of view; a rib</w:t>
      </w:r>
      <w:r>
        <w:t xml:space="preserve"> </w:t>
      </w:r>
      <w:r>
        <w:t xml:space="preserve">clipped by the edge of an abdominal acquisition is liable to be missed altogether. Since</w:t>
      </w:r>
      <w:r>
        <w:t xml:space="preserve"> </w:t>
      </w:r>
      <w:r>
        <w:t xml:space="preserve">this is a colonography cohort, the lower ribs are routinely clipped, and those are</w:t>
      </w:r>
      <w:r>
        <w:t xml:space="preserve"> </w:t>
      </w:r>
      <w:r>
        <w:t xml:space="preserve">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incidence test that</w:t>
      </w:r>
      <w:r>
        <w:t xml:space="preserve"> </w:t>
      </w:r>
      <w:r>
        <w:t xml:space="preserve">assigns a rib to its level has nothing to test.</w:t>
      </w:r>
    </w:p>
    <w:p>
      <w:pPr>
        <w:pStyle w:val="BodyText"/>
      </w:pPr>
      <w:r>
        <w:t xml:space="preserve">The two were therefore unioned (Fig. S1):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OpenSpineConsortium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20"/>
    <w:bookmarkStart w:id="25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soft tissue (58–73), lumbar ribs (74–75)</w:t>
      </w:r>
      <w:r>
        <w:t xml:space="preserve"> </w:t>
      </w:r>
      <w:r>
        <w:t xml:space="preserve">and surgical hardware (76–82).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24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_anchor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 and the interval between them, from the released labels,</w:t>
      </w:r>
      <w:r>
        <w:t xml:space="preserve"> </w:t>
      </w:r>
      <w:r>
        <w:t xml:space="preserve">posterior view. Rostral anchor: the lowest rib-bearing vertebra and the rib that makes it</w:t>
      </w:r>
      <w:r>
        <w:t xml:space="preserve"> </w:t>
      </w:r>
      <w:r>
        <w:t xml:space="preserve">one. Caudal anchor: S1. Both are found from the labels rather than assumed, and panels are</w:t>
      </w:r>
      <w:r>
        <w:t xml:space="preserve"> </w:t>
      </w:r>
      <w:r>
        <w:t xml:space="preserve">colored by role rather than identifier, since coloring T12 would assert the count the</w:t>
      </w:r>
      <w:r>
        <w:t xml:space="preserve"> </w:t>
      </w:r>
      <w:r>
        <w:t xml:space="preserve">figure derives. Panels (b) and (c) reach the same interval of four from opposite ends and</w:t>
      </w:r>
      <w:r>
        <w:t xml:space="preserve"> </w:t>
      </w:r>
      <w:r>
        <w:t xml:space="preserve">are indistinguishable by it. All panels are at one millimeter scale, aligned at the sacral</w:t>
      </w:r>
      <w:r>
        <w:t xml:space="preserve"> </w:t>
      </w:r>
      <w:r>
        <w:t xml:space="preserve">base.</w:t>
      </w:r>
    </w:p>
    <w:bookmarkEnd w:id="24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5"/>
    <w:bookmarkStart w:id="26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6"/>
    <w:bookmarkStart w:id="27" w:name="sec:validation"/>
    <w:p>
      <w:pPr>
        <w:pStyle w:val="Heading2"/>
      </w:pPr>
      <w:r>
        <w:t xml:space="preserve">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Geometric invariants (all cases)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802/802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shape, affine, spacing match 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identifier outside the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left/right structures correctly sided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  <w:r>
              <w:t xml:space="preserve">,</w:t>
            </w:r>
            <w:r>
              <w:t xml:space="preserve">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evaluable (expected vertebra outside the FOV)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vertebra within the anchor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 the expected vertebra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(0.035% of evaluable)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misnumbered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Spinopelvic medians within published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6/6</w:t>
            </w:r>
          </w:p>
        </w:tc>
      </w:tr>
    </w:tbl>
    <w:p>
      <w:pPr>
        <w:pStyle w:val="BodyText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implies; the chain is given in Table </w:t>
      </w:r>
      <w:hyperlink w:anchor="tab:qc">
        <w:r>
          <w:rPr>
            <w:rStyle w:val="Hyperlink"/>
          </w:rPr>
          <w:t xml:space="preserve">[tab:qc]</w:t>
        </w:r>
      </w:hyperlink>
      <w:r>
        <w:t xml:space="preserve">. The</w:t>
      </w:r>
      <w:r>
        <w:t xml:space="preserve"> </w:t>
      </w:r>
      <w:r>
        <w:t xml:space="preserve">denominator is stated there rather than only the numerator because quoting the two residual</w:t>
      </w:r>
      <w:r>
        <w:t xml:space="preserve"> </w:t>
      </w:r>
      <w:r>
        <w:t xml:space="preserve">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7"/>
    <w:bookmarkStart w:id="28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The grades were assigned by two radiology resident physicians. The distinction the classification turns on — bony</w:t>
      </w:r>
      <w:r>
        <w:t xml:space="preserve"> </w:t>
      </w:r>
      <w:r>
        <w:t xml:space="preserve">fusion against articulation without it </w:t>
      </w:r>
      <w:r>
        <w:t xml:space="preserve"> </w:t>
      </w:r>
      <w:r>
        <w:t xml:space="preserve">— is the one carrying</w:t>
      </w:r>
      <w:r>
        <w:t xml:space="preserve"> </w:t>
      </w:r>
      <w:r>
        <w:t xml:space="preserve">clinical weight.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8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for one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.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congenitally fused</w:t>
      </w:r>
      <w:r>
        <w:t xml:space="preserve"> </w:t>
      </w:r>
      <w:r>
        <w:t xml:space="preserve">transitional vertebra does, so an unrecorded instrumented case is a false positive on the</w:t>
      </w:r>
      <w:r>
        <w:t xml:space="preserve"> </w:t>
      </w:r>
      <w:r>
        <w:t xml:space="preserve">central measure — and identifiers 76–79 were declared in every prior version and</w:t>
      </w:r>
      <w:r>
        <w:t xml:space="preserve"> </w:t>
      </w:r>
      <w:r>
        <w:t xml:space="preserve">populated in none.</w:t>
      </w:r>
    </w:p>
    <w:bookmarkStart w:id="29" w:name="X0751b13ecdeaa536d324158c6673f1614309e54"/>
    <w:p>
      <w:pPr>
        <w:pStyle w:val="Heading4"/>
      </w:pPr>
      <w:r>
        <w:t xml:space="preserve">Detection over-calls by a factor of seven.</w:t>
      </w:r>
    </w:p>
    <w:p>
      <w:pPr>
        <w:pStyle w:val="FirstParagraph"/>
      </w:pPr>
      <w:r>
        <w:t xml:space="preserve">A threshold at 1800 HU inside a</w:t>
      </w:r>
      <w:r>
        <w:t xml:space="preserve"> </w:t>
      </w:r>
      <w:r>
        <w:t xml:space="preserve">shell around the labeled skeleton flags 84 of the 802 records. Raising it to</w:t>
      </w:r>
      <w:r>
        <w:t xml:space="preserve"> </w:t>
      </w:r>
      <w:r>
        <w:t xml:space="preserve">2500 HU — the lower of the two values validated in the metal-segmentation literature —</w:t>
      </w:r>
      <w:r>
        <w:t xml:space="preserve"> </w:t>
      </w:r>
      <w:r>
        <w:t xml:space="preserve">leaves 52 with a component above a 40-voxel floor. One of the two radiology resident physicians read all 52 and confirmed 11, rejecting 41 (79%) as contrast, calcification</w:t>
      </w:r>
      <w:r>
        <w:t xml:space="preserve"> </w:t>
      </w:r>
      <w:r>
        <w:t xml:space="preserve">and reconstruction artefact. Instrumentation prevalence in this cohort is 1.4%, not the</w:t>
      </w:r>
      <w:r>
        <w:t xml:space="preserve"> </w:t>
      </w:r>
      <w:r>
        <w:t xml:space="preserve">10.5% an unreviewed threshold reports.</w:t>
      </w:r>
    </w:p>
    <w:bookmarkEnd w:id="29"/>
    <w:bookmarkStart w:id="30" w:name="X6ec752d5c90f369263b9bc370c4995fedd38b9d"/>
    <w:p>
      <w:pPr>
        <w:pStyle w:val="Heading4"/>
      </w:pPr>
      <w:r>
        <w:t xml:space="preserve">Saturation does not separate implant from artefact.</w:t>
      </w:r>
    </w:p>
    <w:p>
      <w:pPr>
        <w:pStyle w:val="FirstParagraph"/>
      </w:pPr>
      <w:r>
        <w:t xml:space="preserve">Both groups reach the</w:t>
      </w:r>
      <w:r>
        <w:t xml:space="preserve"> </w:t>
      </w:r>
      <w:r>
        <w:t xml:space="preserve">scanner ceiling and 4 rejected proposals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it, peaking at 11,798 HU — the</w:t>
      </w:r>
      <w:r>
        <w:t xml:space="preserve"> </w:t>
      </w:r>
      <w:r>
        <w:t xml:space="preserve">signature of reconstruction overshoot rather than of denser metal. What separates them is</w:t>
      </w:r>
      <w:r>
        <w:t xml:space="preserve"> </w:t>
      </w:r>
      <w:r>
        <w:t xml:space="preserve">position and size together: a real surgical site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volume, every confirmed implant</w:t>
      </w:r>
      <w:r>
        <w:t xml:space="preserve"> </w:t>
      </w:r>
      <w:r>
        <w:t xml:space="preserve">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 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</w:t>
      </w:r>
    </w:p>
    <w:bookmarkEnd w:id="30"/>
    <w:bookmarkStart w:id="31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— generic, cage, screw-and-rod, plate — and cannot describe what this</w:t>
      </w:r>
      <w:r>
        <w:t xml:space="preserve"> </w:t>
      </w:r>
      <w:r>
        <w:t xml:space="preserve">cohort 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added. The distinction is clinical, not cosmetic: osteosynthesis holds</w:t>
      </w:r>
      <w:r>
        <w:t xml:space="preserve"> </w:t>
      </w:r>
      <w:r>
        <w:t xml:space="preserve">parts of the same bone together where arthroplasty replaces a joint, and without it the shape</w:t>
      </w:r>
      <w:r>
        <w:t xml:space="preserve"> </w:t>
      </w:r>
      <w:r>
        <w:t xml:space="preserve">rules call a femoral stem a rod, since a stem is long and thin and that is all</w:t>
      </w:r>
      <w:r>
        <w:t xml:space="preserve"> </w:t>
      </w:r>
      <w:r>
        <w:t xml:space="preserve">“linear”</w:t>
      </w:r>
      <w:r>
        <w:t xml:space="preserve"> </w:t>
      </w:r>
      <w:r>
        <w:t xml:space="preserve">tests. The</w:t>
      </w:r>
      <w:r>
        <w:t xml:space="preserve"> </w:t>
      </w:r>
      <w:r>
        <w:t xml:space="preserve">confirmed cases comprise 8 arthroplasties, one osteosynthesis, one sacroiliac screw fixation and one pair of threaded cylindrical interbody cages.</w:t>
      </w:r>
    </w:p>
    <w:bookmarkEnd w:id="31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a segmenter handed a bright object against a</w:t>
      </w:r>
      <w:r>
        <w:t xml:space="preserve"> </w:t>
      </w:r>
      <w:r>
        <w:t xml:space="preserve">cortical surface having taken it for bone. Naming the hardware therefore reclaims voxels</w:t>
      </w:r>
      <w:r>
        <w:t xml:space="preserve"> </w:t>
      </w:r>
      <w:r>
        <w:t xml:space="preserve">rather than adding them: 1,538,852 voxels across the eleven records. The consequence</w:t>
      </w:r>
      <w:r>
        <w:t xml:space="preserve"> </w:t>
      </w:r>
      <w:r>
        <w:t xml:space="preserve">reaches past bookkeeping. Pelvic incidence and pelvic tilt are measured from the femoral</w:t>
      </w:r>
      <w:r>
        <w:t xml:space="preserve"> </w:t>
      </w:r>
      <w:r>
        <w:t xml:space="preserve">head center, and in 8 of these cases that head is an implant — any spinopelvic</w:t>
      </w:r>
      <w:r>
        <w:t xml:space="preserve"> </w:t>
      </w:r>
      <w:r>
        <w:t xml:space="preserve">parameter previously computed from them was measured on metal.</w:t>
      </w:r>
    </w:p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 Two entries are worth reading carefully. The Castellvi</w:t>
      </w:r>
      <w:r>
        <w:t xml:space="preserve"> </w:t>
      </w:r>
      <w:r>
        <w:t xml:space="preserve">grade is present for 4.1% of records because it is defined only for the transitional ones;</w:t>
      </w:r>
      <w:r>
        <w:t xml:space="preserve"> </w:t>
      </w:r>
      <w:r>
        <w:t xml:space="preserve">among those it is complete. A pelvic series identifier is present for 88.9% because the</w:t>
      </w:r>
      <w:r>
        <w:t xml:space="preserve"> </w:t>
      </w:r>
      <w:r>
        <w:t xml:space="preserve">crosswalk records it only where a pelvic annotation was actually placed, and users joining</w:t>
      </w:r>
      <w:r>
        <w:t xml:space="preserve"> </w:t>
      </w:r>
      <w:r>
        <w:t xml:space="preserve">on it should expect the shortfall rather than treat it as loss.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measures, valid without knowing which vertebra is which.</w:t>
      </w:r>
      <w:r>
        <w:t xml:space="preserve"> </w:t>
      </w:r>
      <w:r>
        <w:t xml:space="preserve">(a) Vertebrae between the lowest rib and the sacrum: an interval, not a level assignment.</w:t>
      </w:r>
      <w:r>
        <w:t xml:space="preserve"> </w:t>
      </w:r>
      <w:r>
        <w:t xml:space="preserve">(b) Lowest rib length as a fraction of the rib above, showing two populations near 0.33</w:t>
      </w:r>
      <w:r>
        <w:t xml:space="preserve"> </w:t>
      </w:r>
      <w:r>
        <w:t xml:space="preserve">and 0.69 rather than one distribution with a tail. (c) Lowest lumbar transverse span</w:t>
      </w:r>
      <w:r>
        <w:t xml:space="preserve"> </w:t>
      </w:r>
      <w:r>
        <w:t xml:space="preserve">against its gap to the sacral ala; cases carrying a source transitional label are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3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4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published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</w:t>
      </w:r>
      <w:r>
        <w:t xml:space="preserve"> </w:t>
      </w:r>
      <w:r>
        <w:t xml:space="preserve">from an asymptomatic standing cohort.</w:t>
      </w:r>
      <w:r>
        <w:t xml:space="preserve"> </w:t>
      </w:r>
      <w:r>
        <w:t xml:space="preserve">Sacral slope is expected to sit</w:t>
      </w:r>
      <w:r>
        <w:t xml:space="preserve"> </w:t>
      </w:r>
      <w:r>
        <w:t xml:space="preserve">below a standing reference because it is postural and this cohort is supine; pelvic</w:t>
      </w:r>
      <w:r>
        <w:t xml:space="preserve"> </w:t>
      </w:r>
      <w:r>
        <w:t xml:space="preserve">incidence is not postural, which is why it can be compared without apology and why its</w:t>
      </w:r>
      <w:r>
        <w:t xml:space="preserve"> </w:t>
      </w:r>
      <w:r>
        <w:t xml:space="preserve">agreement is the strongest check here.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0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49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Lumbar and lower thoracic morphometry by level, in the format the standard</w:t>
      </w:r>
      <w:r>
        <w:t xml:space="preserve"> </w:t>
      </w:r>
      <w:r>
        <w:t xml:space="preserve">reference figures use — level on the vertical axis, measurement on the horizontal.</w:t>
      </w:r>
      <w:r>
        <w:t xml:space="preserve"> </w:t>
      </w:r>
      <w:r>
        <w:t xml:space="preserve">Marker, median; bar, interquartile range; line, 5th–95th percentile; the number at the</w:t>
      </w:r>
      <w:r>
        <w:t xml:space="preserve"> </w:t>
      </w:r>
      <w:r>
        <w:t xml:space="preserve">right of a row is its</w:t>
      </w:r>
      <w:r>
        <w:t xml:space="preserve"> </w:t>
      </w:r>
      <m:oMath>
        <m:r>
          <m:t>n</m:t>
        </m:r>
      </m:oMath>
      <w:r>
        <w:t xml:space="preserve">. (a) Vertebral body height, ventral against dorsal. (b) Superior</w:t>
      </w:r>
      <w:r>
        <w:t xml:space="preserve"> </w:t>
      </w:r>
      <w:r>
        <w:t xml:space="preserve">endplate width. (c) Canal width against depth. (d) Transverse pedicle width. (e) Disc</w:t>
      </w:r>
      <w:r>
        <w:t xml:space="preserve"> </w:t>
      </w:r>
      <w:r>
        <w:t xml:space="preserve">height, drawn at the interspace it occupies. (f) Trabecular attenuation at the published</w:t>
      </w:r>
      <w:r>
        <w:t xml:space="preserve"> </w:t>
      </w:r>
      <w:r>
        <w:t xml:space="preserve">opportunistic-screening site. Coverage is not uniform and is drawn rather than assumed:</w:t>
      </w:r>
      <w:r>
        <w:t xml:space="preserve"> </w:t>
      </w:r>
      <w:r>
        <w:t xml:space="preserve">canal depth and pedicle width rest on 330–656 records because they need an axial extent</w:t>
      </w:r>
      <w:r>
        <w:t xml:space="preserve"> </w:t>
      </w:r>
      <w:r>
        <w:t xml:space="preserve">many field-limited series do not carry, while the remaining measures rest on 720–784.</w:t>
      </w:r>
      <w:r>
        <w:t xml:space="preserve"> </w:t>
      </w:r>
      <w:r>
        <w:t xml:space="preserve">No comparison between levels is tested and none is implied; the intervals are dispersion.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5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and 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soft-tissue identifiers (58–73) and the</w:t>
      </w:r>
      <w:r>
        <w:t xml:space="preserve"> </w:t>
      </w:r>
      <w:r>
        <w:t xml:space="preserve">partial-annotation sentinel (255) are declared in the scheme and occur in no record —</w:t>
      </w:r>
      <w:r>
        <w:t xml:space="preserve"> </w:t>
      </w:r>
      <w:r>
        <w:t xml:space="preserve">established by counting identifiers across all 802 released volumes rather than asserted.</w:t>
      </w:r>
      <w:r>
        <w:t xml:space="preserve"> </w:t>
      </w:r>
      <w:r>
        <w:t xml:space="preserve">Both are retained so a later release can use them without renumbering, and their absence</w:t>
      </w:r>
      <w:r>
        <w:t xml:space="preserve"> </w:t>
      </w:r>
      <w:r>
        <w:t xml:space="preserve">should be read as absence of annotation rather than absence of the structure.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were assigned by two radiology resident physicians.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49"/>
    <w:bookmarkEnd w:id="50"/>
    <w:bookmarkStart w:id="5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produces:</w:t>
      </w:r>
      <w:r>
        <w:t xml:space="preserve"> </w:t>
      </w:r>
      <w:r>
        <w:t xml:space="preserve">where another scheme must record a sixth lumbar vertebra or a lumbar-borne rib as something</w:t>
      </w:r>
      <w:r>
        <w:t xml:space="preserve"> </w:t>
      </w:r>
      <w:r>
        <w:t xml:space="preserve">else, this release records it as itself.</w:t>
      </w:r>
    </w:p>
    <w:bookmarkEnd w:id="51"/>
    <w:bookmarkStart w:id="5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 The release is archived under a persistent</w:t>
      </w:r>
      <w:r>
        <w:t xml:space="preserve"> </w:t>
      </w:r>
      <w:r>
        <w:t xml:space="preserve">identifier, ships what is needed to verify it, and states per structure how strong each</w:t>
      </w:r>
      <w:r>
        <w:t xml:space="preserve"> </w:t>
      </w:r>
      <w:r>
        <w:t xml:space="preserve">label is.</w:t>
      </w:r>
    </w:p>
    <w:bookmarkEnd w:id="52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The dataset as a whole, across versions, is cited</w:t>
      </w:r>
      <w:r>
        <w:t xml:space="preserve"> </w:t>
      </w:r>
      <w:r>
        <w:t xml:space="preserve">as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which always resolves to the current version.</w:t>
      </w:r>
      <w:r>
        <w:t xml:space="preserve"> </w:t>
      </w:r>
      <w:r>
        <w:t xml:space="preserve">The archive carries the reference loader, the label-scheme definition and the</w:t>
      </w:r>
      <w:r>
        <w:t xml:space="preserve"> </w:t>
      </w:r>
      <w:r>
        <w:t xml:space="preserve">quality-control tables, and the analysis code is distributed with it under an open-source</w:t>
      </w:r>
      <w:r>
        <w:t xml:space="preserve"> </w:t>
      </w:r>
      <w:r>
        <w:t xml:space="preserve">licence. The repository URL is omitted here because it identifies the authors; it is given</w:t>
      </w:r>
      <w:r>
        <w:t xml:space="preserve"> </w:t>
      </w:r>
      <w:r>
        <w:t xml:space="preserve">on the title page and will be restored to this section for the camera-ready version.</w:t>
      </w:r>
    </w:p>
    <w:bookmarkEnd w:id="53"/>
    <w:bookmarkStart w:id="5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4"/>
    <w:bookmarkStart w:id="55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and annotations derived from it.</w:t>
      </w:r>
      <w:r>
        <w:t xml:space="preserve"> </w:t>
      </w:r>
      <w:r>
        <w:t xml:space="preserve">The authors’ institutional review board determined that it does not constitute human</w:t>
      </w:r>
      <w:r>
        <w:t xml:space="preserve"> </w:t>
      </w:r>
      <w:r>
        <w:t xml:space="preserve">participant research under the Common Rule at 45 CFR 46, and that review and oversight are</w:t>
      </w:r>
      <w:r>
        <w:t xml:space="preserve"> </w:t>
      </w:r>
      <w:r>
        <w:t xml:space="preserve">therefore not required.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image" Id="rId36" Target="media/rId36.pdf" /><Relationship Type="http://schemas.openxmlformats.org/officeDocument/2006/relationships/image" Id="rId45" Target="media/rId45.pdf" /><Relationship Type="http://schemas.openxmlformats.org/officeDocument/2006/relationships/image" Id="rId11" Target="media/rId11.pdf" /><Relationship Type="http://schemas.openxmlformats.org/officeDocument/2006/relationships/image" Id="rId40" Target="media/rId40.pdf" /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2026-09-04T01:43:01Z</dcterms:created>
  <dcterms:modified xsi:type="dcterms:W3CDTF">2026-09-04T01:43:01Z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frame, per-level ribs and femora. Classes for a sixth lumbar vertebra, a thirteenth thoracic vertebra, a separate first sacral segment, and lumbar ribs make the set expressive enough for anatomical anomalies.Acquisition and Validation Methods: Records pair TCIA CT COLONOGRAPHY imaging with CTSpine1K  vertebral and CTPelvic1K  pelvic labels on the acquisition with highest bone coverage, under a VerSe-native scheme. Validation: geometric invariants (802/802 pass); rib–vertebra incidence across 5,749 evaluable ribs (2 offsets, 0.035%); and agreement of spinopelvic measures with published values.Data Format and Usage Notes: Gzipped NIfTI image/label pairs sharing one affine, canonicalized to PIR, with frozen patient-grouped LSTV-stratified five-fold splits and a reference loader; archived at .Potential Applications: Testing whether a network can classify a vertebra from local features alone; updating textbook morphometry drawn from small cadaveric series; spinopelvic assessment at the lumbosacral interface; variant studies; opportunistic screening. Limitations: thoracic ground truth is field-of-view limited; postural angles supine; no held-out test set; the rib layer is a triaged-review pseudolabel; Castellvi grades assigned by two radiology resident physicians.</vt:lpwstr>
  </property>
</Properties>
</file>