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Amendment to IRB-21-10-4123: Automated fracture detection and vertebral level identification on trauma spine radiographs</w:t>
      </w:r>
    </w:p>
    <w:p>
      <w:pPr>
        <w:pStyle w:val="Subtitle"/>
      </w:pPr>
      <w:r>
        <w:t xml:space="preserve">Improving Outcome in Orthopaedics Trauma Care — PI: Rahul Vaidya, MD — Expedited amendment, PI-originated, study open to accrual</w:t>
      </w:r>
    </w:p>
    <w:p>
      <w:pPr>
        <w:pStyle w:val="Author"/>
      </w:pPr>
      <w:r>
        <w:t xml:space="preserve">Prepared by Gregory Schwing, MD, PhD (Other Investigator) for Andreea Geamanu</w:t>
      </w:r>
    </w:p>
    <w:p>
      <w:pPr>
        <w:pStyle w:val="Date"/>
      </w:pPr>
      <w:r>
        <w:t xml:space="preserve">September 2026</w:t>
      </w:r>
    </w:p>
    <w:p>
      <w:pPr>
        <w:pStyle w:val="FirstParagraph"/>
      </w:pPr>
      <w:r>
        <w:t xml:space="preserve">This document follows the eProtocol section order. Each section gives the text to enter, or</w:t>
      </w:r>
      <w:r>
        <w:t xml:space="preserve"> </w:t>
      </w:r>
      <w:r>
        <w:t xml:space="preserve">states that no change is needed. The amendment adds personnel and extends the approved</w:t>
      </w:r>
      <w:r>
        <w:t xml:space="preserve"> </w:t>
      </w:r>
      <w:r>
        <w:t xml:space="preserve">retrospective chart review to the imaging already obtained during care. It does not change</w:t>
      </w:r>
      <w:r>
        <w:t xml:space="preserve"> </w:t>
      </w:r>
      <w:r>
        <w:t xml:space="preserve">consent, risk, or the participant population, so it stays expedited.</w:t>
      </w:r>
    </w:p>
    <w:bookmarkStart w:id="9" w:name="amendment-summary-lay-terms"/>
    <w:p>
      <w:pPr>
        <w:pStyle w:val="Heading1"/>
      </w:pPr>
      <w:r>
        <w:t xml:space="preserve">Amendment Summary (lay terms)</w:t>
      </w:r>
    </w:p>
    <w:p>
      <w:pPr>
        <w:pStyle w:val="BlockText"/>
      </w:pPr>
      <w:r>
        <w:t xml:space="preserve">This amendment adds study personnel and extends the existing retrospective chart review</w:t>
      </w:r>
      <w:r>
        <w:t xml:space="preserve"> </w:t>
      </w:r>
      <w:r>
        <w:t xml:space="preserve">to include imaging already obtained during care. (1) Spine radiographs and spine CT scans,</w:t>
      </w:r>
      <w:r>
        <w:t xml:space="preserve"> </w:t>
      </w:r>
      <w:r>
        <w:t xml:space="preserve">with their radiology reports, will be retrieved from DMC Radiology/PACS for patients already</w:t>
      </w:r>
      <w:r>
        <w:t xml:space="preserve"> </w:t>
      </w:r>
      <w:r>
        <w:t xml:space="preserve">identified from the trauma registry. (2) Images will be de-identified within DMC — names,</w:t>
      </w:r>
      <w:r>
        <w:t xml:space="preserve"> </w:t>
      </w:r>
      <w:r>
        <w:t xml:space="preserve">medical record numbers, dates, and all DICOM header identifiers removed, and any text burned</w:t>
      </w:r>
      <w:r>
        <w:t xml:space="preserve"> </w:t>
      </w:r>
      <w:r>
        <w:t xml:space="preserve">into the image checked and removed — before being stored and analyzed on Wayne State</w:t>
      </w:r>
      <w:r>
        <w:t xml:space="preserve"> </w:t>
      </w:r>
      <w:r>
        <w:t xml:space="preserve">University’s secure research computing cluster. (3) The de-identified images will be used</w:t>
      </w:r>
      <w:r>
        <w:t xml:space="preserve"> </w:t>
      </w:r>
      <w:r>
        <w:t xml:space="preserve">to develop and evaluate computer methods (machine learning models) for detecting fractures</w:t>
      </w:r>
      <w:r>
        <w:t xml:space="preserve"> </w:t>
      </w:r>
      <w:r>
        <w:t xml:space="preserve">and identifying the vertebral level on trauma radiographs, with results compared against the</w:t>
      </w:r>
      <w:r>
        <w:t xml:space="preserve"> </w:t>
      </w:r>
      <w:r>
        <w:t xml:space="preserve">CT and the radiology report. (4) The approved number of records is increased from 2,000 to</w:t>
      </w:r>
      <w:r>
        <w:t xml:space="preserve"> </w:t>
      </w:r>
      <w:r>
        <w:t xml:space="preserve">[N]. The master list linking study IDs to identifiers remains on DMC Citrix, separate from</w:t>
      </w:r>
      <w:r>
        <w:t xml:space="preserve"> </w:t>
      </w:r>
      <w:r>
        <w:t xml:space="preserve">study data, as currently approved. No results are returned to the medical record or to</w:t>
      </w:r>
      <w:r>
        <w:t xml:space="preserve"> </w:t>
      </w:r>
      <w:r>
        <w:t xml:space="preserve">treating clinicians. Nothing about consent, risk, or the participant population changes.</w:t>
      </w:r>
    </w:p>
    <w:bookmarkEnd w:id="9"/>
    <w:bookmarkStart w:id="10" w:name="summary-purpose-append-to-purpose"/>
    <w:p>
      <w:pPr>
        <w:pStyle w:val="Heading1"/>
      </w:pPr>
      <w:r>
        <w:t xml:space="preserve">Summary &amp; Purpose — append to Purpose</w:t>
      </w:r>
    </w:p>
    <w:p>
      <w:pPr>
        <w:pStyle w:val="BlockText"/>
      </w:pPr>
      <w:r>
        <w:t xml:space="preserve">A further aim is to determine whether automated image-analysis methods can detect</w:t>
      </w:r>
      <w:r>
        <w:t xml:space="preserve"> </w:t>
      </w:r>
      <w:r>
        <w:t xml:space="preserve">fractures and identify vertebral levels on trauma spine radiographs from this population,</w:t>
      </w:r>
      <w:r>
        <w:t xml:space="preserve"> </w:t>
      </w:r>
      <w:r>
        <w:t xml:space="preserve">using the CT and radiology reports already obtained during care as the reference standard.</w:t>
      </w:r>
    </w:p>
    <w:bookmarkEnd w:id="10"/>
    <w:bookmarkStart w:id="11" w:name="Xe47d7543d91233c3efe1936f223aad47f597701"/>
    <w:p>
      <w:pPr>
        <w:pStyle w:val="Heading1"/>
      </w:pPr>
      <w:r>
        <w:t xml:space="preserve">Background, Rationale, Data Analysis and Procedures</w:t>
      </w:r>
    </w:p>
    <w:p>
      <w:pPr>
        <w:pStyle w:val="FirstParagraph"/>
      </w:pPr>
      <w:r>
        <w:rPr>
          <w:b/>
          <w:bCs/>
        </w:rPr>
        <w:t xml:space="preserve">Section A — Background (add).</w:t>
      </w:r>
    </w:p>
    <w:p>
      <w:pPr>
        <w:pStyle w:val="BlockText"/>
      </w:pPr>
      <w:r>
        <w:t xml:space="preserve">Commercial software already detects fractures on radiographs well; GLEAMER’s BoneView is</w:t>
      </w:r>
      <w:r>
        <w:t xml:space="preserve"> </w:t>
      </w:r>
      <w:r>
        <w:t xml:space="preserve">FDA-cleared for the appendicular skeleton, ribs, and thoracolumbar spine and is in use at</w:t>
      </w:r>
      <w:r>
        <w:t xml:space="preserve"> </w:t>
      </w:r>
      <w:r>
        <w:t xml:space="preserve">over 300 hospitals.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What it does not do is name the vertebra reliably. A detector that</w:t>
      </w:r>
      <w:r>
        <w:t xml:space="preserve"> </w:t>
      </w:r>
      <w:r>
        <w:t xml:space="preserve">reports</w:t>
      </w:r>
      <w:r>
        <w:t xml:space="preserve"> </w:t>
      </w:r>
      <w:r>
        <w:t xml:space="preserve">“fracture at L1”</w:t>
      </w:r>
      <w:r>
        <w:t xml:space="preserve"> </w:t>
      </w:r>
      <w:r>
        <w:t xml:space="preserve">counts vertebrae on the film, and counting fails in the patients</w:t>
      </w:r>
      <w:r>
        <w:t xml:space="preserve"> </w:t>
      </w:r>
      <w:r>
        <w:t xml:space="preserve">where it matters: lumbosacral transitional vertebrae occur in 4–30% of people,</w:t>
      </w:r>
      <w:r>
        <w:rPr>
          <w:vertAlign w:val="superscript"/>
        </w:rPr>
        <w:t xml:space="preserve">2</w:t>
      </w:r>
      <w:r>
        <w:t xml:space="preserve"> </w:t>
      </w:r>
      <w:r>
        <w:t xml:space="preserve">the</w:t>
      </w:r>
      <w:r>
        <w:t xml:space="preserve"> </w:t>
      </w:r>
      <w:r>
        <w:t xml:space="preserve">accepted method is to count down from C2 on whole-spine imaging,</w:t>
      </w:r>
      <w:r>
        <w:rPr>
          <w:vertAlign w:val="superscript"/>
        </w:rPr>
        <w:t xml:space="preserve">3</w:t>
      </w:r>
      <w:r>
        <w:t xml:space="preserve"> </w:t>
      </w:r>
      <w:r>
        <w:t xml:space="preserve">which trauma patients</w:t>
      </w:r>
      <w:r>
        <w:t xml:space="preserve"> </w:t>
      </w:r>
      <w:r>
        <w:t xml:space="preserve">do not get, and wrong-level spine surgery occurs about once per 3,100 procedures with</w:t>
      </w:r>
      <w:r>
        <w:t xml:space="preserve"> </w:t>
      </w:r>
      <w:r>
        <w:t xml:space="preserve">transitional anatomy the most common cause.</w:t>
      </w:r>
      <w:r>
        <w:rPr>
          <w:vertAlign w:val="superscript"/>
        </w:rPr>
        <w:t xml:space="preserve">4</w:t>
      </w:r>
      <w:r>
        <w:t xml:space="preserve"> </w:t>
      </w:r>
      <w:r>
        <w:t xml:space="preserve">A confident wrong level is worse than none,</w:t>
      </w:r>
      <w:r>
        <w:t xml:space="preserve"> </w:t>
      </w:r>
      <w:r>
        <w:t xml:space="preserve">and it is wrong most often in the patient whose anatomy is unusual.</w:t>
      </w:r>
    </w:p>
    <w:p>
      <w:pPr>
        <w:pStyle w:val="BlockText"/>
      </w:pPr>
      <w:r>
        <w:t xml:space="preserve">The investigators built and published CTSpinoPelvic1K, 802 CT scans with the spine,</w:t>
      </w:r>
      <w:r>
        <w:t xml:space="preserve"> </w:t>
      </w:r>
      <w:r>
        <w:t xml:space="preserve">sacrum, hips, femora, and ribs labeled on one coordinate frame, with explicit classes for</w:t>
      </w:r>
      <w:r>
        <w:t xml:space="preserve"> </w:t>
      </w:r>
      <w:r>
        <w:t xml:space="preserve">L6, a thirteenth thoracic vertebra, a separate S1, and lumbar ribs.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It was built to test</w:t>
      </w:r>
      <w:r>
        <w:t xml:space="preserve"> </w:t>
      </w:r>
      <w:r>
        <w:t xml:space="preserve">whether a vertebra can be identified from its own appearance without counting from C2.</w:t>
      </w:r>
      <w:r>
        <w:t xml:space="preserve"> </w:t>
      </w:r>
      <w:r>
        <w:t xml:space="preserve">That is the supervision a radiograph model needs and cannot obtain from radiographs.</w:t>
      </w:r>
    </w:p>
    <w:p>
      <w:pPr>
        <w:pStyle w:val="BlockText"/>
      </w:pPr>
      <w:r>
        <w:t xml:space="preserve">Radiographs are the target modality and are required. CT is not used to train the model;</w:t>
      </w:r>
      <w:r>
        <w:t xml:space="preserve"> </w:t>
      </w:r>
      <w:r>
        <w:t xml:space="preserve">it serves as the reference standard for two questions the radiograph cannot answer about</w:t>
      </w:r>
      <w:r>
        <w:t xml:space="preserve"> </w:t>
      </w:r>
      <w:r>
        <w:t xml:space="preserve">itself — whether the level was correct (CT images, for encounters with both studies) and</w:t>
      </w:r>
      <w:r>
        <w:t xml:space="preserve"> </w:t>
      </w:r>
      <w:r>
        <w:t xml:space="preserve">whether a fracture was missed on the initial film (CT report only).</w:t>
      </w:r>
    </w:p>
    <w:p>
      <w:pPr>
        <w:pStyle w:val="FirstParagraph"/>
      </w:pPr>
      <w:r>
        <w:rPr>
          <w:b/>
          <w:bCs/>
        </w:rPr>
        <w:t xml:space="preserve">Section A(b) — Statistical methods (replace</w:t>
      </w:r>
      <w:r>
        <w:rPr>
          <w:b/>
          <w:bCs/>
        </w:rPr>
        <w:t xml:space="preserve"> </w:t>
      </w:r>
      <w:r>
        <w:rPr>
          <w:b/>
          <w:bCs/>
        </w:rPr>
        <w:t xml:space="preserve">“N/A”</w:t>
      </w:r>
      <w:r>
        <w:rPr>
          <w:b/>
          <w:bCs/>
        </w:rPr>
        <w:t xml:space="preserve">).</w:t>
      </w:r>
    </w:p>
    <w:p>
      <w:pPr>
        <w:pStyle w:val="BlockText"/>
      </w:pPr>
      <w:r>
        <w:t xml:space="preserve">Descriptive statistics for the cohort. For the imaging analysis: sensitivity and</w:t>
      </w:r>
      <w:r>
        <w:t xml:space="preserve"> </w:t>
      </w:r>
      <w:r>
        <w:t xml:space="preserve">specificity of automated fracture detection against the radiology report and CT;</w:t>
      </w:r>
      <w:r>
        <w:t xml:space="preserve"> </w:t>
      </w:r>
      <w:r>
        <w:t xml:space="preserve">agreement of automated vertebral-level identification with CT, reported separately for</w:t>
      </w:r>
      <w:r>
        <w:t xml:space="preserve"> </w:t>
      </w:r>
      <w:r>
        <w:t xml:space="preserve">patients with and without transitional lumbosacral anatomy; agreement of automated</w:t>
      </w:r>
      <w:r>
        <w:t xml:space="preserve"> </w:t>
      </w:r>
      <w:r>
        <w:t xml:space="preserve">spinopelvic measurements with manual measurement against published error bands.</w:t>
      </w:r>
      <w:r>
        <w:rPr>
          <w:vertAlign w:val="superscript"/>
        </w:rPr>
        <w:t xml:space="preserve">6,7</w:t>
      </w:r>
    </w:p>
    <w:p>
      <w:pPr>
        <w:pStyle w:val="FirstParagraph"/>
      </w:pPr>
      <w:r>
        <w:rPr>
          <w:b/>
          <w:bCs/>
        </w:rPr>
        <w:t xml:space="preserve">Section B — Procedures (add).</w:t>
      </w:r>
    </w:p>
    <w:p>
      <w:pPr>
        <w:pStyle w:val="BlockText"/>
      </w:pPr>
      <w:r>
        <w:t xml:space="preserve">Retrospective. No interaction with participants. Models are first developed on public</w:t>
      </w:r>
      <w:r>
        <w:t xml:space="preserve"> </w:t>
      </w:r>
      <w:r>
        <w:t xml:space="preserve">datasets; DMC images are used to refine and evaluate them. No output is placed in the</w:t>
      </w:r>
      <w:r>
        <w:t xml:space="preserve"> </w:t>
      </w:r>
      <w:r>
        <w:t xml:space="preserve">medical record or shown to treating clinicians.</w:t>
      </w:r>
    </w:p>
    <w:p>
      <w:pPr>
        <w:pStyle w:val="FirstParagraph"/>
      </w:pPr>
      <w:r>
        <w:rPr>
          <w:b/>
          <w:bCs/>
        </w:rPr>
        <w:t xml:space="preserve">Section C — Data Collection (revise).</w:t>
      </w:r>
    </w:p>
    <w:p>
      <w:pPr>
        <w:pStyle w:val="BlockText"/>
      </w:pPr>
      <w:r>
        <w:t xml:space="preserve">Data will be collected from the DMC electronic medical record (Citrix) using the data</w:t>
      </w:r>
      <w:r>
        <w:t xml:space="preserve"> </w:t>
      </w:r>
      <w:r>
        <w:t xml:space="preserve">collection sheet, and from DMC Radiology/PACS: thoracolumbar and lumbar spine radiographs</w:t>
      </w:r>
      <w:r>
        <w:t xml:space="preserve"> </w:t>
      </w:r>
      <w:r>
        <w:t xml:space="preserve">(AP and lateral), spine CT, and the associated radiology reports, for patients already</w:t>
      </w:r>
      <w:r>
        <w:t xml:space="preserve"> </w:t>
      </w:r>
      <w:r>
        <w:t xml:space="preserve">identified from the trauma registry. Images are de-identified within DMC before analysis.</w:t>
      </w:r>
    </w:p>
    <w:bookmarkEnd w:id="11"/>
    <w:bookmarkStart w:id="12" w:name="participant-population"/>
    <w:p>
      <w:pPr>
        <w:pStyle w:val="Heading1"/>
      </w:pPr>
      <w:r>
        <w:t xml:space="preserve">Participant Population</w:t>
      </w:r>
    </w:p>
    <w:p>
      <w:pPr>
        <w:pStyle w:val="FirstParagraph"/>
      </w:pPr>
      <w:r>
        <w:t xml:space="preserve">Number of records/charts:</w:t>
      </w:r>
      <w:r>
        <w:t xml:space="preserve"> </w:t>
      </w:r>
      <w:r>
        <w:rPr>
          <w:b/>
          <w:bCs/>
        </w:rPr>
        <w:t xml:space="preserve">2,000 → [N]</w:t>
      </w:r>
      <w:r>
        <w:t xml:space="preserve">.</w:t>
      </w:r>
      <w:r>
        <w:t xml:space="preserve"> </w:t>
      </w:r>
      <w:r>
        <w:rPr>
          <w:i/>
          <w:iCs/>
        </w:rPr>
        <w:t xml:space="preserve">The same number must appear on the DMC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and in the protocol document; the 2022 DMC review flagged a mismatch.</w:t>
      </w:r>
      <w:r>
        <w:t xml:space="preserve"> </w:t>
      </w:r>
      <w:r>
        <w:t xml:space="preserve">Age</w:t>
      </w:r>
      <w:r>
        <w:t xml:space="preserve"> </w:t>
      </w:r>
      <w:r>
        <w:t xml:space="preserve">range, inclusion, and exclusion unchanged.</w:t>
      </w:r>
    </w:p>
    <w:bookmarkEnd w:id="12"/>
    <w:bookmarkStart w:id="13" w:name="Xfec188331658b0ee9352ccd26b00cc4391dfda4"/>
    <w:p>
      <w:pPr>
        <w:pStyle w:val="Heading1"/>
      </w:pPr>
      <w:r>
        <w:t xml:space="preserve">Procedures to Maintain Confidentiality — revise (c), (e), (f), (i), (j)</w:t>
      </w:r>
    </w:p>
    <w:p>
      <w:pPr>
        <w:pStyle w:val="BlockText"/>
        <w:numPr>
          <w:ilvl w:val="0"/>
          <w:numId w:val="1001"/>
        </w:numPr>
      </w:pPr>
      <w:r>
        <w:t xml:space="preserve">Chart data will be coded and stored on DMC Citrix. Imaging will be de-identified within</w:t>
      </w:r>
      <w:r>
        <w:t xml:space="preserve"> </w:t>
      </w:r>
      <w:r>
        <w:t xml:space="preserve">DMC — all DICOM header identifiers removed and burned-in text checked and removed — and the</w:t>
      </w:r>
      <w:r>
        <w:t xml:space="preserve"> </w:t>
      </w:r>
      <w:r>
        <w:t xml:space="preserve">de-identified images stored and analyzed on the Wayne State University High Performance</w:t>
      </w:r>
      <w:r>
        <w:t xml:space="preserve"> </w:t>
      </w:r>
      <w:r>
        <w:t xml:space="preserve">Computing cluster, an institutionally managed secure research computing environment with</w:t>
      </w:r>
      <w:r>
        <w:t xml:space="preserve"> </w:t>
      </w:r>
      <w:r>
        <w:t xml:space="preserve">access limited to named study personnel. No imaging is stored on personal devices,</w:t>
      </w:r>
      <w:r>
        <w:t xml:space="preserve"> </w:t>
      </w:r>
      <w:r>
        <w:t xml:space="preserve">personal cloud accounts, or third-party services.</w:t>
      </w:r>
    </w:p>
    <w:p>
      <w:pPr>
        <w:pStyle w:val="BlockText"/>
        <w:numPr>
          <w:ilvl w:val="0"/>
          <w:numId w:val="1001"/>
        </w:numPr>
      </w:pPr>
      <w:r>
        <w:t xml:space="preserve">PI and research study team.</w:t>
      </w:r>
    </w:p>
    <w:p>
      <w:pPr>
        <w:pStyle w:val="BlockText"/>
        <w:numPr>
          <w:ilvl w:val="0"/>
          <w:numId w:val="1001"/>
        </w:numPr>
      </w:pPr>
      <w:r>
        <w:t xml:space="preserve">DMC electronic medical record (Citrix) and DMC Radiology/PACS.</w:t>
      </w:r>
    </w:p>
    <w:p>
      <w:pPr>
        <w:pStyle w:val="BlockText"/>
        <w:numPr>
          <w:ilvl w:val="0"/>
          <w:numId w:val="1001"/>
        </w:numPr>
      </w:pPr>
      <w:r>
        <w:t xml:space="preserve">The master list (key to identifiers) and study data will be stored separately on DMC</w:t>
      </w:r>
      <w:r>
        <w:t xml:space="preserve"> </w:t>
      </w:r>
      <w:r>
        <w:t xml:space="preserve">Citrix. De-identified imaging on the WSU cluster carries study IDs only; the key never</w:t>
      </w:r>
      <w:r>
        <w:t xml:space="preserve"> </w:t>
      </w:r>
      <w:r>
        <w:t xml:space="preserve">leaves DMC.</w:t>
      </w:r>
    </w:p>
    <w:p>
      <w:pPr>
        <w:pStyle w:val="BlockText"/>
        <w:numPr>
          <w:ilvl w:val="0"/>
          <w:numId w:val="1001"/>
        </w:numPr>
      </w:pPr>
      <w:r>
        <w:t xml:space="preserve">Data will be kept until all publishable articles/abstracts have been accepted and</w:t>
      </w:r>
      <w:r>
        <w:t xml:space="preserve"> </w:t>
      </w:r>
      <w:r>
        <w:t xml:space="preserve">published. De-identified imaging on the WSU cluster will be deleted at study closure.</w:t>
      </w:r>
    </w:p>
    <w:bookmarkEnd w:id="13"/>
    <w:bookmarkStart w:id="14" w:name="hipaa-no-change"/>
    <w:p>
      <w:pPr>
        <w:pStyle w:val="Heading1"/>
      </w:pPr>
      <w:r>
        <w:t xml:space="preserve">HIPAA — no change</w:t>
      </w:r>
    </w:p>
    <w:p>
      <w:pPr>
        <w:pStyle w:val="FirstParagraph"/>
      </w:pPr>
      <w:r>
        <w:t xml:space="preserve">Identifiers used remain geographic subdivisions, elements of dates, medical record number,</w:t>
      </w:r>
      <w:r>
        <w:t xml:space="preserve"> </w:t>
      </w:r>
      <w:r>
        <w:t xml:space="preserve">and other unique identifying number; disclosed: none. Imaging that leaves DMC is</w:t>
      </w:r>
      <w:r>
        <w:t xml:space="preserve"> </w:t>
      </w:r>
      <w:r>
        <w:t xml:space="preserve">de-identified.</w:t>
      </w:r>
      <w:r>
        <w:t xml:space="preserve"> </w:t>
      </w:r>
      <w:r>
        <w:rPr>
          <w:i/>
          <w:iCs/>
        </w:rPr>
        <w:t xml:space="preserve">Confirm the</w:t>
      </w:r>
      <w:r>
        <w:rPr>
          <w:i/>
          <w:iCs/>
        </w:rPr>
        <w:t xml:space="preserve"> </w:t>
      </w:r>
      <w:r>
        <w:rPr>
          <w:i/>
          <w:iCs/>
        </w:rPr>
        <w:t xml:space="preserve">“Will PHI be disclosed to sponsors”</w:t>
      </w:r>
      <w:r>
        <w:rPr>
          <w:i/>
          <w:iCs/>
        </w:rPr>
        <w:t xml:space="preserve"> </w:t>
      </w:r>
      <w:r>
        <w:rPr>
          <w:i/>
          <w:iCs/>
        </w:rPr>
        <w:t xml:space="preserve">answer is completed; it was</w:t>
      </w:r>
      <w:r>
        <w:rPr>
          <w:i/>
          <w:iCs/>
        </w:rPr>
        <w:t xml:space="preserve"> </w:t>
      </w:r>
      <w:r>
        <w:rPr>
          <w:i/>
          <w:iCs/>
        </w:rPr>
        <w:t xml:space="preserve">flagged blank in 2022.</w:t>
      </w:r>
    </w:p>
    <w:bookmarkEnd w:id="14"/>
    <w:bookmarkStart w:id="15" w:name="X330c6a74d65616e8c37d65c197cdc89368b6a74"/>
    <w:p>
      <w:pPr>
        <w:pStyle w:val="Heading1"/>
      </w:pPr>
      <w:r>
        <w:t xml:space="preserve">Personnel Information — Key Personnel Additions</w:t>
      </w:r>
    </w:p>
    <w:p>
      <w:pPr>
        <w:pStyle w:val="FirstParagraph"/>
      </w:pPr>
      <w:r>
        <w:t xml:space="preserve">Role for each: Other Investigator, Student/Resident/Fellow, unless noted.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Ashley Schehr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Annika Tekumulla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Margret Khoushi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Ryan Christian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Dane Hubers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Faris Mahjoub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Hassan Saad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Mia Sooch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Sathya Siddapureddy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Michael McLellan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Jerick Kim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Emi Ueda-Martinez</w:t>
            </w:r>
          </w:p>
        </w:tc>
        <w:tc>
          <w:tcPr/>
          <w:p>
            <w:pPr>
              <w:pStyle w:val="Compact"/>
            </w:pPr>
            <w:r>
              <w:t xml:space="preserve">hv3612@wayne.edu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Nishaan Makim</w:t>
            </w:r>
          </w:p>
        </w:tc>
        <w:tc>
          <w:tcPr/>
          <w:p>
            <w:pPr>
              <w:pStyle w:val="Compact"/>
            </w:pPr>
            <w:r>
              <w:t xml:space="preserve">naahsin@gmail.com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WSU-affiliated.</w:t>
            </w:r>
            <w:r>
              <w:t xml:space="preserve"> </w:t>
            </w:r>
            <w:r>
              <w:t xml:space="preserve">Every personnel entry in this protocol carries a WSU AccessID, and Obligations and COI are signed in eProtocol. He will need a sponsored/guest WSU AccessID before he can be listed; CITI must then be completed under that WSU affiliation so the protocol can pull his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Miraziz Ismoilov, MD; Nizar Alnabahneh, 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Radiology.</w:t>
            </w:r>
            <w:r>
              <w:t xml:space="preserve"> </w:t>
            </w:r>
            <w:r>
              <w:rPr>
                <w:b/>
                <w:bCs/>
              </w:rPr>
              <w:t xml:space="preserve">Add only if they will adjudicate DMC images</w:t>
            </w:r>
            <w:r>
              <w:t xml:space="preserve">; omit if their role stays on public data.</w:t>
            </w:r>
          </w:p>
        </w:tc>
      </w:tr>
    </w:tbl>
    <w:p>
      <w:pPr>
        <w:pStyle w:val="BodyText"/>
      </w:pPr>
      <w:r>
        <w:t xml:space="preserve">Each must complete before submission: CITI</w:t>
      </w:r>
      <w:r>
        <w:t xml:space="preserve"> </w:t>
      </w:r>
      <w:r>
        <w:rPr>
          <w:i/>
          <w:iCs/>
        </w:rPr>
        <w:t xml:space="preserve">Biomedical Investigators</w:t>
      </w:r>
      <w:r>
        <w:t xml:space="preserve">,</w:t>
      </w:r>
      <w:r>
        <w:t xml:space="preserve"> </w:t>
      </w:r>
      <w:r>
        <w:rPr>
          <w:i/>
          <w:iCs/>
        </w:rPr>
        <w:t xml:space="preserve">HIPS for Students</w:t>
      </w:r>
      <w:r>
        <w:rPr>
          <w:i/>
          <w:iCs/>
        </w:rPr>
        <w:t xml:space="preserve"> </w:t>
      </w:r>
      <w:r>
        <w:rPr>
          <w:i/>
          <w:iCs/>
        </w:rPr>
        <w:t xml:space="preserve">and Instructors</w:t>
      </w:r>
      <w:r>
        <w:t xml:space="preserve">,</w:t>
      </w:r>
      <w:r>
        <w:t xml:space="preserve"> </w:t>
      </w:r>
      <w:r>
        <w:rPr>
          <w:i/>
          <w:iCs/>
        </w:rPr>
        <w:t xml:space="preserve">Biomedical Responsible Conduct of Research</w:t>
      </w:r>
      <w:r>
        <w:t xml:space="preserve">; sign the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page;</w:t>
      </w:r>
      <w:r>
        <w:t xml:space="preserve"> </w:t>
      </w:r>
      <w:r>
        <w:t xml:space="preserve">complete</w:t>
      </w:r>
      <w:r>
        <w:t xml:space="preserve"> </w:t>
      </w:r>
      <w:r>
        <w:rPr>
          <w:b/>
          <w:bCs/>
        </w:rPr>
        <w:t xml:space="preserve">COI</w:t>
      </w:r>
      <w:r>
        <w:t xml:space="preserve">. One incomplete person holds the amendment; list whoever is done by the</w:t>
      </w:r>
      <w:r>
        <w:t xml:space="preserve"> </w:t>
      </w:r>
      <w:r>
        <w:t xml:space="preserve">submission date and add the rest on the next one.</w:t>
      </w:r>
    </w:p>
    <w:bookmarkEnd w:id="15"/>
    <w:bookmarkStart w:id="16" w:name="study-location-dmc-application"/>
    <w:p>
      <w:pPr>
        <w:pStyle w:val="Heading1"/>
      </w:pPr>
      <w:r>
        <w:t xml:space="preserve">Study Location / DMC Application</w:t>
      </w:r>
    </w:p>
    <w:p>
      <w:pPr>
        <w:pStyle w:val="FirstParagraph"/>
      </w:pPr>
      <w:r>
        <w:t xml:space="preserve">DMC unchanged.</w:t>
      </w:r>
      <w:r>
        <w:t xml:space="preserve"> </w:t>
      </w:r>
      <w:r>
        <w:rPr>
          <w:b/>
          <w:bCs/>
        </w:rPr>
        <w:t xml:space="preserve">DMC Application, Section 5:</w:t>
      </w:r>
      <w:r>
        <w:t xml:space="preserve"> </w:t>
      </w:r>
      <w:r>
        <w:t xml:space="preserve">re-select</w:t>
      </w:r>
      <w:r>
        <w:t xml:space="preserve"> </w:t>
      </w:r>
      <w:r>
        <w:t xml:space="preserve">“DMC Radiology/Imaging Services”</w:t>
      </w:r>
      <w:r>
        <w:t xml:space="preserve"> </w:t>
      </w:r>
      <w:r>
        <w:t xml:space="preserve">with a statement that images will be retrieved from PACS, not only records read. It was</w:t>
      </w:r>
      <w:r>
        <w:t xml:space="preserve"> </w:t>
      </w:r>
      <w:r>
        <w:t xml:space="preserve">deselected in 2022 at the CRO reviewer’s request.</w:t>
      </w:r>
    </w:p>
    <w:bookmarkEnd w:id="16"/>
    <w:bookmarkStart w:id="17" w:name="attachments-add-highlighted"/>
    <w:p>
      <w:pPr>
        <w:pStyle w:val="Heading1"/>
      </w:pPr>
      <w:r>
        <w:t xml:space="preserve">Attachments — add, highlighted</w:t>
      </w:r>
    </w:p>
    <w:p>
      <w:pPr>
        <w:pStyle w:val="Compact"/>
        <w:numPr>
          <w:ilvl w:val="0"/>
          <w:numId w:val="1002"/>
        </w:numPr>
      </w:pPr>
      <w:r>
        <w:t xml:space="preserve">Revised data collection sheet (</w:t>
      </w:r>
      <w:r>
        <w:t xml:space="preserve">“Orthopaedic Trauma Patient Variables”</w:t>
      </w:r>
      <w:r>
        <w:t xml:space="preserve">) with imaging fields:</w:t>
      </w:r>
      <w:r>
        <w:t xml:space="preserve"> </w:t>
      </w:r>
      <w:r>
        <w:t xml:space="preserve">study ID, radiograph accession and views present, CT accession, report findings.</w:t>
      </w:r>
    </w:p>
    <w:p>
      <w:pPr>
        <w:pStyle w:val="Compact"/>
        <w:numPr>
          <w:ilvl w:val="0"/>
          <w:numId w:val="1002"/>
        </w:numPr>
      </w:pPr>
      <w:r>
        <w:t xml:space="preserve">Revised protocol document with the imaging methodology and the named storage environment.</w:t>
      </w:r>
    </w:p>
    <w:p>
      <w:pPr>
        <w:pStyle w:val="Compact"/>
        <w:numPr>
          <w:ilvl w:val="0"/>
          <w:numId w:val="1002"/>
        </w:numPr>
      </w:pPr>
      <w:r>
        <w:t xml:space="preserve">Revised DMC Application (Section 5).</w:t>
      </w:r>
    </w:p>
    <w:bookmarkEnd w:id="17"/>
    <w:bookmarkStart w:id="18" w:name="open-before-submission"/>
    <w:p>
      <w:pPr>
        <w:pStyle w:val="Heading1"/>
      </w:pPr>
      <w:r>
        <w:t xml:space="preserve">Open before submission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[N]</w:t>
      </w:r>
      <w:r>
        <w:t xml:space="preserve"> </w:t>
      </w:r>
      <w:r>
        <w:t xml:space="preserve">from a trauma-log query: encounters with a thoracolumbar or lumbar spine</w:t>
      </w:r>
      <w:r>
        <w:t xml:space="preserve"> </w:t>
      </w:r>
      <w:r>
        <w:t xml:space="preserve">radiograph and a spine CT report in the same encounter, and the log’s date range.</w:t>
      </w:r>
    </w:p>
    <w:p>
      <w:pPr>
        <w:pStyle w:val="Compact"/>
        <w:numPr>
          <w:ilvl w:val="0"/>
          <w:numId w:val="1003"/>
        </w:numPr>
      </w:pPr>
      <w:r>
        <w:t xml:space="preserve">Radiology residents on or off the amendment.</w:t>
      </w:r>
    </w:p>
    <w:p>
      <w:pPr>
        <w:pStyle w:val="Compact"/>
        <w:numPr>
          <w:ilvl w:val="0"/>
          <w:numId w:val="1003"/>
        </w:numPr>
      </w:pPr>
      <w:r>
        <w:t xml:space="preserve">A labeling tool on WSU compute (ITK-SNAP or 3D Slicer on a WSU machine, or self-hosted</w:t>
      </w:r>
      <w:r>
        <w:t xml:space="preserve"> </w:t>
      </w:r>
      <w:r>
        <w:t xml:space="preserve">CVAT on the cluster). The Colab server used for the CT work is commercial cloud and is</w:t>
      </w:r>
      <w:r>
        <w:t xml:space="preserve"> </w:t>
      </w:r>
      <w:r>
        <w:t xml:space="preserve">excluded by the storage text above.</w:t>
      </w:r>
    </w:p>
    <w:p>
      <w:pPr>
        <w:pStyle w:val="Compact"/>
        <w:numPr>
          <w:ilvl w:val="0"/>
          <w:numId w:val="1003"/>
        </w:numPr>
      </w:pPr>
      <w:r>
        <w:t xml:space="preserve">A sponsored WSU AccessID for Nishaan Makim.</w:t>
      </w:r>
    </w:p>
    <w:bookmarkEnd w:id="18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GLEAMER BoneView: FDA 510(k) clearance, March 2022; figures as reported by the</w:t>
      </w:r>
      <w:r>
        <w:t xml:space="preserve"> </w:t>
      </w:r>
      <w:r>
        <w:t xml:space="preserve">manufacturer. https://www.gleamer.ai</w:t>
      </w:r>
    </w:p>
    <w:p>
      <w:pPr>
        <w:pStyle w:val="Compact"/>
        <w:numPr>
          <w:ilvl w:val="0"/>
          <w:numId w:val="1004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4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4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4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(v7 at doi:10.5281/zenodo.22242745). Dataset descriptor in preparation.</w:t>
      </w:r>
    </w:p>
    <w:p>
      <w:pPr>
        <w:pStyle w:val="Compact"/>
        <w:numPr>
          <w:ilvl w:val="0"/>
          <w:numId w:val="1004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p>
      <w:pPr>
        <w:pStyle w:val="Compact"/>
        <w:numPr>
          <w:ilvl w:val="0"/>
          <w:numId w:val="1004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Amendment to IRB-21-10-4123: Automated fracture detection and vertebral level identification on trauma spine radiographs</dc:title>
  <dc:creator>Prepared by Gregory Schwing, MD, PhD (Other Investigator) for Andreea Geamanu</dc:creator>
  <cp:keywords/>
  <dcterms:created xsi:type="dcterms:W3CDTF">2026-09-04T01:36:40Z</dcterms:created>
  <dcterms:modified xsi:type="dcterms:W3CDTF">2026-09-04T01:36:40Z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Improving Outcome in Orthopaedics Trauma Care — PI: Rahul Vaidya, MD — Expedited amendment, PI-originated, study open to accrual</vt:lpwstr>
  </property>
</Properties>
</file>