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df" ContentType="application/pdf"/>
  <Override PartName="/word/media/rId36.pdf" ContentType="application/pdf"/>
  <Override PartName="/word/media/rId49.pdf" ContentType="application/pdf"/>
  <Override PartName="/word/media/rId28.pdf" ContentType="application/pdf"/>
  <Override PartName="/word/media/rId45.pdf" ContentType="application/pdf"/>
  <Override PartName="/word/media/rId40.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CTSpinoPelvic1K: spine, pelvis, ribs and femora in one coordinate frame, annotated for lumbosacral transitional anatomy</w:t>
      </w:r>
    </w:p>
    <w:p>
      <w:pPr>
        <w:pStyle w:val="Author"/>
      </w:pPr>
      <w:r>
        <w:t xml:space="preserve">Gregory Schwing, MD, PhD; Ashley Schehr, BS; Annika Tekumulla, BS; Margret Khoushi, BS; Ryan Christian, BS; Dane Hubers, BS; Faris Mahjoub, BS; Hassan Saad, BS; Mia Sooch, BA; Sathya Siddapureddy, BS; Michael McLellan, BS; Jerick Kim, BS; Miraziz Ismoilov, MD; Nizar Alnabahneh, MD</w:t>
      </w:r>
    </w:p>
    <w:p>
      <w:pPr>
        <w:pStyle w:val="AbstractTitle"/>
      </w:pPr>
      <w:r>
        <w:t xml:space="preserve">Abstract</w:t>
      </w:r>
    </w:p>
    <w:p>
      <w:pPr>
        <w:pStyle w:val="Abstract"/>
      </w:pPr>
      <w:r>
        <w:rPr>
          <w:b/>
          <w:bCs/>
        </w:rPr>
        <w:t xml:space="preserve">Purpose:</w:t>
      </w:r>
      <w:r>
        <w:t xml:space="preserve"> </w:t>
      </w:r>
      <w:r>
        <w:t xml:space="preserve">For transitional anatomy the gold standard for numeration remains</w:t>
      </w:r>
      <w:r>
        <w:t xml:space="preserve"> </w:t>
      </w:r>
      <w:r>
        <w:t xml:space="preserve">whole-spine imaging and counting caudally from C2 </w:t>
      </w:r>
      <w:r>
        <w:t xml:space="preserve">. Abdominal CT does not</w:t>
      </w:r>
      <w:r>
        <w:t xml:space="preserve"> </w:t>
      </w:r>
      <w:r>
        <w:t xml:space="preserve">contain C2, and where a lumbosacral</w:t>
      </w:r>
      <w:r>
        <w:t xml:space="preserve"> </w:t>
      </w:r>
      <w:r>
        <w:t xml:space="preserve">transitional vertebra (LSTV) alters the count the local anatomy is ambiguous: four rib-free lumbar</w:t>
      </w:r>
      <w:r>
        <w:t xml:space="preserve"> </w:t>
      </w:r>
      <w:r>
        <w:t xml:space="preserve">vertebrae may mean an L1 bearing a lumbar rib or an L5 assimilated to the sacrum, and six</w:t>
      </w:r>
      <w:r>
        <w:t xml:space="preserve"> </w:t>
      </w:r>
      <w:r>
        <w:t xml:space="preserve">may mean a sixth lumbar vertebra, a T12 whose ribs are aplastic, or an S1 lumbarized from</w:t>
      </w:r>
      <w:r>
        <w:t xml:space="preserve"> </w:t>
      </w:r>
      <w:r>
        <w:t xml:space="preserve">the sacrum </w:t>
      </w:r>
      <w:r>
        <w:t xml:space="preserve">. CTSpinoPelvic1K is built so that this can be</w:t>
      </w:r>
      <w:r>
        <w:t xml:space="preserve"> </w:t>
      </w:r>
      <w:r>
        <w:t xml:space="preserve">asked of the data: whether local morphology resolves them without counting from C2. It provides 802 CT records anchoring each lumbar level on</w:t>
      </w:r>
      <w:r>
        <w:t xml:space="preserve"> </w:t>
      </w:r>
      <w:r>
        <w:t xml:space="preserve">the lowest rib-bearing vertebra above and the first sacral segment below, with</w:t>
      </w:r>
      <w:r>
        <w:t xml:space="preserve"> </w:t>
      </w:r>
      <w:r>
        <w:t xml:space="preserve">radiologist-sourced spine</w:t>
      </w:r>
      <w:r>
        <w:t xml:space="preserve"> </w:t>
      </w:r>
      <w:r>
        <w:rPr>
          <w:i/>
          <w:iCs/>
        </w:rPr>
        <w:t xml:space="preserve">and</w:t>
      </w:r>
      <w:r>
        <w:t xml:space="preserve"> </w:t>
      </w:r>
      <w:r>
        <w:t xml:space="preserve">pelvic annotation on one frame, per-level ribs and</w:t>
      </w:r>
      <w:r>
        <w:t xml:space="preserve"> </w:t>
      </w:r>
      <w:r>
        <w:t xml:space="preserve">femora. Classes for a sixth lumbar vertebra, a thirteenth thoracic vertebra, a separate first</w:t>
      </w:r>
      <w:r>
        <w:t xml:space="preserve"> </w:t>
      </w:r>
      <w:r>
        <w:t xml:space="preserve">sacral segment and lumbar ribs cover the anomalies.</w:t>
      </w:r>
    </w:p>
    <w:p>
      <w:pPr>
        <w:pStyle w:val="Abstract"/>
      </w:pPr>
      <w:r>
        <w:rPr>
          <w:b/>
          <w:bCs/>
        </w:rPr>
        <w:t xml:space="preserve">Acquisition and Validation Methods:</w:t>
      </w:r>
      <w:r>
        <w:t xml:space="preserve"> </w:t>
      </w:r>
      <w:r>
        <w:t xml:space="preserve">Records pair TCIA CT COLONOGRAPHY imaging with</w:t>
      </w:r>
      <w:r>
        <w:t xml:space="preserve"> </w:t>
      </w:r>
      <w:r>
        <w:t xml:space="preserve">CTSpine1K </w:t>
      </w:r>
      <w:r>
        <w:t xml:space="preserve"> </w:t>
      </w:r>
      <w:r>
        <w:t xml:space="preserve">vertebral and CTPelvic1K </w:t>
      </w:r>
      <w:r>
        <w:t xml:space="preserve"> </w:t>
      </w:r>
      <w:r>
        <w:t xml:space="preserve">pelvic labels on the acquisition with highest bone coverage, under a VerSe-native scheme. Validation: geometric invariants (802/802 pass); rib–vertebra incidence across 5</w:t>
      </w:r>
      <w:r>
        <w:t xml:space="preserve">,</w:t>
      </w:r>
      <w:r>
        <w:t xml:space="preserve">749 evaluable ribs (2 offsets,</w:t>
      </w:r>
      <w:r>
        <w:t xml:space="preserve"> </w:t>
      </w:r>
      <w:r>
        <w:t xml:space="preserve">0.035%); and agreement of spinopelvic measures with published values.</w:t>
      </w:r>
    </w:p>
    <w:p>
      <w:pPr>
        <w:pStyle w:val="Abstract"/>
      </w:pPr>
      <w:r>
        <w:rPr>
          <w:b/>
          <w:bCs/>
        </w:rPr>
        <w:t xml:space="preserve">Data Format and Usage Notes:</w:t>
      </w:r>
      <w:r>
        <w:t xml:space="preserve"> </w:t>
      </w:r>
      <w:r>
        <w:t xml:space="preserve">Gzipped NIfTI image/label pairs sharing one affine, canonicalized to PIR, with frozen patient-grouped LSTV-stratified five-fold splits and a reference loader; archived under a persistent identifier, .</w:t>
      </w:r>
    </w:p>
    <w:p>
      <w:pPr>
        <w:pStyle w:val="Abstract"/>
      </w:pPr>
      <w:r>
        <w:rPr>
          <w:b/>
          <w:bCs/>
        </w:rPr>
        <w:t xml:space="preserve">Potential Applications:</w:t>
      </w:r>
      <w:r>
        <w:t xml:space="preserve"> </w:t>
      </w:r>
      <w:r>
        <w:t xml:space="preserve">Testing whether a network can classify a vertebra from</w:t>
      </w:r>
      <w:r>
        <w:t xml:space="preserve"> </w:t>
      </w:r>
      <w:r>
        <w:t xml:space="preserve">local features alone; updating textbook morphometry drawn from small cadaveric series;</w:t>
      </w:r>
      <w:r>
        <w:t xml:space="preserve"> </w:t>
      </w:r>
      <w:r>
        <w:t xml:space="preserve">spinopelvic assessment; variant studies; opportunistic screening.</w:t>
      </w:r>
      <w:r>
        <w:t xml:space="preserve"> </w:t>
      </w:r>
      <w:r>
        <w:rPr>
          <w:i/>
          <w:iCs/>
        </w:rPr>
        <w:t xml:space="preserve">Limitations:</w:t>
      </w:r>
      <w:r>
        <w:t xml:space="preserve"> </w:t>
      </w:r>
      <w:r>
        <w:t xml:space="preserve">thoracic ground truth is field-of-view limited; postural</w:t>
      </w:r>
      <w:r>
        <w:t xml:space="preserve"> </w:t>
      </w:r>
      <w:r>
        <w:t xml:space="preserve">angles supine; no held-out test set; the rib layer is a triaged-review pseudolabel;</w:t>
      </w:r>
      <w:r>
        <w:t xml:space="preserve"> </w:t>
      </w:r>
      <w:r>
        <w:t xml:space="preserve">Castellvi grades are a two-reader consensus.</w:t>
      </w:r>
    </w:p>
    <w:p>
      <w:pPr>
        <w:pStyle w:val="FirstParagraph"/>
      </w:pPr>
      <w:r>
        <w:rPr>
          <w:i/>
          <w:iCs/>
        </w:rPr>
        <w:t xml:space="preserve">Draft for co-author review — not the submission copy.</w:t>
      </w:r>
    </w:p>
    <w:bookmarkStart w:id="10" w:name="introduction"/>
    <w:p>
      <w:pPr>
        <w:pStyle w:val="Heading1"/>
      </w:pPr>
      <w:r>
        <w:t xml:space="preserve">Introduction</w:t>
      </w:r>
    </w:p>
    <w:p>
      <w:pPr>
        <w:pStyle w:val="FirstParagraph"/>
      </w:pPr>
      <w:r>
        <w:t xml:space="preserve">The spine commonly carries seven cervical, twelve thoracic and five lumbar vertebrae, and a</w:t>
      </w:r>
      <w:r>
        <w:t xml:space="preserve"> </w:t>
      </w:r>
      <w:r>
        <w:t xml:space="preserve">vertebra is identified by where it falls in that sequence. Transitional variants sit at the</w:t>
      </w:r>
      <w:r>
        <w:t xml:space="preserve"> </w:t>
      </w:r>
      <w:r>
        <w:t xml:space="preserve">two ends of the lumbar column, the thoracolumbar transitional vertebra (TLTV) above and the</w:t>
      </w:r>
      <w:r>
        <w:t xml:space="preserve"> </w:t>
      </w:r>
      <w:r>
        <w:t xml:space="preserve">lumbosacral transitional vertebra (LSTV) below, and they disturb identification in two</w:t>
      </w:r>
      <w:r>
        <w:t xml:space="preserve"> </w:t>
      </w:r>
      <w:r>
        <w:t xml:space="preserve">ways at once. They change what the border vertebra and its ribs</w:t>
      </w:r>
      <w:r>
        <w:t xml:space="preserve"> </w:t>
      </w:r>
      <w:r>
        <w:rPr>
          <w:i/>
          <w:iCs/>
        </w:rPr>
        <w:t xml:space="preserve">look like</w:t>
      </w:r>
      <w:r>
        <w:t xml:space="preserve">: a</w:t>
      </w:r>
      <w:r>
        <w:t xml:space="preserve"> </w:t>
      </w:r>
      <w:r>
        <w:t xml:space="preserve">thoracolumbar border vertebra may carry a full rib, a hypoplastic stump, or none at all, and</w:t>
      </w:r>
      <w:r>
        <w:t xml:space="preserve"> </w:t>
      </w:r>
      <w:r>
        <w:t xml:space="preserve">a lumbosacral one may be partly or completely assimilated to the sacrum</w:t>
      </w:r>
      <w:r>
        <w:t xml:space="preserve"> </w:t>
      </w:r>
      <w:r>
        <w:t xml:space="preserve">(</w:t>
      </w:r>
      <w:r>
        <w:rPr>
          <w:i/>
          <w:iCs/>
        </w:rPr>
        <w:t xml:space="preserve">sacralization</w:t>
      </w:r>
      <w:r>
        <w:t xml:space="preserve">), with an anteriorly wedged body, a reduced disc beneath it and</w:t>
      </w:r>
      <w:r>
        <w:t xml:space="preserve"> </w:t>
      </w:r>
      <w:r>
        <w:t xml:space="preserve">hypoplastic facet joints, or conversely separated from it (</w:t>
      </w:r>
      <w:r>
        <w:rPr>
          <w:i/>
          <w:iCs/>
        </w:rPr>
        <w:t xml:space="preserve">lumbarization</w:t>
      </w:r>
      <w:r>
        <w:t xml:space="preserve">), with a</w:t>
      </w:r>
      <w:r>
        <w:t xml:space="preserve"> </w:t>
      </w:r>
      <w:r>
        <w:t xml:space="preserve">squared body, lumbar-type facets and a full-height disc </w:t>
      </w:r>
      <w:r>
        <w:t xml:space="preserve">. They also</w:t>
      </w:r>
      <w:r>
        <w:t xml:space="preserve"> </w:t>
      </w:r>
      <w:r>
        <w:t xml:space="preserve">change</w:t>
      </w:r>
      <w:r>
        <w:t xml:space="preserve"> </w:t>
      </w:r>
      <w:r>
        <w:rPr>
          <w:i/>
          <w:iCs/>
        </w:rPr>
        <w:t xml:space="preserve">how many</w:t>
      </w:r>
      <w:r>
        <w:t xml:space="preserve"> </w:t>
      </w:r>
      <w:r>
        <w:t xml:space="preserve">vertebrae each region contains: eleven or thirteen thoracic, four or</w:t>
      </w:r>
      <w:r>
        <w:t xml:space="preserve"> </w:t>
      </w:r>
      <w:r>
        <w:t xml:space="preserve">six lumbar.</w:t>
      </w:r>
    </w:p>
    <w:p>
      <w:pPr>
        <w:pStyle w:val="BodyText"/>
      </w:pPr>
      <w:r>
        <w:t xml:space="preserve">Either change alone would be tractable. Together they make it difficult to state definitively</w:t>
      </w:r>
      <w:r>
        <w:t xml:space="preserve"> </w:t>
      </w:r>
      <w:r>
        <w:t xml:space="preserve">what any vertebra at these borders</w:t>
      </w:r>
      <w:r>
        <w:t xml:space="preserve"> </w:t>
      </w:r>
      <w:r>
        <w:rPr>
          <w:i/>
          <w:iCs/>
        </w:rPr>
        <w:t xml:space="preserve">is</w:t>
      </w:r>
      <w:r>
        <w:t xml:space="preserve">. Four rib-free vertebrae above the sacrum may mean</w:t>
      </w:r>
      <w:r>
        <w:t xml:space="preserve"> </w:t>
      </w:r>
      <w:r>
        <w:t xml:space="preserve">an L1 bearing a lumbar rib or an L5 assimilated to it; six may mean a true sixth lumbar</w:t>
      </w:r>
      <w:r>
        <w:t xml:space="preserve"> </w:t>
      </w:r>
      <w:r>
        <w:t xml:space="preserve">vertebra, a T12 whose ribs are aplastic, or an S1 lumbarized away from the sacrum. Each</w:t>
      </w:r>
      <w:r>
        <w:t xml:space="preserve"> </w:t>
      </w:r>
      <w:r>
        <w:t xml:space="preserve">set yields the same count, and the morphology that would separate the readings is not</w:t>
      </w:r>
      <w:r>
        <w:t xml:space="preserve"> </w:t>
      </w:r>
      <w:r>
        <w:t xml:space="preserve">decisive to a human reader in every case. Whether it differs enough for a learned classifier to separate them, or at</w:t>
      </w:r>
      <w:r>
        <w:t xml:space="preserve"> </w:t>
      </w:r>
      <w:r>
        <w:t xml:space="preserve">least to assign each reading a probability, is the question this release is built to</w:t>
      </w:r>
      <w:r>
        <w:t xml:space="preserve"> </w:t>
      </w:r>
      <w:r>
        <w:t xml:space="preserve">support. Absent that, what remains is the count itself: the gold standard for numeration in</w:t>
      </w:r>
      <w:r>
        <w:t xml:space="preserve"> </w:t>
      </w:r>
      <w:r>
        <w:t xml:space="preserve">transitional anatomy is whole-spine imaging, counting caudally from C2 </w:t>
      </w:r>
      <w:r>
        <w:t xml:space="preserve">, so</w:t>
      </w:r>
      <w:r>
        <w:t xml:space="preserve"> </w:t>
      </w:r>
      <w:r>
        <w:t xml:space="preserve">that each vertebra is named by its ordinal position whatever it carries, and no</w:t>
      </w:r>
      <w:r>
        <w:t xml:space="preserve"> </w:t>
      </w:r>
      <w:r>
        <w:t xml:space="preserve">spine-limited acquisition can supply it. LSTV is common,</w:t>
      </w:r>
      <w:r>
        <w:t xml:space="preserve"> </w:t>
      </w:r>
      <w:r>
        <w:t xml:space="preserve">reported between 4% and 30% depending on definition, and wrong-level surgery is its most</w:t>
      </w:r>
      <w:r>
        <w:t xml:space="preserve"> </w:t>
      </w:r>
      <w:r>
        <w:t xml:space="preserve">serious consequence.</w:t>
      </w:r>
    </w:p>
    <w:p>
      <w:pPr>
        <w:pStyle w:val="BodyText"/>
      </w:pPr>
      <w:r>
        <w:t xml:space="preserve">Existing public collections cannot address this, and size is not the reason</w:t>
      </w:r>
      <w:r>
        <w:t xml:space="preserve"> </w:t>
      </w:r>
      <w:r>
        <w:t xml:space="preserve">(Table </w:t>
      </w:r>
      <w:hyperlink w:anchor="tab:priorart">
        <w:r>
          <w:rPr>
            <w:rStyle w:val="Hyperlink"/>
          </w:rPr>
          <w:t xml:space="preserve">[tab:priorart]</w:t>
        </w:r>
      </w:hyperlink>
      <w:r>
        <w:t xml:space="preserve">). Spine datasets omit the pelvis; pelvic datasets do not number the</w:t>
      </w:r>
      <w:r>
        <w:t xml:space="preserve"> </w:t>
      </w:r>
      <w:r>
        <w:t xml:space="preserve">vertebrae; and TotalSegmentator, the whole-body scheme, has no class for a sixth lumbar</w:t>
      </w:r>
      <w:r>
        <w:t xml:space="preserve"> </w:t>
      </w:r>
      <w:r>
        <w:t xml:space="preserve">vertebra or for a rib on a lumbar vertebra. A six-lumbar spine therefore cannot be recorded</w:t>
      </w:r>
      <w:r>
        <w:t xml:space="preserve"> </w:t>
      </w:r>
      <w:r>
        <w:t xml:space="preserve">in any of them, however good the segmentation, and a segmenter trained on them inherits the</w:t>
      </w:r>
      <w:r>
        <w:t xml:space="preserve"> </w:t>
      </w:r>
      <w:r>
        <w:t xml:space="preserve">gap: faced with an enumeration anomaly it must shift the whole column by a level or absorb a</w:t>
      </w:r>
      <w:r>
        <w:t xml:space="preserve"> </w:t>
      </w:r>
      <w:r>
        <w:t xml:space="preserve">vertebra into its neighbor. The size of that problem has now been measured on CT, where</w:t>
      </w:r>
      <w:r>
        <w:t xml:space="preserve"> </w:t>
      </w:r>
      <w:r>
        <w:t xml:space="preserve">prior labeling methods assigned every vertebra correctly in 77% of subjects and an</w:t>
      </w:r>
      <w:r>
        <w:t xml:space="preserve"> </w:t>
      </w:r>
      <w:r>
        <w:t xml:space="preserve">anomaly-aware method raised that to 99% </w:t>
      </w:r>
      <w:r>
        <w:t xml:space="preserve">. VerSe </w:t>
      </w:r>
      <w:r>
        <w:t xml:space="preserve"> </w:t>
      </w:r>
      <w:r>
        <w:t xml:space="preserve">makes the point most clearly (Table </w:t>
      </w:r>
      <w:hyperlink w:anchor="tab:priorart">
        <w:r>
          <w:rPr>
            <w:rStyle w:val="Hyperlink"/>
          </w:rPr>
          <w:t xml:space="preserve">[tab:priorart]</w:t>
        </w:r>
      </w:hyperlink>
      <w:r>
        <w:t xml:space="preserve">): it deliberately enriched for</w:t>
      </w:r>
      <w:r>
        <w:t xml:space="preserve"> </w:t>
      </w:r>
      <w:r>
        <w:t xml:space="preserve">anatomical variants and graded them by Castellvi, yet left the graded vertebrae fused to the</w:t>
      </w:r>
      <w:r>
        <w:t xml:space="preserve"> </w:t>
      </w:r>
      <w:r>
        <w:t xml:space="preserve">sacrum unsegmented.</w:t>
      </w:r>
    </w:p>
    <w:p>
      <w:pPr>
        <w:pStyle w:val="BodyText"/>
      </w:pPr>
      <w:r>
        <w:t xml:space="preserve">The intraoperative side of the problem has prior art of its own. LevelCheck registers the</w:t>
      </w:r>
      <w:r>
        <w:t xml:space="preserve"> </w:t>
      </w:r>
      <w:r>
        <w:t xml:space="preserve">intraoperative radiograph to the preoperative CT and projects the CT’s vertebral labels onto</w:t>
      </w:r>
      <w:r>
        <w:t xml:space="preserve"> </w:t>
      </w:r>
      <w:r>
        <w:t xml:space="preserve">it, localizing the target level in a limited field of view to within a few percent of cases</w:t>
      </w:r>
      <w:r>
        <w:t xml:space="preserve"> </w:t>
      </w:r>
      <w:r>
        <w:t xml:space="preserve">in clinical use </w:t>
      </w:r>
      <w:r>
        <w:t xml:space="preserve">. The labels it projects are placed by</w:t>
      </w:r>
      <w:r>
        <w:t xml:space="preserve"> </w:t>
      </w:r>
      <w:r>
        <w:t xml:space="preserve">hand on the CT, by a skilled operator and verified by the surgeon </w:t>
      </w:r>
      <w:r>
        <w:t xml:space="preserve">: the</w:t>
      </w:r>
      <w:r>
        <w:t xml:space="preserve"> </w:t>
      </w:r>
      <w:r>
        <w:t xml:space="preserve">method assumes a correctly labeled CT and does not supply one. Automating that step, and</w:t>
      </w:r>
      <w:r>
        <w:t xml:space="preserve"> </w:t>
      </w:r>
      <w:r>
        <w:t xml:space="preserve">getting it right precisely where the anatomy is anomalous, is what a dataset carrying the</w:t>
      </w:r>
      <w:r>
        <w:t xml:space="preserve"> </w:t>
      </w:r>
      <w:r>
        <w:t xml:space="preserve">classes those anomalies produce is for.</w:t>
      </w:r>
    </w:p>
    <w:p>
      <w:pPr>
        <w:pStyle w:val="BodyText"/>
      </w:pPr>
      <w:r>
        <w:t xml:space="preserve">CTSpinoPelvic1K places the spine, pelvis, ribs and femora in one coordinate frame and gives</w:t>
      </w:r>
      <w:r>
        <w:t xml:space="preserve"> </w:t>
      </w:r>
      <w:r>
        <w:t xml:space="preserve">a class to each structure an enumeration anomaly produces: a sixth lumbar vertebra, and a</w:t>
      </w:r>
      <w:r>
        <w:t xml:space="preserve"> </w:t>
      </w:r>
      <w:r>
        <w:t xml:space="preserve">rib borne by a lumbar vertebra. A scheme without those classes lacks a class vocabulary</w:t>
      </w:r>
      <w:r>
        <w:t xml:space="preserve"> </w:t>
      </w:r>
      <w:r>
        <w:t xml:space="preserve">expressive enough to describe anatomic anomalies.</w:t>
      </w:r>
    </w:p>
    <w:p>
      <w:pPr>
        <w:pStyle w:val="BodyText"/>
      </w:pPr>
      <w:r>
        <w:rPr>
          <w:i/>
          <w:iCs/>
        </w:rPr>
        <w:t xml:space="preserve">Where the material is.</w:t>
      </w:r>
      <w:r>
        <w:t xml:space="preserve"> </w:t>
      </w:r>
      <w:r>
        <w:t xml:space="preserve">Everything described here is of a single</w:t>
      </w:r>
      <w:r>
        <w:t xml:space="preserve"> </w:t>
      </w:r>
      <w:r>
        <w:t xml:space="preserve">archived dataset, deposited at . Citations should</w:t>
      </w:r>
      <w:r>
        <w:t xml:space="preserve"> </w:t>
      </w:r>
      <w:r>
        <w:t xml:space="preserve">use , the permanent identifier for the dataset across all</w:t>
      </w:r>
      <w:r>
        <w:t xml:space="preserve"> </w:t>
      </w:r>
      <w:r>
        <w:t xml:space="preserve">of its versions, which resolves to whichever version is current; the version identifier</w:t>
      </w:r>
      <w:r>
        <w:t xml:space="preserve"> </w:t>
      </w:r>
      <w:r>
        <w:t xml:space="preserve">above pins the exact release measured in this manuscript. Documentation, the label scheme, the</w:t>
      </w:r>
      <w:r>
        <w:t xml:space="preserve"> </w:t>
      </w:r>
      <w:r>
        <w:t xml:space="preserve">reference loader and the per-record quality-control tables are distributed with the archive</w:t>
      </w:r>
      <w:r>
        <w:t xml:space="preserve"> </w:t>
      </w:r>
      <w:r>
        <w:t xml:space="preserve">and are described in Sec. </w:t>
      </w:r>
      <w:hyperlink w:anchor="sec:format">
        <w:r>
          <w:rPr>
            <w:rStyle w:val="Hyperlink"/>
          </w:rPr>
          <w:t xml:space="preserve">3</w:t>
        </w:r>
      </w:hyperlink>
      <w:r>
        <w:t xml:space="preserve">.</w:t>
      </w:r>
    </w:p>
    <w:bookmarkStart w:id="9" w:name="X22b48b7b459c7d36a584115c3178f04b0b53450"/>
    <w:p>
      <w:pPr>
        <w:pStyle w:val="Heading2"/>
      </w:pPr>
      <w:r>
        <w:t xml:space="preserve">Vertebra labeling when the scan cannot settle the count</w:t>
      </w:r>
    </w:p>
    <w:p>
      <w:pPr>
        <w:pStyle w:val="FirstParagraph"/>
      </w:pPr>
      <w:r>
        <w:rPr>
          <w:i/>
          <w:iCs/>
        </w:rPr>
        <w:t xml:space="preserve">The limitation, stated plainly.</w:t>
      </w:r>
      <w:r>
        <w:t xml:space="preserve"> </w:t>
      </w:r>
      <w:r>
        <w:t xml:space="preserve">No scan in this corpus contains C2, so the</w:t>
      </w:r>
      <w:r>
        <w:t xml:space="preserve"> </w:t>
      </w:r>
      <w:r>
        <w:t xml:space="preserve">conventional count cannot be performed: a property of abdominal imaging, not of the</w:t>
      </w:r>
      <w:r>
        <w:t xml:space="preserve"> </w:t>
      </w:r>
      <w:r>
        <w:t xml:space="preserve">annotation. A thirteenth thoracic vertebra, a lumbar rib and a</w:t>
      </w:r>
      <w:r>
        <w:t xml:space="preserve"> </w:t>
      </w:r>
      <w:r>
        <w:rPr>
          <w:i/>
          <w:iCs/>
        </w:rPr>
        <w:t xml:space="preserve">stump rib</w:t>
      </w:r>
      <w:r>
        <w:t xml:space="preserve"> </w:t>
      </w:r>
      <w:r>
        <w:t xml:space="preserve">(a</w:t>
      </w:r>
      <w:r>
        <w:t xml:space="preserve"> </w:t>
      </w:r>
      <w:r>
        <w:t xml:space="preserve">hypoplastic twelfth rib, a cardinal indicator of a thoracolumbar transitional vertebra)</w:t>
      </w:r>
      <w:r>
        <w:t xml:space="preserve"> </w:t>
      </w:r>
      <w:r>
        <w:t xml:space="preserve">leave the same number of rib-free vertebrae between the two borders of the lumbar spine, the</w:t>
      </w:r>
      <w:r>
        <w:t xml:space="preserve"> </w:t>
      </w:r>
      <w:r>
        <w:t xml:space="preserve">last rib-bearing vertebra and the sacrum.</w:t>
      </w:r>
    </w:p>
    <w:p>
      <w:pPr>
        <w:pStyle w:val="BodyText"/>
      </w:pPr>
      <w:r>
        <w:rPr>
          <w:i/>
          <w:iCs/>
        </w:rPr>
        <w:t xml:space="preserve">What the release does in addition.</w:t>
      </w:r>
      <w:r>
        <w:t xml:space="preserve"> </w:t>
      </w:r>
      <w:r>
        <w:t xml:space="preserve">Every vertebra carries the identifier its</w:t>
      </w:r>
      <w:r>
        <w:t xml:space="preserve"> </w:t>
      </w:r>
      <w:r>
        <w:t xml:space="preserve">radiologist-sourced annotation assigned, corrected where the source was wrong; those labels</w:t>
      </w:r>
      <w:r>
        <w:t xml:space="preserve"> </w:t>
      </w:r>
      <w:r>
        <w:t xml:space="preserve">are the ground truth. Alongside them, every released measurement is also expressed against</w:t>
      </w:r>
      <w:r>
        <w:t xml:space="preserve"> </w:t>
      </w:r>
      <w:r>
        <w:t xml:space="preserve">the two landmarks present in essentially every abdominal scan, the sacrum below and the</w:t>
      </w:r>
      <w:r>
        <w:t xml:space="preserve"> </w:t>
      </w:r>
      <w:r>
        <w:t xml:space="preserve">lowest rib-bearing vertebra above, so that the measurement is positional rather than</w:t>
      </w:r>
      <w:r>
        <w:t xml:space="preserve"> </w:t>
      </w:r>
      <w:r>
        <w:t xml:space="preserve">nominal: a vertebra by how many rib-free vertebrae</w:t>
      </w:r>
      <w:r>
        <w:t xml:space="preserve"> </w:t>
      </w:r>
      <w:r>
        <w:t xml:space="preserve">separate it from the sacrum, a lowest rib by its length as a fraction of the rib above it, a</w:t>
      </w:r>
      <w:r>
        <w:t xml:space="preserve"> </w:t>
      </w:r>
      <w:r>
        <w:t xml:space="preserve">transverse process by its span and its distance from the ala. None of these changes according</w:t>
      </w:r>
      <w:r>
        <w:t xml:space="preserve"> </w:t>
      </w:r>
      <w:r>
        <w:t xml:space="preserve">to whether a reader would have said L5 or S1, so cases that disagree about the name remain</w:t>
      </w:r>
      <w:r>
        <w:t xml:space="preserve"> </w:t>
      </w:r>
      <w:r>
        <w:t xml:space="preserve">comparable, and where the junction is in view the count is determined and the two</w:t>
      </w:r>
      <w:r>
        <w:t xml:space="preserve"> </w:t>
      </w:r>
      <w:r>
        <w:t xml:space="preserve">descriptions agree.</w:t>
      </w:r>
    </w:p>
    <w:p>
      <w:pPr>
        <w:pStyle w:val="BodyText"/>
      </w:pPr>
      <w:r>
        <w:rPr>
          <w:i/>
          <w:iCs/>
        </w:rPr>
        <w:t xml:space="preserve">But the vertebrae themselves are known to differ.</w:t>
      </w:r>
      <w:r>
        <w:t xml:space="preserve"> </w:t>
      </w:r>
      <w:r>
        <w:t xml:space="preserve">Counting is not the only route to</w:t>
      </w:r>
      <w:r>
        <w:t xml:space="preserve"> </w:t>
      </w:r>
      <w:r>
        <w:t xml:space="preserve">an identity. Level-specific morphometry is long established: pedicle width and height change</w:t>
      </w:r>
      <w:r>
        <w:t xml:space="preserve"> </w:t>
      </w:r>
      <w:r>
        <w:t xml:space="preserve">systematically from the thoracic to the lumbar spine,</w:t>
      </w:r>
      <w:r>
        <w:t xml:space="preserve"> </w:t>
      </w:r>
      <w:r>
        <w:t xml:space="preserve">vertebral body,</w:t>
      </w:r>
      <w:r>
        <w:t xml:space="preserve"> </w:t>
      </w:r>
      <w:r>
        <w:t xml:space="preserve">endplate and canal dimensions differ by level,</w:t>
      </w:r>
      <w:r>
        <w:t xml:space="preserve"> </w:t>
      </w:r>
      <w:r>
        <w:t xml:space="preserve">and</w:t>
      </w:r>
      <w:r>
        <w:t xml:space="preserve"> </w:t>
      </w:r>
      <w:r>
        <w:t xml:space="preserve">the transverse process and the iliolumbar ligament mark the last lumbar vertebra</w:t>
      </w:r>
      <w:r>
        <w:t xml:space="preserve"> </w:t>
      </w:r>
      <w:r>
        <w:t xml:space="preserve">independently of any count.</w:t>
      </w:r>
      <w:r>
        <w:t xml:space="preserve"> </w:t>
      </w:r>
      <w:r>
        <w:t xml:space="preserve">If those differences hold at the</w:t>
      </w:r>
      <w:r>
        <w:t xml:space="preserve"> </w:t>
      </w:r>
      <w:r>
        <w:t xml:space="preserve">boundary itself, the phenotype is decidable from the vertebra in front of the reader without</w:t>
      </w:r>
      <w:r>
        <w:t xml:space="preserve"> </w:t>
      </w:r>
      <w:r>
        <w:t xml:space="preserve">any global count. On this corpus it does hold:</w:t>
      </w:r>
      <w:r>
        <w:t xml:space="preserve"> </w:t>
      </w:r>
      <w:r>
        <w:t xml:space="preserve">separating T12 from L1 on shape alone, with each patient’s own size divided out and</w:t>
      </w:r>
      <w:r>
        <w:t xml:space="preserve"> </w:t>
      </w:r>
      <w:r>
        <w:t xml:space="preserve">cross-validation grouped by case, gives an area under the curve of 0.990 and 97.3%</w:t>
      </w:r>
      <w:r>
        <w:t xml:space="preserve"> </w:t>
      </w:r>
      <w:r>
        <w:t xml:space="preserve">accuracy over 1485 vertebrae. Size is removed because raw millimeters separate thoracic</w:t>
      </w:r>
      <w:r>
        <w:t xml:space="preserve"> </w:t>
      </w:r>
      <w:r>
        <w:t xml:space="preserve">from lumbar trivially and teach nothing about the junction, where the two are nearly the</w:t>
      </w:r>
      <w:r>
        <w:t xml:space="preserve"> </w:t>
      </w:r>
      <w:r>
        <w:t xml:space="preserve">same size.</w:t>
      </w:r>
    </w:p>
    <w:p>
      <w:pPr>
        <w:pStyle w:val="BodyText"/>
      </w:pPr>
      <w:r>
        <w:t xml:space="preserve">That is reported as a property of the released measurements rather than as a method: the</w:t>
      </w:r>
      <w:r>
        <w:t xml:space="preserve"> </w:t>
      </w:r>
      <w:r>
        <w:t xml:space="preserve">information needed to settle these variants is present locally.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Collection</w:t>
            </w:r>
          </w:p>
        </w:tc>
        <w:tc>
          <w:tcPr/>
          <w:p>
            <w:pPr>
              <w:pStyle w:val="Compact"/>
              <w:jc w:val="right"/>
            </w:pPr>
            <w:r>
              <w:t xml:space="preserve">Scans</w:t>
            </w:r>
          </w:p>
        </w:tc>
        <w:tc>
          <w:tcPr/>
          <w:p>
            <w:pPr>
              <w:pStyle w:val="Compact"/>
            </w:pPr>
          </w:p>
        </w:tc>
      </w:tr>
      <w:tr>
        <w:tc>
          <w:tcPr/>
          <w:p>
            <w:pPr>
              <w:pStyle w:val="Compact"/>
              <w:jc w:val="left"/>
            </w:pPr>
            <w:r>
              <w:t xml:space="preserve">CTSpine1K </w:t>
            </w:r>
          </w:p>
        </w:tc>
        <w:tc>
          <w:tcPr/>
          <w:p>
            <w:pPr>
              <w:pStyle w:val="Compact"/>
              <w:jc w:val="right"/>
            </w:pPr>
            <w:r>
              <w:t xml:space="preserve">1</w:t>
            </w:r>
            <w:r>
              <w:t xml:space="preserve">,</w:t>
            </w:r>
            <w:r>
              <w:t xml:space="preserve">005</w:t>
            </w:r>
          </w:p>
        </w:tc>
        <w:tc>
          <w:tcPr/>
          <w:p>
            <w:pPr>
              <w:pStyle w:val="Compact"/>
            </w:pPr>
          </w:p>
        </w:tc>
      </w:tr>
      <w:tr>
        <w:tc>
          <w:tcPr/>
          <w:p>
            <w:pPr>
              <w:pStyle w:val="Compact"/>
              <w:jc w:val="left"/>
            </w:pPr>
            <w:r>
              <w:t xml:space="preserve">CTPelvic1K </w:t>
            </w:r>
          </w:p>
        </w:tc>
        <w:tc>
          <w:tcPr/>
          <w:p>
            <w:pPr>
              <w:pStyle w:val="Compact"/>
              <w:jc w:val="right"/>
            </w:pPr>
            <w:r>
              <w:t xml:space="preserve">1</w:t>
            </w:r>
            <w:r>
              <w:t xml:space="preserve">,</w:t>
            </w:r>
            <w:r>
              <w:t xml:space="preserve">184</w:t>
            </w:r>
          </w:p>
        </w:tc>
        <w:tc>
          <w:tcPr/>
          <w:p>
            <w:pPr>
              <w:pStyle w:val="Compact"/>
            </w:pPr>
          </w:p>
        </w:tc>
      </w:tr>
      <w:tr>
        <w:tc>
          <w:tcPr/>
          <w:p>
            <w:pPr>
              <w:pStyle w:val="Compact"/>
              <w:jc w:val="left"/>
            </w:pPr>
            <w:r>
              <w:t xml:space="preserve">VerSe </w:t>
            </w:r>
          </w:p>
        </w:tc>
        <w:tc>
          <w:tcPr/>
          <w:p>
            <w:pPr>
              <w:pStyle w:val="Compact"/>
              <w:jc w:val="right"/>
            </w:pPr>
            <w:r>
              <w:t xml:space="preserve">374</w:t>
            </w:r>
          </w:p>
        </w:tc>
        <w:tc>
          <w:tcPr/>
          <w:p>
            <w:pPr>
              <w:pStyle w:val="Compact"/>
            </w:pPr>
          </w:p>
        </w:tc>
      </w:tr>
      <w:tr>
        <w:tc>
          <w:tcPr/>
          <w:p>
            <w:pPr>
              <w:pStyle w:val="Compact"/>
              <w:jc w:val="left"/>
            </w:pPr>
            <w:r>
              <w:t xml:space="preserve">RibSeg v2 </w:t>
            </w:r>
          </w:p>
        </w:tc>
        <w:tc>
          <w:tcPr/>
          <w:p>
            <w:pPr>
              <w:pStyle w:val="Compact"/>
              <w:jc w:val="right"/>
            </w:pPr>
            <w:r>
              <w:t xml:space="preserve">660</w:t>
            </w:r>
          </w:p>
        </w:tc>
        <w:tc>
          <w:tcPr/>
          <w:p>
            <w:pPr>
              <w:pStyle w:val="Compact"/>
            </w:pPr>
          </w:p>
        </w:tc>
      </w:tr>
      <w:tr>
        <w:tc>
          <w:tcPr/>
          <w:p>
            <w:pPr>
              <w:pStyle w:val="Compact"/>
              <w:jc w:val="left"/>
            </w:pPr>
            <w:r>
              <w:t xml:space="preserve">TotalSegmentator </w:t>
            </w:r>
          </w:p>
        </w:tc>
        <w:tc>
          <w:tcPr/>
          <w:p>
            <w:pPr>
              <w:pStyle w:val="Compact"/>
              <w:jc w:val="right"/>
            </w:pPr>
            <w:r>
              <w:t xml:space="preserve">1</w:t>
            </w:r>
            <w:r>
              <w:t xml:space="preserve">,</w:t>
            </w:r>
            <w:r>
              <w:t xml:space="preserve">204</w:t>
            </w:r>
          </w:p>
        </w:tc>
        <w:tc>
          <w:tcPr/>
          <w:p>
            <w:pPr>
              <w:pStyle w:val="Compact"/>
            </w:pPr>
          </w:p>
        </w:tc>
      </w:tr>
      <w:tr>
        <w:tc>
          <w:tcPr/>
          <w:p>
            <w:pPr>
              <w:pStyle w:val="Compact"/>
              <w:jc w:val="left"/>
            </w:pPr>
            <w:r>
              <w:rPr>
                <w:b/>
                <w:bCs/>
              </w:rPr>
              <w:t xml:space="preserve">CTSpinoPelvic1K</w:t>
            </w:r>
          </w:p>
        </w:tc>
        <w:tc>
          <w:tcPr/>
          <w:p>
            <w:pPr>
              <w:pStyle w:val="Compact"/>
              <w:jc w:val="right"/>
            </w:pPr>
            <w:r>
              <w:t xml:space="preserve">802</w:t>
            </w:r>
          </w:p>
        </w:tc>
        <w:tc>
          <w:tcPr/>
          <w:p>
            <w:pPr>
              <w:pStyle w:val="Compact"/>
            </w:pPr>
          </w:p>
        </w:tc>
      </w:tr>
    </w:tbl>
    <w:bookmarkEnd w:id="9"/>
    <w:bookmarkEnd w:id="10"/>
    <w:bookmarkStart w:id="34" w:name="acquisition-and-validation-methods"/>
    <w:p>
      <w:pPr>
        <w:pStyle w:val="Heading1"/>
      </w:pPr>
      <w:r>
        <w:t xml:space="preserve">Acquisition and Validation Methods</w:t>
      </w:r>
    </w:p>
    <w:bookmarkStart w:id="11" w:name="fig:pipeline"/>
    <w:tbl>
      <w:tblPr>
        <w:tblStyle w:val="FigureTable"/>
        <w:tblW w:type="auto" w:w="0"/>
        <w:jc w:val="center"/>
        <w:tblLook w:firstRow="0" w:lastRow="0" w:firstColumn="0" w:lastColumn="0"/>
      </w:tblPr>
      <w:tblGrid/>
    </w:tbl>
    <w:p>
      <w:pPr>
        <w:pStyle w:val="ImageCaption"/>
      </w:pPr>
      <w:r>
        <w:t xml:space="preserve">How the dataset was built.</w:t>
      </w:r>
      <w:r>
        <w:t xml:space="preserve"> </w:t>
      </w:r>
      <m:oMath>
        <m:r>
          <m:t>n</m:t>
        </m:r>
      </m:oMath>
      <w:r>
        <w:t xml:space="preserve"> </w:t>
      </w:r>
      <w:r>
        <w:t xml:space="preserve">counts scans, or corrections, at each step.</w:t>
      </w:r>
    </w:p>
    <w:bookmarkEnd w:id="11"/>
    <w:bookmarkStart w:id="12" w:name="X2c0fb42c8bb5bb5ce1dd1e3dae8e3c8ee5cb14f"/>
    <w:p>
      <w:pPr>
        <w:pStyle w:val="Heading2"/>
      </w:pPr>
      <w:r>
        <w:t xml:space="preserve">Sources, and why a crosswalk was necessary</w:t>
      </w:r>
    </w:p>
    <w:p>
      <w:pPr>
        <w:pStyle w:val="FirstParagraph"/>
      </w:pPr>
      <w:r>
        <w:t xml:space="preserve">Both CTSpine1K </w:t>
      </w:r>
      <w:r>
        <w:t xml:space="preserve"> </w:t>
      </w:r>
      <w:r>
        <w:t xml:space="preserve">and CTPelvic1K </w:t>
      </w:r>
      <w:r>
        <w:t xml:space="preserve"> </w:t>
      </w:r>
      <w:r>
        <w:t xml:space="preserve">draw part of</w:t>
      </w:r>
      <w:r>
        <w:t xml:space="preserve"> </w:t>
      </w:r>
      <w:r>
        <w:t xml:space="preserve">their imaging from the TCIA CT colonography collection </w:t>
      </w:r>
      <w:r>
        <w:t xml:space="preserve">, and</w:t>
      </w:r>
      <w:r>
        <w:t xml:space="preserve"> </w:t>
      </w:r>
      <w:r>
        <w:t xml:space="preserve">the vertebral and pelvic annotations in both were produced under</w:t>
      </w:r>
      <w:r>
        <w:t xml:space="preserve"> </w:t>
      </w:r>
      <w:r>
        <w:t xml:space="preserve">board-certified radiologist supervision. Neither released the mapping from an</w:t>
      </w:r>
      <w:r>
        <w:t xml:space="preserve"> </w:t>
      </w:r>
      <w:r>
        <w:t xml:space="preserve">annotation to the specific CT series it was drawn on.</w:t>
      </w:r>
    </w:p>
    <w:p>
      <w:pPr>
        <w:pStyle w:val="BodyText"/>
      </w:pPr>
      <w:r>
        <w:t xml:space="preserve">That mapping matters because every patient in CT COLONOGRAPHY was scanned</w:t>
      </w:r>
      <w:r>
        <w:t xml:space="preserve"> </w:t>
      </w:r>
      <w:r>
        <w:rPr>
          <w:i/>
          <w:iCs/>
        </w:rPr>
        <w:t xml:space="preserve">twice</w:t>
      </w:r>
      <w:r>
        <w:t xml:space="preserve">,</w:t>
      </w:r>
      <w:r>
        <w:t xml:space="preserve"> </w:t>
      </w:r>
      <w:r>
        <w:t xml:space="preserve">prone and supine, and an annotation carries a patient identifier and nothing finer. Turning</w:t>
      </w:r>
      <w:r>
        <w:t xml:space="preserve"> </w:t>
      </w:r>
      <w:r>
        <w:t xml:space="preserve">a patient from supine to prone alters lumbar lordosis and the alignment of each segment</w:t>
      </w:r>
      <w:r>
        <w:t xml:space="preserve"> </w:t>
      </w:r>
      <w:r>
        <w:t xml:space="preserve">against the next, so outlines drawn on one series are the wrong</w:t>
      </w:r>
      <w:r>
        <w:t xml:space="preserve"> </w:t>
      </w:r>
      <w:r>
        <w:rPr>
          <w:i/>
          <w:iCs/>
        </w:rPr>
        <w:t xml:space="preserve">shape</w:t>
      </w:r>
      <w:r>
        <w:t xml:space="preserve"> </w:t>
      </w:r>
      <w:r>
        <w:t xml:space="preserve">for the other</w:t>
      </w:r>
      <w:r>
        <w:t xml:space="preserve"> </w:t>
      </w:r>
      <w:r>
        <w:t xml:space="preserve">and no rigid realignment recovers them. Such a mask looks competent in isolation and reveals</w:t>
      </w:r>
      <w:r>
        <w:t xml:space="preserve"> </w:t>
      </w:r>
      <w:r>
        <w:t xml:space="preserve">itself only overlaid on the image. The crosswalk (Fig. </w:t>
      </w:r>
      <w:hyperlink w:anchor="fig:pipeline">
        <w:r>
          <w:rPr>
            <w:rStyle w:val="Hyperlink"/>
          </w:rPr>
          <w:t xml:space="preserve">1</w:t>
        </w:r>
      </w:hyperlink>
      <w:r>
        <w:t xml:space="preserve">) therefore</w:t>
      </w:r>
      <w:r>
        <w:t xml:space="preserve"> </w:t>
      </w:r>
      <w:r>
        <w:t xml:space="preserve">resolves each annotation to a patient and then, within that patient’s volumes, to the series</w:t>
      </w:r>
      <w:r>
        <w:t xml:space="preserve"> </w:t>
      </w:r>
      <w:r>
        <w:t xml:space="preserve">whose bone</w:t>
      </w:r>
      <w:r>
        <w:t xml:space="preserve"> </w:t>
      </w:r>
      <w:r>
        <w:rPr>
          <w:i/>
          <w:iCs/>
        </w:rPr>
        <w:t xml:space="preserve">agrees</w:t>
      </w:r>
      <w:r>
        <w:t xml:space="preserve"> </w:t>
      </w:r>
      <w:r>
        <w:t xml:space="preserve">with it: candidates are thresholded at bone attenuation and scored</w:t>
      </w:r>
      <w:r>
        <w:t xml:space="preserve"> </w:t>
      </w:r>
      <w:r>
        <w:t xml:space="preserve">by overlap with the mask.</w:t>
      </w:r>
    </w:p>
    <w:bookmarkEnd w:id="12"/>
    <w:bookmarkStart w:id="13" w:name="fused-and-split-records"/>
    <w:p>
      <w:pPr>
        <w:pStyle w:val="Heading2"/>
      </w:pPr>
      <w:r>
        <w:t xml:space="preserve">Fused and split records</w:t>
      </w:r>
    </w:p>
    <w:p>
      <w:pPr>
        <w:pStyle w:val="FirstParagraph"/>
      </w:pPr>
      <w:r>
        <w:t xml:space="preserve">CTSpine1K and CTPelvic1K each annotated a patient independently, so their labels are not guaranteed to come from the same CT series (Fig. </w:t>
      </w:r>
      <w:hyperlink w:anchor="fig:pipeline">
        <w:r>
          <w:rPr>
            <w:rStyle w:val="Hyperlink"/>
          </w:rPr>
          <w:t xml:space="preserve">1</w:t>
        </w:r>
      </w:hyperlink>
      <w:r>
        <w:t xml:space="preserve">). This turned out to matter for 351 patients, nearly half the cohort: the two collections had labeled different acquisitions of the same person, one prone and one supine, with neither recording which. Because posture changes spinal alignment, a spine label from one acquisition cannot simply be paired with a pelvic label from the other. These 351 records are released but held out of any analysis that assumes a single posture. Two labeled acquisitions of the same patient in different postures are, instead, a resource for studying postural alignment, not a defect.</w:t>
      </w:r>
    </w:p>
    <w:bookmarkEnd w:id="13"/>
    <w:bookmarkStart w:id="14" w:name="densification-and-why-it-is-asymmetric"/>
    <w:p>
      <w:pPr>
        <w:pStyle w:val="Heading2"/>
      </w:pPr>
      <w:r>
        <w:t xml:space="preserve">Densification, and why it is asymmetric</w:t>
      </w:r>
    </w:p>
    <w:p>
      <w:pPr>
        <w:pStyle w:val="FirstParagraph"/>
      </w:pPr>
      <w:r>
        <w:t xml:space="preserve">A corpus in which half the records lack a pelvis is not a spinopelvic dataset, so the</w:t>
      </w:r>
      <w:r>
        <w:t xml:space="preserve"> </w:t>
      </w:r>
      <w:r>
        <w:t xml:space="preserve">missing structures were pseudolabeled, asymmetrically (Fig. </w:t>
      </w:r>
      <w:hyperlink w:anchor="fig:pipeline">
        <w:r>
          <w:rPr>
            <w:rStyle w:val="Hyperlink"/>
          </w:rPr>
          <w:t xml:space="preserve">1</w:t>
        </w:r>
      </w:hyperlink>
      <w:r>
        <w:t xml:space="preserve">). Pelvis</w:t>
      </w:r>
      <w:r>
        <w:t xml:space="preserve"> </w:t>
      </w:r>
      <w:r>
        <w:t xml:space="preserve">onto spine-only records is the safe direction: the sacrum and innominate bones carry no</w:t>
      </w:r>
      <w:r>
        <w:t xml:space="preserve"> </w:t>
      </w:r>
      <w:r>
        <w:t xml:space="preserve">enumeration to get wrong, and quality is reported as held-out performance on the</w:t>
      </w:r>
      <w:r>
        <w:t xml:space="preserve"> </w:t>
      </w:r>
      <w:r>
        <w:rPr>
          <w:i/>
          <w:iCs/>
        </w:rPr>
        <w:t xml:space="preserve">pelvic_only</w:t>
      </w:r>
      <w:r>
        <w:t xml:space="preserve"> </w:t>
      </w:r>
      <w:r>
        <w:t xml:space="preserve">records, withheld from training for that purpose. The reverse direction</w:t>
      </w:r>
      <w:r>
        <w:t xml:space="preserve"> </w:t>
      </w:r>
      <w:r>
        <w:t xml:space="preserve">carries the whole problem this dataset addresses, since a pseudolabeled spine must commit to</w:t>
      </w:r>
      <w:r>
        <w:t xml:space="preserve"> </w:t>
      </w:r>
      <w:r>
        <w:t xml:space="preserve">a count and on a transitional vertebra commits to the commoner reading; those 20 records were</w:t>
      </w:r>
      <w:r>
        <w:t xml:space="preserve"> </w:t>
      </w:r>
      <w:r>
        <w:t xml:space="preserve">corrected by hand, tractable at that scale.</w:t>
      </w:r>
    </w:p>
    <w:bookmarkEnd w:id="14"/>
    <w:bookmarkStart w:id="15" w:name="ribs"/>
    <w:p>
      <w:pPr>
        <w:pStyle w:val="Heading2"/>
      </w:pPr>
      <w:r>
        <w:t xml:space="preserve">Ribs</w:t>
      </w:r>
    </w:p>
    <w:p>
      <w:pPr>
        <w:pStyle w:val="FirstParagraph"/>
      </w:pPr>
      <w:r>
        <w:t xml:space="preserve">No public rib annotation covers this cohort, and the two available automatic sources fail</w:t>
      </w:r>
      <w:r>
        <w:t xml:space="preserve"> </w:t>
      </w:r>
      <w:r>
        <w:t xml:space="preserve">in complementary ways.</w:t>
      </w:r>
    </w:p>
    <w:p>
      <w:pPr>
        <w:pStyle w:val="BodyText"/>
      </w:pPr>
      <w:r>
        <w:t xml:space="preserve">Möller’s binary rib network </w:t>
      </w:r>
      <w:r>
        <w:t xml:space="preserve"> </w:t>
      </w:r>
      <w:r>
        <w:t xml:space="preserve">reports high accuracy, and its authors show</w:t>
      </w:r>
      <w:r>
        <w:t xml:space="preserve"> </w:t>
      </w:r>
      <w:r>
        <w:t xml:space="preserve">that stump ribs can be classified from a partial field of view; that result concerns the</w:t>
      </w:r>
      <w:r>
        <w:t xml:space="preserve"> </w:t>
      </w:r>
      <w:r>
        <w:t xml:space="preserve">morphological features computed on a rib once segmented. On this corpus the segmentation</w:t>
      </w:r>
      <w:r>
        <w:t xml:space="preserve"> </w:t>
      </w:r>
      <w:r>
        <w:t xml:space="preserve">itself failed on ribs that were</w:t>
      </w:r>
      <w:r>
        <w:t xml:space="preserve"> </w:t>
      </w:r>
      <w:r>
        <w:rPr>
          <w:i/>
          <w:iCs/>
        </w:rPr>
        <w:t xml:space="preserve">partially outside</w:t>
      </w:r>
      <w:r>
        <w:t xml:space="preserve"> </w:t>
      </w:r>
      <w:r>
        <w:t xml:space="preserve">the field of view: a rib crossing</w:t>
      </w:r>
      <w:r>
        <w:t xml:space="preserve"> </w:t>
      </w:r>
      <w:r>
        <w:t xml:space="preserve">the boundary of an abdominal acquisition was liable to be missed altogether rather than</w:t>
      </w:r>
      <w:r>
        <w:t xml:space="preserve"> </w:t>
      </w:r>
      <w:r>
        <w:t xml:space="preserve">segmented to the edge. This is not a limitation reported by its authors: their evaluation</w:t>
      </w:r>
      <w:r>
        <w:t xml:space="preserve"> </w:t>
      </w:r>
      <w:r>
        <w:t xml:space="preserve">excluded subjects in which the last rib was not visible, and their failure analysis</w:t>
      </w:r>
      <w:r>
        <w:t xml:space="preserve"> </w:t>
      </w:r>
      <w:r>
        <w:t xml:space="preserve">attributes errors to costal-process fusion, so it is recorded here as an observation</w:t>
      </w:r>
      <w:r>
        <w:t xml:space="preserve"> </w:t>
      </w:r>
      <w:r>
        <w:t xml:space="preserve">from this cohort. Since this is a colonography cohort, the lower ribs are routinely</w:t>
      </w:r>
      <w:r>
        <w:t xml:space="preserve"> </w:t>
      </w:r>
      <w:r>
        <w:t xml:space="preserve">clipped, and those are precisely the ribs the count depends on.</w:t>
      </w:r>
    </w:p>
    <w:p>
      <w:pPr>
        <w:pStyle w:val="BodyText"/>
      </w:pPr>
      <w:r>
        <w:t xml:space="preserve">TotalSegmentator </w:t>
      </w:r>
      <w:r>
        <w:t xml:space="preserve"> </w:t>
      </w:r>
      <w:r>
        <w:t xml:space="preserve">does segment clipped ribs and supplies the</w:t>
      </w:r>
      <w:r>
        <w:t xml:space="preserve"> </w:t>
      </w:r>
      <w:r>
        <w:t xml:space="preserve">per-rib numbering that a binary network cannot. Its characteristic failure is at the other</w:t>
      </w:r>
      <w:r>
        <w:t xml:space="preserve"> </w:t>
      </w:r>
      <w:r>
        <w:t xml:space="preserve">end of the bone: the most medial portion of the rib (roughly the last tenth to sixth</w:t>
      </w:r>
      <w:r>
        <w:t xml:space="preserve"> </w:t>
      </w:r>
      <w:r>
        <w:t xml:space="preserve">approaching the costovertebral joint) is frequently absent. A rib truncated at its</w:t>
      </w:r>
      <w:r>
        <w:t xml:space="preserve"> </w:t>
      </w:r>
      <w:r>
        <w:t xml:space="preserve">medial end never reaches the vertebra it articulates with, so the rib–vertebra incidence</w:t>
      </w:r>
      <w:r>
        <w:t xml:space="preserve"> </w:t>
      </w:r>
      <w:r>
        <w:t xml:space="preserve">check (the quality-control gate on the rib class labels, which matches each rib to the</w:t>
      </w:r>
      <w:r>
        <w:t xml:space="preserve"> </w:t>
      </w:r>
      <w:r>
        <w:t xml:space="preserve">vertebra its number implies) has nothing to test.</w:t>
      </w:r>
    </w:p>
    <w:p>
      <w:pPr>
        <w:pStyle w:val="BodyText"/>
      </w:pPr>
      <w:r>
        <w:t xml:space="preserve">The two were therefore unioned (Fig. </w:t>
      </w:r>
      <w:hyperlink w:anchor="fig:pipeline">
        <w:r>
          <w:rPr>
            <w:rStyle w:val="Hyperlink"/>
          </w:rPr>
          <w:t xml:space="preserve">1</w:t>
        </w:r>
      </w:hyperlink>
      <w:r>
        <w:t xml:space="preserve">): TotalSegmentator supplies</w:t>
      </w:r>
      <w:r>
        <w:t xml:space="preserve"> </w:t>
      </w:r>
      <w:r>
        <w:t xml:space="preserve">numbering and the medial-clipped cases, Möller supplies detection where its output is more</w:t>
      </w:r>
      <w:r>
        <w:t xml:space="preserve"> </w:t>
      </w:r>
      <w:r>
        <w:t xml:space="preserve">complete, and the union carries TotalSegmentator’s per-level identities.</w:t>
      </w:r>
    </w:p>
    <w:p>
      <w:pPr>
        <w:pStyle w:val="BodyText"/>
      </w:pPr>
      <w:r>
        <w:t xml:space="preserve">The result is a pseudolabel whose review was triaged rather than exhaustive, which is worth</w:t>
      </w:r>
      <w:r>
        <w:t xml:space="preserve"> </w:t>
      </w:r>
      <w:r>
        <w:t xml:space="preserve">stating plainly because a layer described only as</w:t>
      </w:r>
      <w:r>
        <w:t xml:space="preserve"> </w:t>
      </w:r>
      <w:r>
        <w:t xml:space="preserve">“human-corrected”</w:t>
      </w:r>
      <w:r>
        <w:t xml:space="preserve"> </w:t>
      </w:r>
      <w:r>
        <w:t xml:space="preserve">invites the reader to</w:t>
      </w:r>
      <w:r>
        <w:t xml:space="preserve"> </w:t>
      </w:r>
      <w:r>
        <w:t xml:space="preserve">assume every bone was looked at. A label-based rule flagged every record in which one rib</w:t>
      </w:r>
      <w:r>
        <w:t xml:space="preserve"> </w:t>
      </w:r>
      <w:r>
        <w:t xml:space="preserve">bone carried more than one identifier, or in which a rib failed to reach the vertebra it</w:t>
      </w:r>
      <w:r>
        <w:t xml:space="preserve"> </w:t>
      </w:r>
      <w:r>
        <w:t xml:space="preserve">articulates with, since a single bone carrying two numbers is a numbering error by construction,</w:t>
      </w:r>
      <w:r>
        <w:t xml:space="preserve"> </w:t>
      </w:r>
      <w:r>
        <w:t xml:space="preserve">whatever the anatomy. The rule selected 152 records; 148 were reviewed and corrected, and 4</w:t>
      </w:r>
      <w:r>
        <w:t xml:space="preserve"> </w:t>
      </w:r>
      <w:r>
        <w:t xml:space="preserve">were not and are identified in the release. Reviewers were medical students working through</w:t>
      </w:r>
      <w:r>
        <w:t xml:space="preserve"> </w:t>
      </w:r>
      <w:r>
        <w:t xml:space="preserve"> </w:t>
      </w:r>
      <w:r>
        <w:t xml:space="preserve">, trained against a written labeling protocol, with every</w:t>
      </w:r>
      <w:r>
        <w:t xml:space="preserve"> </w:t>
      </w:r>
      <w:r>
        <w:t xml:space="preserve">correction recorded against the annotator who made it. Records passing the rule were not</w:t>
      </w:r>
      <w:r>
        <w:t xml:space="preserve"> </w:t>
      </w:r>
      <w:r>
        <w:t xml:space="preserve">individually inspected, so the layer only guarantees freedom from the failure modes the rule detects, no more. The residual rib–vertebra offsets reported in</w:t>
      </w:r>
      <w:r>
        <w:t xml:space="preserve"> </w:t>
      </w:r>
      <w:r>
        <w:t xml:space="preserve">Sec. </w:t>
      </w:r>
      <w:hyperlink w:anchor="sec:validation">
        <w:r>
          <w:rPr>
            <w:rStyle w:val="Hyperlink"/>
          </w:rPr>
          <w:t xml:space="preserve">2.7</w:t>
        </w:r>
      </w:hyperlink>
      <w:r>
        <w:t xml:space="preserve"> </w:t>
      </w:r>
      <w:r>
        <w:t xml:space="preserve">are the independent check on what the rule missed.</w:t>
      </w:r>
    </w:p>
    <w:bookmarkEnd w:id="15"/>
    <w:bookmarkStart w:id="20" w:name="label-scheme-and-counting-anchors"/>
    <w:p>
      <w:pPr>
        <w:pStyle w:val="Heading2"/>
      </w:pPr>
      <w:r>
        <w:t xml:space="preserve">Label scheme and counting anchors</w:t>
      </w:r>
    </w:p>
    <w:p>
      <w:pPr>
        <w:pStyle w:val="FirstParagraph"/>
      </w:pPr>
      <w:r>
        <w:t xml:space="preserve">The scheme is VerSe-native: vertebrae keep their VerSe identifiers (C1–C7 = 1–7,</w:t>
      </w:r>
      <w:r>
        <w:t xml:space="preserve"> </w:t>
      </w:r>
      <w:r>
        <w:t xml:space="preserve">T1–T12 = 8–19, L1–L6 = 20–25, sacrum 26), and every non-VerSe structure takes a fixed</w:t>
      </w:r>
      <w:r>
        <w:t xml:space="preserve"> </w:t>
      </w:r>
      <w:r>
        <w:t xml:space="preserve">identifier above that range: S1 carved from the sacrum (29), hips (30–31), femora</w:t>
      </w:r>
      <w:r>
        <w:t xml:space="preserve"> </w:t>
      </w:r>
      <w:r>
        <w:t xml:space="preserve">(32–33), ribs (34–45 left, 46–57 right), lumbar ribs (74–75) and surgical hardware</w:t>
      </w:r>
      <w:r>
        <w:t xml:space="preserve"> </w:t>
      </w:r>
      <w:r>
        <w:t xml:space="preserve">(76–82). Identifiers 58–73 are unassigned: a soft-tissue block once reserved there was</w:t>
      </w:r>
      <w:r>
        <w:t xml:space="preserve"> </w:t>
      </w:r>
      <w:r>
        <w:t xml:space="preserve">never populated and is retired.</w:t>
      </w:r>
    </w:p>
    <w:p>
      <w:pPr>
        <w:pStyle w:val="BodyText"/>
      </w:pPr>
      <w:r>
        <w:t xml:space="preserve">Two anchors make the count decidable, and Fig. </w:t>
      </w:r>
      <w:hyperlink w:anchor="fig:anchors">
        <w:r>
          <w:rPr>
            <w:rStyle w:val="Hyperlink"/>
          </w:rPr>
          <w:t xml:space="preserve">2</w:t>
        </w:r>
      </w:hyperlink>
      <w:r>
        <w:t xml:space="preserve"> </w:t>
      </w:r>
      <w:r>
        <w:t xml:space="preserve">shows both: the lowest</w:t>
      </w:r>
      <w:r>
        <w:t xml:space="preserve"> </w:t>
      </w:r>
      <w:r>
        <w:t xml:space="preserve">rib-bearing vertebra above,</w:t>
      </w:r>
      <w:r>
        <w:t xml:space="preserve"> </w:t>
      </w:r>
      <w:r>
        <w:rPr>
          <w:b/>
          <w:bCs/>
        </w:rPr>
        <w:t xml:space="preserve">S1</w:t>
      </w:r>
      <w:r>
        <w:t xml:space="preserve"> </w:t>
      </w:r>
      <w:r>
        <w:t xml:space="preserve">carved from the sacrum below. Each earns its place</w:t>
      </w:r>
      <w:r>
        <w:t xml:space="preserve"> </w:t>
      </w:r>
      <w:r>
        <w:t xml:space="preserve">by what it supports rather than by being an endpoint. S1 supplies the sacral endplate</w:t>
      </w:r>
      <w:r>
        <w:t xml:space="preserve"> </w:t>
      </w:r>
      <w:r>
        <w:t xml:space="preserve">landmark that sacral slope and pelvic incidence are measured from, and with both brackets</w:t>
      </w:r>
      <w:r>
        <w:t xml:space="preserve"> </w:t>
      </w:r>
      <w:r>
        <w:t xml:space="preserve">present L5 and L6 are distinguishable where a spine-limited view alone would not be.</w:t>
      </w:r>
    </w:p>
    <w:p>
      <w:pPr>
        <w:pStyle w:val="BodyText"/>
      </w:pPr>
      <w:r>
        <w:rPr>
          <w:i/>
          <w:iCs/>
        </w:rPr>
        <w:t xml:space="preserve">How S1 is cut.</w:t>
      </w:r>
      <w:r>
        <w:t xml:space="preserve"> </w:t>
      </w:r>
      <w:r>
        <w:t xml:space="preserve">The sacrum’s outer boundary is the source annotation and is never</w:t>
      </w:r>
      <w:r>
        <w:t xml:space="preserve"> </w:t>
      </w:r>
      <w:r>
        <w:t xml:space="preserve">altered; S1 is the cranial part of that same bone, separated by a plane. The plane’s normal</w:t>
      </w:r>
      <w:r>
        <w:t xml:space="preserve"> </w:t>
      </w:r>
      <w:r>
        <w:t xml:space="preserve">is the sacrum’s own cranio-caudal axis, made orthogonal to a left–right axis</w:t>
      </w:r>
      <w:r>
        <w:t xml:space="preserve"> </w:t>
      </w:r>
      <w:r>
        <w:t xml:space="preserve">measured directly rather than assumed, so as to remove the patient’s rotation within the scanner. That rotation is not</w:t>
      </w:r>
      <w:r>
        <w:t xml:space="preserve"> </w:t>
      </w:r>
      <w:r>
        <w:t xml:space="preserve">negligible: median 4.5</w:t>
      </w:r>
      <m:oMath>
        <m:sSup>
          <m:e>
            <m:r>
              <m:t>​</m:t>
            </m:r>
          </m:e>
          <m:sup>
            <m:r>
              <m:rPr>
                <m:sty m:val="p"/>
              </m:rPr>
              <m:t>∘</m:t>
            </m:r>
          </m:sup>
        </m:sSup>
      </m:oMath>
      <w:r>
        <w:t xml:space="preserve">, maximum 16.1</w:t>
      </w:r>
      <m:oMath>
        <m:sSup>
          <m:e>
            <m:r>
              <m:t>​</m:t>
            </m:r>
          </m:e>
          <m:sup>
            <m:r>
              <m:rPr>
                <m:sty m:val="p"/>
              </m:rPr>
              <m:t>∘</m:t>
            </m:r>
          </m:sup>
        </m:sSup>
      </m:oMath>
      <w:r>
        <w:t xml:space="preserve">, and 508 of 801 records above</w:t>
      </w:r>
      <w:r>
        <w:t xml:space="preserve"> </w:t>
      </w:r>
      <w:r>
        <w:t xml:space="preserve">3</w:t>
      </w:r>
      <m:oMath>
        <m:sSup>
          <m:e>
            <m:r>
              <m:t>​</m:t>
            </m:r>
          </m:e>
          <m:sup>
            <m:r>
              <m:rPr>
                <m:sty m:val="p"/>
              </m:rPr>
              <m:t>∘</m:t>
            </m:r>
          </m:sup>
        </m:sSup>
      </m:oMath>
      <w:r>
        <w:t xml:space="preserve">. The level of the cut preserves the sub-division volume of the preceding</w:t>
      </w:r>
      <w:r>
        <w:t xml:space="preserve"> </w:t>
      </w:r>
      <w:r>
        <w:t xml:space="preserve">release, so the plane changes the shape and orientation of the S1/S2 boundary and not how</w:t>
      </w:r>
      <w:r>
        <w:t xml:space="preserve"> </w:t>
      </w:r>
      <w:r>
        <w:t xml:space="preserve">much of the sacrum is called S1. Per-record geometry ships with the archive.</w:t>
      </w:r>
    </w:p>
    <w:p>
      <w:pPr>
        <w:pStyle w:val="BodyText"/>
      </w:pPr>
      <w:r>
        <w:t xml:space="preserve">Neither anchor is novel on its own: TotalSegmentator </w:t>
      </w:r>
      <w:r>
        <w:t xml:space="preserve"> </w:t>
      </w:r>
      <w:r>
        <w:t xml:space="preserve">carries a</w:t>
      </w:r>
      <w:r>
        <w:t xml:space="preserve"> </w:t>
      </w:r>
      <w:r>
        <w:t xml:space="preserve">separate S1 class and per-level ribs, and VerSe </w:t>
      </w:r>
      <w:r>
        <w:t xml:space="preserve"> </w:t>
      </w:r>
      <w:r>
        <w:t xml:space="preserve">carries L6, whose</w:t>
      </w:r>
      <w:r>
        <w:t xml:space="preserve"> </w:t>
      </w:r>
      <w:r>
        <w:t xml:space="preserve">identifier this release keeps, so its L6</w:t>
      </w:r>
      <w:r>
        <w:t xml:space="preserve"> </w:t>
      </w:r>
      <w:r>
        <w:rPr>
          <w:i/>
          <w:iCs/>
        </w:rPr>
        <w:t xml:space="preserve">is</w:t>
      </w:r>
      <w:r>
        <w:t xml:space="preserve"> </w:t>
      </w:r>
      <w:r>
        <w:t xml:space="preserve">VerSe’s. L6 is retained because a scheme</w:t>
      </w:r>
      <w:r>
        <w:t xml:space="preserve"> </w:t>
      </w:r>
      <w:r>
        <w:t xml:space="preserve">without it cannot record a six-lumbar spine at all.</w:t>
      </w:r>
    </w:p>
    <w:p>
      <w:pPr>
        <w:pStyle w:val="BodyText"/>
      </w:pPr>
      <w:r>
        <w:rPr>
          <w:b/>
          <w:bCs/>
        </w:rPr>
        <w:t xml:space="preserve">A rib on a lumbar body receives its own class</w:t>
      </w:r>
      <w:r>
        <w:t xml:space="preserve">, and this is the one class here with</w:t>
      </w:r>
      <w:r>
        <w:t xml:space="preserve"> </w:t>
      </w:r>
      <w:r>
        <w:t xml:space="preserve">no published counterpart. A lumbar rib and a stump rib are the same object under two counts,</w:t>
      </w:r>
      <w:r>
        <w:t xml:space="preserve"> </w:t>
      </w:r>
      <w:r>
        <w:t xml:space="preserve">so assigning it a number would commit the label to one reading of an enumeration anomaly. A</w:t>
      </w:r>
      <w:r>
        <w:t xml:space="preserve"> </w:t>
      </w:r>
      <w:r>
        <w:t xml:space="preserve">scheme that numbers every rib 1–12 has nowhere to put a thirteenth: the annotator must</w:t>
      </w:r>
      <w:r>
        <w:t xml:space="preserve"> </w:t>
      </w:r>
      <w:r>
        <w:t xml:space="preserve">either call it rib 12, asserting the vertebra beneath it is thoracic, the very question at</w:t>
      </w:r>
      <w:r>
        <w:t xml:space="preserve"> </w:t>
      </w:r>
      <w:r>
        <w:t xml:space="preserve">issue, or discard it. TotalSegmentator carries ribs 1–12 per side and no such class, and</w:t>
      </w:r>
      <w:r>
        <w:t xml:space="preserve"> </w:t>
      </w:r>
      <w:r>
        <w:t xml:space="preserve">VerSe’s T13 is a vertebra rather than a rib. This scheme can record both: VerSe’s T13 (28)</w:t>
      </w:r>
      <w:r>
        <w:t xml:space="preserve"> </w:t>
      </w:r>
      <w:r>
        <w:t xml:space="preserve">for a thoracic-type thirteenth vertebra with a true rib, and 74/75 for a lumbar-type body</w:t>
      </w:r>
      <w:r>
        <w:t xml:space="preserve"> </w:t>
      </w:r>
      <w:r>
        <w:t xml:space="preserve">bearing a rudimentary one, so either reading is recorded as itself. No record here carries</w:t>
      </w:r>
      <w:r>
        <w:t xml:space="preserve"> </w:t>
      </w:r>
      <w:r>
        <w:t xml:space="preserve">a T13; the sixteen lumbar-rib cases were read as lumbar-type bodies. Where a border vertebra</w:t>
      </w:r>
      <w:r>
        <w:t xml:space="preserve"> </w:t>
      </w:r>
      <w:r>
        <w:t xml:space="preserve">could not be settled by its readers the label stands as read, and reclassifying those</w:t>
      </w:r>
      <w:r>
        <w:t xml:space="preserve"> </w:t>
      </w:r>
      <w:r>
        <w:t xml:space="preserve">records with a classifier trained on local vertebral morphology</w:t>
      </w:r>
      <w:r>
        <w:t xml:space="preserve"> </w:t>
      </w:r>
      <w:r>
        <w:t xml:space="preserve">(Sec. </w:t>
      </w:r>
      <w:hyperlink w:anchor="sec:applications">
        <w:r>
          <w:rPr>
            <w:rStyle w:val="Hyperlink"/>
          </w:rPr>
          <w:t xml:space="preserve">5</w:t>
        </w:r>
      </w:hyperlink>
      <w:r>
        <w:t xml:space="preserve">) is the intended path for a later release.</w:t>
      </w:r>
    </w:p>
    <w:bookmarkStart w:id="19" w:name="fig:anchors"/>
    <w:p>
      <w:pPr>
        <w:pStyle w:val="CaptionedFigure"/>
      </w:pPr>
      <w:r>
        <w:drawing>
          <wp:inline>
            <wp:extent cx="5334000" cy="1576316"/>
            <wp:effectExtent b="0" l="0" r="0" t="0"/>
            <wp:docPr descr="" title="" id="17" name="Picture"/>
            <a:graphic>
              <a:graphicData uri="http://schemas.openxmlformats.org/drawingml/2006/picture">
                <pic:pic>
                  <pic:nvPicPr>
                    <pic:cNvPr descr="figures/fig_anchors.pdf" id="18" name="Picture"/>
                    <pic:cNvPicPr>
                      <a:picLocks noChangeArrowheads="1" noChangeAspect="1"/>
                    </pic:cNvPicPr>
                  </pic:nvPicPr>
                  <pic:blipFill>
                    <a:blip r:embed="rId16"/>
                    <a:stretch>
                      <a:fillRect/>
                    </a:stretch>
                  </pic:blipFill>
                  <pic:spPr bwMode="auto">
                    <a:xfrm>
                      <a:off x="0" y="0"/>
                      <a:ext cx="5334000" cy="1576316"/>
                    </a:xfrm>
                    <a:prstGeom prst="rect">
                      <a:avLst/>
                    </a:prstGeom>
                    <a:noFill/>
                    <a:ln w="9525">
                      <a:noFill/>
                      <a:headEnd/>
                      <a:tailEnd/>
                    </a:ln>
                  </pic:spPr>
                </pic:pic>
              </a:graphicData>
            </a:graphic>
          </wp:inline>
        </w:drawing>
      </w:r>
    </w:p>
    <w:p>
      <w:pPr>
        <w:pStyle w:val="ImageCaption"/>
      </w:pPr>
      <w:r>
        <w:t xml:space="preserve">The two anchors, from the released labels. Red, lowest rib-bearing vertebra and</w:t>
      </w:r>
      <w:r>
        <w:t xml:space="preserve"> </w:t>
      </w:r>
      <w:r>
        <w:t xml:space="preserve">its rib; blue, S1; yellow, the rib-free vertebrae between. (b) and (c) both count four.</w:t>
      </w:r>
    </w:p>
    <w:bookmarkEnd w:id="19"/>
    <w:p>
      <w:pPr>
        <w:pStyle w:val="BodyText"/>
      </w:pPr>
      <w:r>
        <w:t xml:space="preserve">Figure </w:t>
      </w:r>
      <w:hyperlink w:anchor="fig:anchors">
        <w:r>
          <w:rPr>
            <w:rStyle w:val="Hyperlink"/>
          </w:rPr>
          <w:t xml:space="preserve">2</w:t>
        </w:r>
      </w:hyperlink>
      <w:r>
        <w:t xml:space="preserve"> </w:t>
      </w:r>
      <w:r>
        <w:t xml:space="preserve">shows why the interval is the primitive and the label is derived.</w:t>
      </w:r>
      <w:r>
        <w:t xml:space="preserve"> </w:t>
      </w:r>
      <w:r>
        <w:t xml:space="preserve">Among the records with four rib-free vertebrae, some reach that count through a lumbar rib</w:t>
      </w:r>
      <w:r>
        <w:t xml:space="preserve"> </w:t>
      </w:r>
      <w:r>
        <w:t xml:space="preserve">and some without one; the two are indistinguishable by the count alone and are distinguished</w:t>
      </w:r>
      <w:r>
        <w:t xml:space="preserve"> </w:t>
      </w:r>
      <w:r>
        <w:t xml:space="preserve">here only because rib presence is itself labeled.</w:t>
      </w:r>
    </w:p>
    <w:p>
      <w:pPr>
        <w:pStyle w:val="BodyText"/>
      </w:pPr>
      <w:r>
        <w:t xml:space="preserve">Sixteen records carry a lumbar rib: thirteen bilateral and three unilateral, all on the</w:t>
      </w:r>
      <w:r>
        <w:t xml:space="preserve"> </w:t>
      </w:r>
      <w:r>
        <w:t xml:space="preserve">right, a count too small to support any statement about side preference.</w:t>
      </w:r>
    </w:p>
    <w:p>
      <w:pPr>
        <w:pStyle w:val="BodyText"/>
      </w:pPr>
      <w:r>
        <w:t xml:space="preserve">Eighteen records carry an L6. Fourteen are labeled lumbarization, two sacralization, one</w:t>
      </w:r>
      <w:r>
        <w:t xml:space="preserve"> </w:t>
      </w:r>
      <w:r>
        <w:t xml:space="preserve">semi-sacralization and one normal, which is worth stating because it shows the two annotation</w:t>
      </w:r>
      <w:r>
        <w:t xml:space="preserve"> </w:t>
      </w:r>
      <w:r>
        <w:t xml:space="preserve">axes disagreeing in the open: a record can carry six lumbar-type vertebrae and still be read</w:t>
      </w:r>
      <w:r>
        <w:t xml:space="preserve"> </w:t>
      </w:r>
      <w:r>
        <w:t xml:space="preserve">as a sacralization, or as unremarkable, depending on where the reader started the count.</w:t>
      </w:r>
    </w:p>
    <w:p>
      <w:pPr>
        <w:pStyle w:val="BodyText"/>
      </w:pPr>
      <w:r>
        <w:t xml:space="preserve">Both counts are derived from the released label volumes, and so are the manifest fields</w:t>
      </w:r>
      <w:r>
        <w:t xml:space="preserve"> </w:t>
      </w:r>
      <w:r>
        <w:t xml:space="preserve">that report them. That is a correction: through v5,</w:t>
      </w:r>
      <w:r>
        <w:t xml:space="preserve"> </w:t>
      </w:r>
      <w:r>
        <w:rPr>
          <w:rStyle w:val="VerbatimChar"/>
        </w:rPr>
        <w:t xml:space="preserve">has_l6</w:t>
      </w:r>
      <w:r>
        <w:t xml:space="preserve"> </w:t>
      </w:r>
      <w:r>
        <w:t xml:space="preserve">was true for one</w:t>
      </w:r>
      <w:r>
        <w:t xml:space="preserve"> </w:t>
      </w:r>
      <w:r>
        <w:t xml:space="preserve">record that contains no L6 and false for all eighteen that do,</w:t>
      </w:r>
      <w:r>
        <w:t xml:space="preserve"> </w:t>
      </w:r>
      <w:r>
        <w:rPr>
          <w:rStyle w:val="VerbatimChar"/>
        </w:rPr>
        <w:t xml:space="preserve">has_lumbar_rib</w:t>
      </w:r>
      <w:r>
        <w:t xml:space="preserve"> </w:t>
      </w:r>
      <w:r>
        <w:t xml:space="preserve">was</w:t>
      </w:r>
      <w:r>
        <w:t xml:space="preserve"> </w:t>
      </w:r>
      <w:r>
        <w:t xml:space="preserve">false everywhere, and</w:t>
      </w:r>
      <w:r>
        <w:t xml:space="preserve"> </w:t>
      </w:r>
      <w:r>
        <w:rPr>
          <w:rStyle w:val="VerbatimChar"/>
        </w:rPr>
        <w:t xml:space="preserve">n_lumbar_labels</w:t>
      </w:r>
      <w:r>
        <w:t xml:space="preserve"> </w:t>
      </w:r>
      <w:r>
        <w:t xml:space="preserve">read zero in 799 of 802 records. The fields</w:t>
      </w:r>
      <w:r>
        <w:t xml:space="preserve"> </w:t>
      </w:r>
      <w:r>
        <w:t xml:space="preserve">are rebuilt for this release by counting identifiers 25 and 74–75 in each volume, with</w:t>
      </w:r>
      <w:r>
        <w:t xml:space="preserve"> </w:t>
      </w:r>
      <w:r>
        <w:rPr>
          <w:rStyle w:val="VerbatimChar"/>
        </w:rPr>
        <w:t xml:space="preserve">lumbar_rib_side</w:t>
      </w:r>
      <w:r>
        <w:t xml:space="preserve"> </w:t>
      </w:r>
      <w:r>
        <w:t xml:space="preserve">added alongside them.</w:t>
      </w:r>
    </w:p>
    <w:bookmarkEnd w:id="20"/>
    <w:bookmarkStart w:id="23" w:name="computational-tools"/>
    <w:p>
      <w:pPr>
        <w:pStyle w:val="Heading2"/>
      </w:pPr>
      <w:r>
        <w:t xml:space="preserve">Computational tools</w:t>
      </w:r>
    </w:p>
    <w:p>
      <w:pPr>
        <w:pStyle w:val="FirstParagraph"/>
      </w:pPr>
      <w:r>
        <w:rPr>
          <w:i/>
          <w:iCs/>
        </w:rPr>
        <w:t xml:space="preserve">Access.</w:t>
      </w:r>
      <w:r>
        <w:t xml:space="preserve"> </w:t>
      </w:r>
      <w:r>
        <w:t xml:space="preserve">Every processing step described above is performed by code released under an</w:t>
      </w:r>
      <w:r>
        <w:t xml:space="preserve"> </w:t>
      </w:r>
      <w:r>
        <w:t xml:space="preserve">open-source licence and archived with the dataset; no step depends on software that is not</w:t>
      </w:r>
      <w:r>
        <w:t xml:space="preserve"> </w:t>
      </w:r>
      <w:r>
        <w:t xml:space="preserve">publicly obtainable. The release archive carries the reference loader, the label-scheme</w:t>
      </w:r>
      <w:r>
        <w:t xml:space="preserve"> </w:t>
      </w:r>
      <w:r>
        <w:t xml:space="preserve">definition and the quality-control scripts that generated the tables in this manuscript.</w:t>
      </w:r>
    </w:p>
    <w:p>
      <w:pPr>
        <w:pStyle w:val="BodyText"/>
      </w:pPr>
      <w:r>
        <w:rPr>
          <w:i/>
          <w:iCs/>
        </w:rPr>
        <w:t xml:space="preserve">Versions and parameters.</w:t>
      </w:r>
      <w:r>
        <w:t xml:space="preserve"> </w:t>
      </w:r>
      <w:r>
        <w:t xml:space="preserve">Segmentation of femora, the sacral sub-division and the</w:t>
      </w:r>
      <w:r>
        <w:t xml:space="preserve"> </w:t>
      </w:r>
      <w:r>
        <w:t xml:space="preserve">per-level rib numbering used TotalSegmentator </w:t>
      </w:r>
      <w:r>
        <w:t xml:space="preserve"> </w:t>
      </w:r>
      <w:r>
        <w:t xml:space="preserve">(</w:t>
      </w:r>
      <w:r>
        <w:rPr>
          <w:rStyle w:val="VerbatimChar"/>
        </w:rPr>
        <w:t xml:space="preserve">total</w:t>
      </w:r>
      <w:r>
        <w:t xml:space="preserve"> </w:t>
      </w:r>
      <w:r>
        <w:t xml:space="preserve">task,</w:t>
      </w:r>
      <w:r>
        <w:t xml:space="preserve"> </w:t>
      </w:r>
      <w:r>
        <w:t xml:space="preserve">release 2.x) on a single graphics processing unit. The binary rib network is</w:t>
      </w:r>
      <w:r>
        <w:t xml:space="preserve"> </w:t>
      </w:r>
      <w:r>
        <w:t xml:space="preserve">Möller’s </w:t>
      </w:r>
      <w:r>
        <w:t xml:space="preserve"> </w:t>
      </w:r>
      <w:r>
        <w:t xml:space="preserve">released weights, applied through the nnU-Net v2</w:t>
      </w:r>
      <w:r>
        <w:t xml:space="preserve"> </w:t>
      </w:r>
      <w:r>
        <w:t xml:space="preserve">framework </w:t>
      </w:r>
      <w:r>
        <w:t xml:space="preserve">. The pelvic completion for records whose pelvis was absent used a</w:t>
      </w:r>
      <w:r>
        <w:t xml:space="preserve"> </w:t>
      </w:r>
      <w:r>
        <w:t xml:space="preserve">five-fold nnU-Net v2 ensemble, applied out-of-fold: each record is completed by the fold that</w:t>
      </w:r>
      <w:r>
        <w:t xml:space="preserve"> </w:t>
      </w:r>
      <w:r>
        <w:t xml:space="preserve">never trained on it, so no record is completed by a model that has seen it. The five fold</w:t>
      </w:r>
      <w:r>
        <w:t xml:space="preserve"> </w:t>
      </w:r>
      <w:r>
        <w:t xml:space="preserve">checkpoints, with their nnU-Net plans and dataset descriptor, are released alongside the</w:t>
      </w:r>
      <w:r>
        <w:t xml:space="preserve"> </w:t>
      </w:r>
      <w:r>
        <w:t xml:space="preserve">data (</w:t>
      </w:r>
      <w:hyperlink r:id="rId21">
        <w:r>
          <w:rPr>
            <w:rStyle w:val="Hyperlink"/>
          </w:rPr>
          <w:t xml:space="preserve">https://huggingface.co/anonymous-mlhc/spinopelvic-seg-checkpoints</w:t>
        </w:r>
      </w:hyperlink>
      <w:hyperlink r:id="rId22">
        <w:r>
          <w:rPr>
            <w:rStyle w:val="Hyperlink"/>
          </w:rPr>
          <w:t xml:space="preserve">https://huggingface.co/OpenSpineConsortium/spinopelvic-seg-checkpoints</w:t>
        </w:r>
      </w:hyperlink>
      <w:r>
        <w:t xml:space="preserve">). Image handling</w:t>
      </w:r>
      <w:r>
        <w:t xml:space="preserve"> </w:t>
      </w:r>
      <w:r>
        <w:t xml:space="preserve">throughout used NiBabel and SciPy; no image is resampled or reoriented when a label is</w:t>
      </w:r>
      <w:r>
        <w:t xml:space="preserve"> </w:t>
      </w:r>
      <w:r>
        <w:t xml:space="preserve">written, so every label shares its image’s grid and affine exactly.</w:t>
      </w:r>
    </w:p>
    <w:p>
      <w:pPr>
        <w:pStyle w:val="BodyText"/>
      </w:pPr>
      <w:r>
        <w:rPr>
          <w:i/>
          <w:iCs/>
        </w:rPr>
        <w:t xml:space="preserve">Generative artificial intelligence.</w:t>
      </w:r>
      <w:r>
        <w:t xml:space="preserve"> </w:t>
      </w:r>
      <w:r>
        <w:t xml:space="preserve">Large language models assisted with drafting</w:t>
      </w:r>
      <w:r>
        <w:t xml:space="preserve"> </w:t>
      </w:r>
      <w:r>
        <w:t xml:space="preserve">and editing text and with analysis and figure code, under author review. They were not</w:t>
      </w:r>
      <w:r>
        <w:t xml:space="preserve"> </w:t>
      </w:r>
      <w:r>
        <w:t xml:space="preserve">used to generate, annotate or interpret imaging data; every number reported here is</w:t>
      </w:r>
      <w:r>
        <w:t xml:space="preserve"> </w:t>
      </w:r>
      <w:r>
        <w:t xml:space="preserve">computed by the released code from the released volumes.</w:t>
      </w:r>
    </w:p>
    <w:bookmarkEnd w:id="23"/>
    <w:bookmarkStart w:id="24" w:name="sec:validation"/>
    <w:p>
      <w:pPr>
        <w:pStyle w:val="Heading2"/>
      </w:pPr>
      <w:r>
        <w:t xml:space="preserve">Validation</w:t>
      </w:r>
    </w:p>
    <w:p>
      <w:pPr>
        <w:pStyle w:val="FirstParagraph"/>
      </w:pPr>
      <w:r>
        <w:t xml:space="preserve">Validation is layered, and the ordering matters: measurements computed on a corpus that</w:t>
      </w:r>
      <w:r>
        <w:t xml:space="preserve"> </w:t>
      </w:r>
      <w:r>
        <w:t xml:space="preserve">has not established internal consistency do not look broken, they look finished.</w:t>
      </w:r>
    </w:p>
    <w:p>
      <w:pPr>
        <w:pStyle w:val="BodyText"/>
      </w:pPr>
      <w:r>
        <w:rPr>
          <w:i/>
          <w:iCs/>
        </w:rPr>
        <w:t xml:space="preserve">Geometric invariants.</w:t>
      </w:r>
      <w:r>
        <w:t xml:space="preserve"> </w:t>
      </w:r>
      <w:r>
        <w:t xml:space="preserve">Every case is checked for label geometry agreeing with its CT</w:t>
      </w:r>
      <w:r>
        <w:t xml:space="preserve"> </w:t>
      </w:r>
      <w:r>
        <w:t xml:space="preserve">in shape, affine and voxel spacing; for identifiers within the published scheme; for a</w:t>
      </w:r>
      <w:r>
        <w:t xml:space="preserve"> </w:t>
      </w:r>
      <w:r>
        <w:t xml:space="preserve">non-empty label; and for sided structures falling on the correct sides, with the left–right</w:t>
      </w:r>
      <w:r>
        <w:t xml:space="preserve"> </w:t>
      </w:r>
      <w:r>
        <w:t xml:space="preserve">axis read from the affine rather than assumed. The check exists because a renumbering pass</w:t>
      </w:r>
      <w:r>
        <w:t xml:space="preserve"> </w:t>
      </w:r>
      <w:r>
        <w:t xml:space="preserve">once wrote a reoriented array under a canonical affine and transposed a label away from its</w:t>
      </w:r>
      <w:r>
        <w:t xml:space="preserve"> </w:t>
      </w:r>
      <w:r>
        <w:t xml:space="preserve">image, a failure invisible downstream.</w:t>
      </w:r>
    </w:p>
    <w:p>
      <w:pPr>
        <w:pStyle w:val="BodyText"/>
      </w:pPr>
      <w:r>
        <w:t xml:space="preserve">The check compares</w:t>
      </w:r>
      <w:r>
        <w:t xml:space="preserve"> </w:t>
      </w:r>
      <w:r>
        <w:rPr>
          <w:i/>
          <w:iCs/>
        </w:rPr>
        <w:t xml:space="preserve">each sided pair separately</w:t>
      </w:r>
      <w:r>
        <w:t xml:space="preserve">: testing the ribs alone passed all</w:t>
      </w:r>
      <w:r>
        <w:t xml:space="preserve"> </w:t>
      </w:r>
      <w:r>
        <w:t xml:space="preserve">802 records while four carried</w:t>
      </w:r>
      <w:r>
        <w:t xml:space="preserve"> </w:t>
      </w:r>
      <w:r>
        <w:rPr>
          <w:rStyle w:val="VerbatimChar"/>
        </w:rPr>
        <w:t xml:space="preserve">left_hip</w:t>
      </w:r>
      <w:r>
        <w:t xml:space="preserve"> </w:t>
      </w:r>
      <w:r>
        <w:t xml:space="preserve">on the patient’s right, and pooling all</w:t>
      </w:r>
      <w:r>
        <w:t xml:space="preserve"> </w:t>
      </w:r>
      <w:r>
        <w:t xml:space="preserve">sided structures into one test still missed one of those four, because a large</w:t>
      </w:r>
      <w:r>
        <w:t xml:space="preserve"> </w:t>
      </w:r>
      <w:r>
        <w:t xml:space="preserve">correctly-sided structure masks a smaller transposed one. A gate that passes everything is</w:t>
      </w:r>
      <w:r>
        <w:t xml:space="preserve"> </w:t>
      </w:r>
      <w:r>
        <w:t xml:space="preserve">not evidence of a clean corpus until it has been shown capable of failing.</w:t>
      </w:r>
    </w:p>
    <w:p>
      <w:pPr>
        <w:pStyle w:val="BodyText"/>
      </w:pPr>
      <w:r>
        <w:rPr>
          <w:i/>
          <w:iCs/>
        </w:rPr>
        <w:t xml:space="preserve">Rib–vertebra incidence.</w:t>
      </w:r>
      <w:r>
        <w:t xml:space="preserve"> </w:t>
      </w:r>
      <w:r>
        <w:t xml:space="preserve">Each rib is matched to its nearest vertebra and compared</w:t>
      </w:r>
      <w:r>
        <w:t xml:space="preserve"> </w:t>
      </w:r>
      <w:r>
        <w:t xml:space="preserve">against the vertebra its number implies. Of 11</w:t>
      </w:r>
      <w:r>
        <w:t xml:space="preserve">,</w:t>
      </w:r>
      <w:r>
        <w:t xml:space="preserve">548 ribs, 5</w:t>
      </w:r>
      <w:r>
        <w:t xml:space="preserve">,</w:t>
      </w:r>
      <w:r>
        <w:t xml:space="preserve">788 are not evaluable</w:t>
      </w:r>
      <w:r>
        <w:t xml:space="preserve"> </w:t>
      </w:r>
      <w:r>
        <w:t xml:space="preserve">because the expected vertebra lies outside the field of view and 11 have no vertebra within</w:t>
      </w:r>
      <w:r>
        <w:t xml:space="preserve"> </w:t>
      </w:r>
      <w:r>
        <w:t xml:space="preserve">the anchor distance; of the 5</w:t>
      </w:r>
      <w:r>
        <w:t xml:space="preserve">,</w:t>
      </w:r>
      <w:r>
        <w:t xml:space="preserve">749 evaluable, 5</w:t>
      </w:r>
      <w:r>
        <w:t xml:space="preserve">,</w:t>
      </w:r>
      <w:r>
        <w:t xml:space="preserve">747 match, two (0.035%) are offset by one</w:t>
      </w:r>
      <w:r>
        <w:t xml:space="preserve"> </w:t>
      </w:r>
      <w:r>
        <w:t xml:space="preserve">level, and no case is misnumbered. The denominator is stated because quoting the two</w:t>
      </w:r>
      <w:r>
        <w:t xml:space="preserve"> </w:t>
      </w:r>
      <w:r>
        <w:t xml:space="preserve">offsets against all 11</w:t>
      </w:r>
      <w:r>
        <w:t xml:space="preserve">,</w:t>
      </w:r>
      <w:r>
        <w:t xml:space="preserve">548 ribs would halve the rate by counting ribs the check never</w:t>
      </w:r>
      <w:r>
        <w:t xml:space="preserve"> </w:t>
      </w:r>
      <w:r>
        <w:t xml:space="preserve">examined. Both offsets are field-of-view truncations on individually characterized cases,</w:t>
      </w:r>
      <w:r>
        <w:t xml:space="preserve"> </w:t>
      </w:r>
      <w:r>
        <w:t xml:space="preserve">one at</w:t>
      </w:r>
      <w:r>
        <w:t xml:space="preserve"> </w:t>
      </w:r>
      <m:oMath>
        <m:r>
          <m:rPr>
            <m:sty m:val="p"/>
          </m:rPr>
          <m:t>+</m:t>
        </m:r>
        <m:r>
          <m:t>1</m:t>
        </m:r>
      </m:oMath>
      <w:r>
        <w:t xml:space="preserve"> </w:t>
      </w:r>
      <w:r>
        <w:t xml:space="preserve">level and one at</w:t>
      </w:r>
      <w:r>
        <w:t xml:space="preserve"> </w:t>
      </w:r>
      <m:oMath>
        <m:r>
          <m:rPr>
            <m:sty m:val="p"/>
          </m:rPr>
          <m:t>−</m:t>
        </m:r>
        <m:r>
          <m:t>1</m:t>
        </m:r>
      </m:oMath>
      <w:r>
        <w:t xml:space="preserve">, reported rather than suppressed.</w:t>
      </w:r>
    </w:p>
    <w:p>
      <w:pPr>
        <w:pStyle w:val="BodyText"/>
      </w:pPr>
      <w:r>
        <w:t xml:space="preserve">The same check carries an invariant that reads as a null result. Of the 5</w:t>
      </w:r>
      <w:r>
        <w:t xml:space="preserve">,</w:t>
      </w:r>
      <w:r>
        <w:t xml:space="preserve">749 evaluable</w:t>
      </w:r>
      <w:r>
        <w:t xml:space="preserve"> </w:t>
      </w:r>
      <w:r>
        <w:t xml:space="preserve">ribs,</w:t>
      </w:r>
      <w:r>
        <w:t xml:space="preserve"> </w:t>
      </w:r>
      <w:r>
        <w:rPr>
          <w:i/>
          <w:iCs/>
        </w:rPr>
        <w:t xml:space="preserve">zero</w:t>
      </w:r>
      <w:r>
        <w:t xml:space="preserve"> </w:t>
      </w:r>
      <w:r>
        <w:t xml:space="preserve">are assigned to a lumbar vertebra, not because no lumbar ribs exist,</w:t>
      </w:r>
      <w:r>
        <w:t xml:space="preserve"> </w:t>
      </w:r>
      <w:r>
        <w:t xml:space="preserve">since 16 records carry one, but because such a rib takes class 74 or 75 and never enters the</w:t>
      </w:r>
      <w:r>
        <w:t xml:space="preserve"> </w:t>
      </w:r>
      <w:r>
        <w:t xml:space="preserve">numbered set the test examines. A numbered rib landing on a lumbar vertebra would be a</w:t>
      </w:r>
      <w:r>
        <w:t xml:space="preserve"> </w:t>
      </w:r>
      <w:r>
        <w:t xml:space="preserve">counting error of exactly the kind this dataset exists to expose.</w:t>
      </w:r>
    </w:p>
    <w:p>
      <w:pPr>
        <w:pStyle w:val="BodyText"/>
      </w:pPr>
      <w:r>
        <w:rPr>
          <w:i/>
          <w:iCs/>
        </w:rPr>
        <w:t xml:space="preserve">Agreement with published values.</w:t>
      </w:r>
      <w:r>
        <w:t xml:space="preserve"> </w:t>
      </w:r>
      <w:r>
        <w:t xml:space="preserve">Derived spinopelvic measures are compared against</w:t>
      </w:r>
      <w:r>
        <w:t xml:space="preserve"> </w:t>
      </w:r>
      <w:r>
        <w:t xml:space="preserve">Vialle</w:t>
      </w:r>
      <w:r>
        <w:t xml:space="preserve"> </w:t>
      </w:r>
      <w:r>
        <w:rPr>
          <w:i/>
          <w:iCs/>
        </w:rPr>
        <w:t xml:space="preserve">et al.</w:t>
      </w:r>
      <w:r>
        <w:t xml:space="preserve"> </w:t>
      </w:r>
      <w:r>
        <w:t xml:space="preserve"> </w:t>
      </w:r>
      <w:r>
        <w:t xml:space="preserve">(Table </w:t>
      </w:r>
      <w:hyperlink w:anchor="tab:spinopelvic">
        <w:r>
          <w:rPr>
            <w:rStyle w:val="Hyperlink"/>
          </w:rPr>
          <w:t xml:space="preserve">[tab:spinopelvic]</w:t>
        </w:r>
      </w:hyperlink>
      <w:r>
        <w:t xml:space="preserve">). Pelvic incidence is</w:t>
      </w:r>
      <w:r>
        <w:t xml:space="preserve"> </w:t>
      </w:r>
      <w:r>
        <w:t xml:space="preserve">the strongest of these checks because it is a morphological property of the pelvis rather</w:t>
      </w:r>
      <w:r>
        <w:t xml:space="preserve"> </w:t>
      </w:r>
      <w:r>
        <w:t xml:space="preserve">than a posture, and so is directly comparable to a standing reference cohort.</w:t>
      </w:r>
    </w:p>
    <w:bookmarkEnd w:id="24"/>
    <w:bookmarkStart w:id="25" w:name="castellvi-typing"/>
    <w:p>
      <w:pPr>
        <w:pStyle w:val="Heading2"/>
      </w:pPr>
      <w:r>
        <w:t xml:space="preserve">Castellvi typing</w:t>
      </w:r>
    </w:p>
    <w:p>
      <w:pPr>
        <w:pStyle w:val="FirstParagraph"/>
      </w:pPr>
      <w:r>
        <w:t xml:space="preserve">Every record whose vertebral count departs from five carries a Castellvi</w:t>
      </w:r>
      <w:r>
        <w:t xml:space="preserve"> </w:t>
      </w:r>
      <w:r>
        <w:t xml:space="preserve">grade </w:t>
      </w:r>
      <w:r>
        <w:t xml:space="preserve"> </w:t>
      </w:r>
      <w:r>
        <w:t xml:space="preserve">in the released manifest: 33 cases, typed I–IV with the</w:t>
      </w:r>
      <w:r>
        <w:t xml:space="preserve"> </w:t>
      </w:r>
      <m:oMath>
        <m:r>
          <m:t>a</m:t>
        </m:r>
      </m:oMath>
      <w:r>
        <w:t xml:space="preserve">/</w:t>
      </w:r>
      <m:oMath>
        <m:r>
          <m:t>b</m:t>
        </m:r>
      </m:oMath>
      <w:r>
        <w:t xml:space="preserve"> </w:t>
      </w:r>
      <w:r>
        <w:t xml:space="preserve">unilateral–bilateral qualifier. This is released as an</w:t>
      </w:r>
      <w:r>
        <w:t xml:space="preserve"> </w:t>
      </w:r>
      <w:r>
        <w:t xml:space="preserve">annotation layer because the grade and the count are</w:t>
      </w:r>
      <w:r>
        <w:t xml:space="preserve"> </w:t>
      </w:r>
      <w:r>
        <w:rPr>
          <w:i/>
          <w:iCs/>
        </w:rPr>
        <w:t xml:space="preserve">different axes</w:t>
      </w:r>
      <w:r>
        <w:t xml:space="preserve"> </w:t>
      </w:r>
      <w:r>
        <w:t xml:space="preserve">and the dataset</w:t>
      </w:r>
      <w:r>
        <w:t xml:space="preserve"> </w:t>
      </w:r>
      <w:r>
        <w:t xml:space="preserve">is built to show that they are: grade IIIb occurs here at rib-free counts of four, five and</w:t>
      </w:r>
      <w:r>
        <w:t xml:space="preserve"> </w:t>
      </w:r>
      <w:r>
        <w:t xml:space="preserve">six alike, and seven of the 33 graded cases carry a perfectly normal count of five. A</w:t>
      </w:r>
      <w:r>
        <w:t xml:space="preserve"> </w:t>
      </w:r>
      <w:r>
        <w:t xml:space="preserve">corpus that recorded only the count would describe those seven as unremarkable.</w:t>
      </w:r>
    </w:p>
    <w:p>
      <w:pPr>
        <w:pStyle w:val="BodyText"/>
      </w:pPr>
      <w:r>
        <w:t xml:space="preserve">Two radiology resident physicians graded every case independently and resolved their six</w:t>
      </w:r>
      <w:r>
        <w:t xml:space="preserve"> </w:t>
      </w:r>
      <w:r>
        <w:t xml:space="preserve">disagreements by consensus; both reads and the consensus are in the manifest. The distinction</w:t>
      </w:r>
      <w:r>
        <w:t xml:space="preserve"> </w:t>
      </w:r>
      <w:r>
        <w:t xml:space="preserve">the classification turns on, bony fusion against articulation without</w:t>
      </w:r>
      <w:r>
        <w:t xml:space="preserve"> </w:t>
      </w:r>
      <w:r>
        <w:t xml:space="preserve">it </w:t>
      </w:r>
      <w:r>
        <w:t xml:space="preserve">, is the one carrying clinical weight, and it is where the</w:t>
      </w:r>
      <w:r>
        <w:t xml:space="preserve"> </w:t>
      </w:r>
      <w:r>
        <w:t xml:space="preserve">disagreements lay: four of the six were III against II.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Measure</w:t>
            </w:r>
          </w:p>
        </w:tc>
        <w:tc>
          <w:tcPr/>
          <w:p>
            <w:pPr>
              <w:pStyle w:val="Compact"/>
              <w:jc w:val="center"/>
            </w:pPr>
            <w:r>
              <w:t xml:space="preserve">This dataset (supine)</w:t>
            </w:r>
          </w:p>
        </w:tc>
        <w:tc>
          <w:tcPr/>
          <w:p>
            <w:pPr>
              <w:pStyle w:val="Compact"/>
              <w:jc w:val="center"/>
            </w:pPr>
            <w:r>
              <w:t xml:space="preserve">Reference (standing)</w:t>
            </w:r>
          </w:p>
        </w:tc>
      </w:tr>
      <w:tr>
        <w:tc>
          <w:tcPr/>
          <w:p>
            <w:pPr>
              <w:pStyle w:val="Compact"/>
              <w:jc w:val="left"/>
            </w:pPr>
            <w:r>
              <w:t xml:space="preserve">Pelvic incidence</w:t>
            </w:r>
          </w:p>
        </w:tc>
        <w:tc>
          <w:tcPr/>
          <w:p>
            <w:pPr>
              <w:pStyle w:val="Compact"/>
              <w:jc w:val="center"/>
            </w:pPr>
            <w:r>
              <w:t xml:space="preserve">54.7</w:t>
            </w:r>
            <m:oMath>
              <m:sSup>
                <m:e>
                  <m:r>
                    <m:t>​</m:t>
                  </m:r>
                </m:e>
                <m:sup>
                  <m:r>
                    <m:rPr>
                      <m:sty m:val="p"/>
                    </m:rPr>
                    <m:t>∘</m:t>
                  </m:r>
                </m:sup>
              </m:sSup>
            </m:oMath>
          </w:p>
        </w:tc>
        <w:tc>
          <w:tcPr/>
          <w:p>
            <w:pPr>
              <w:pStyle w:val="Compact"/>
              <w:jc w:val="center"/>
            </w:pPr>
            <w:r>
              <w:t xml:space="preserve">54.7</w:t>
            </w:r>
            <w:r>
              <w:t xml:space="preserve"> </w:t>
            </w:r>
            <m:oMath>
              <m:r>
                <m:rPr>
                  <m:sty m:val="p"/>
                </m:rPr>
                <m:t>±</m:t>
              </m:r>
            </m:oMath>
            <w:r>
              <w:t xml:space="preserve"> </w:t>
            </w:r>
            <w:r>
              <w:t xml:space="preserve">10.6</w:t>
            </w:r>
          </w:p>
        </w:tc>
      </w:tr>
      <w:tr>
        <w:tc>
          <w:tcPr/>
          <w:p>
            <w:pPr>
              <w:pStyle w:val="Compact"/>
              <w:jc w:val="left"/>
            </w:pPr>
            <w:r>
              <w:t xml:space="preserve">Pelvic tilt</w:t>
            </w:r>
          </w:p>
        </w:tc>
        <w:tc>
          <w:tcPr/>
          <w:p>
            <w:pPr>
              <w:pStyle w:val="Compact"/>
              <w:jc w:val="center"/>
            </w:pPr>
            <w:r>
              <w:t xml:space="preserve">17.3</w:t>
            </w:r>
            <m:oMath>
              <m:sSup>
                <m:e>
                  <m:r>
                    <m:t>​</m:t>
                  </m:r>
                </m:e>
                <m:sup>
                  <m:r>
                    <m:rPr>
                      <m:sty m:val="p"/>
                    </m:rPr>
                    <m:t>∘</m:t>
                  </m:r>
                </m:sup>
              </m:sSup>
            </m:oMath>
          </w:p>
        </w:tc>
        <w:tc>
          <w:tcPr/>
          <w:p>
            <w:pPr>
              <w:pStyle w:val="Compact"/>
              <w:jc w:val="center"/>
            </w:pPr>
            <w:r>
              <w:t xml:space="preserve">13</w:t>
            </w:r>
            <w:r>
              <w:t xml:space="preserve"> </w:t>
            </w:r>
            <m:oMath>
              <m:r>
                <m:rPr>
                  <m:sty m:val="p"/>
                </m:rPr>
                <m:t>±</m:t>
              </m:r>
            </m:oMath>
            <w:r>
              <w:t xml:space="preserve"> </w:t>
            </w:r>
            <w:r>
              <w:t xml:space="preserve">6</w:t>
            </w:r>
          </w:p>
        </w:tc>
      </w:tr>
      <w:tr>
        <w:tc>
          <w:tcPr/>
          <w:p>
            <w:pPr>
              <w:pStyle w:val="Compact"/>
              <w:jc w:val="left"/>
            </w:pPr>
            <w:r>
              <w:t xml:space="preserve">Sacral slope</w:t>
            </w:r>
          </w:p>
        </w:tc>
        <w:tc>
          <w:tcPr/>
          <w:p>
            <w:pPr>
              <w:pStyle w:val="Compact"/>
              <w:jc w:val="center"/>
            </w:pPr>
            <w:r>
              <w:t xml:space="preserve">36.9</w:t>
            </w:r>
            <m:oMath>
              <m:sSup>
                <m:e>
                  <m:r>
                    <m:t>​</m:t>
                  </m:r>
                </m:e>
                <m:sup>
                  <m:r>
                    <m:rPr>
                      <m:sty m:val="p"/>
                    </m:rPr>
                    <m:t>∘</m:t>
                  </m:r>
                </m:sup>
              </m:sSup>
            </m:oMath>
          </w:p>
        </w:tc>
        <w:tc>
          <w:tcPr/>
          <w:p>
            <w:pPr>
              <w:pStyle w:val="Compact"/>
              <w:jc w:val="center"/>
            </w:pPr>
            <w:r>
              <w:t xml:space="preserve">41.0</w:t>
            </w:r>
            <w:r>
              <w:t xml:space="preserve"> </w:t>
            </w:r>
            <m:oMath>
              <m:r>
                <m:rPr>
                  <m:sty m:val="p"/>
                </m:rPr>
                <m:t>±</m:t>
              </m:r>
            </m:oMath>
            <w:r>
              <w:t xml:space="preserve"> </w:t>
            </w:r>
            <w:r>
              <w:t xml:space="preserve">8.4</w:t>
            </w:r>
          </w:p>
        </w:tc>
      </w:tr>
      <w:tr>
        <w:tc>
          <w:tcPr/>
          <w:p>
            <w:pPr>
              <w:pStyle w:val="Compact"/>
              <w:jc w:val="left"/>
            </w:pPr>
            <w:r>
              <w:t xml:space="preserve">Lumbar lordosis (supine)</w:t>
            </w:r>
          </w:p>
        </w:tc>
        <w:tc>
          <w:tcPr/>
          <w:p>
            <w:pPr>
              <w:pStyle w:val="Compact"/>
              <w:jc w:val="center"/>
            </w:pPr>
            <w:r>
              <w:t xml:space="preserve">52.7</w:t>
            </w:r>
            <m:oMath>
              <m:sSup>
                <m:e>
                  <m:r>
                    <m:t>​</m:t>
                  </m:r>
                </m:e>
                <m:sup>
                  <m:r>
                    <m:rPr>
                      <m:sty m:val="p"/>
                    </m:rPr>
                    <m:t>∘</m:t>
                  </m:r>
                </m:sup>
              </m:sSup>
            </m:oMath>
          </w:p>
        </w:tc>
        <w:tc>
          <w:tcPr/>
          <w:p>
            <w:pPr>
              <w:pStyle w:val="Compact"/>
              <w:jc w:val="center"/>
            </w:pPr>
            <w:r>
              <w:t xml:space="preserve">43</w:t>
            </w:r>
            <w:r>
              <w:t xml:space="preserve"> </w:t>
            </w:r>
            <m:oMath>
              <m:r>
                <m:rPr>
                  <m:sty m:val="p"/>
                </m:rPr>
                <m:t>±</m:t>
              </m:r>
            </m:oMath>
            <w:r>
              <w:t xml:space="preserve"> </w:t>
            </w:r>
            <w:r>
              <w:t xml:space="preserve">11.2 (standing)</w:t>
            </w:r>
          </w:p>
        </w:tc>
      </w:tr>
      <w:tr>
        <w:tc>
          <w:tcPr/>
          <w:p>
            <w:pPr>
              <w:pStyle w:val="Compact"/>
              <w:jc w:val="left"/>
            </w:pPr>
            <w:r>
              <w:t xml:space="preserve">PI</w:t>
            </w:r>
            <w:r>
              <w:t xml:space="preserve"> </w:t>
            </w:r>
            <m:oMath>
              <m:r>
                <m:rPr>
                  <m:sty m:val="p"/>
                </m:rPr>
                <m:t>−</m:t>
              </m:r>
            </m:oMath>
            <w:r>
              <w:t xml:space="preserve"> </w:t>
            </w:r>
            <w:r>
              <w:t xml:space="preserve">LL mismatch</w:t>
            </w:r>
          </w:p>
        </w:tc>
        <w:tc>
          <w:tcPr/>
          <w:p>
            <w:pPr>
              <w:pStyle w:val="Compact"/>
              <w:jc w:val="center"/>
            </w:pPr>
            <w:r>
              <w:t xml:space="preserve">2.6</w:t>
            </w:r>
            <m:oMath>
              <m:sSup>
                <m:e>
                  <m:r>
                    <m:t>​</m:t>
                  </m:r>
                </m:e>
                <m:sup>
                  <m:r>
                    <m:rPr>
                      <m:sty m:val="p"/>
                    </m:rPr>
                    <m:t>∘</m:t>
                  </m:r>
                </m:sup>
              </m:sSup>
            </m:oMath>
          </w:p>
        </w:tc>
        <w:tc>
          <w:tcPr/>
          <w:p>
            <w:pPr>
              <w:pStyle w:val="Compact"/>
              <w:jc w:val="center"/>
            </w:pPr>
            <w:r>
              <w:t xml:space="preserve">centered near 0</w:t>
            </w:r>
          </w:p>
        </w:tc>
      </w:tr>
    </w:tbl>
    <w:bookmarkEnd w:id="25"/>
    <w:bookmarkStart w:id="33" w:name="sec:hardware"/>
    <w:p>
      <w:pPr>
        <w:pStyle w:val="Heading2"/>
      </w:pPr>
      <w:r>
        <w:t xml:space="preserve">Surgical hardware, and why a threshold is not enough</w:t>
      </w:r>
    </w:p>
    <w:p>
      <w:pPr>
        <w:pStyle w:val="FirstParagraph"/>
      </w:pPr>
      <w:r>
        <w:t xml:space="preserve">Metal is trivial to detect and hard to interpret, and the difference matters here because</w:t>
      </w:r>
      <w:r>
        <w:t xml:space="preserve"> </w:t>
      </w:r>
      <w:r>
        <w:rPr>
          <w:b/>
          <w:bCs/>
        </w:rPr>
        <w:t xml:space="preserve">an iatrogenic fusion is indistinguishable from a congenital one to a distance</w:t>
      </w:r>
      <w:r>
        <w:rPr>
          <w:b/>
          <w:bCs/>
        </w:rPr>
        <w:t xml:space="preserve"> </w:t>
      </w:r>
      <w:r>
        <w:rPr>
          <w:b/>
          <w:bCs/>
        </w:rPr>
        <w:t xml:space="preserve">measurement</w:t>
      </w:r>
      <w:r>
        <w:t xml:space="preserve">: a cage-bridged interspace reads as</w:t>
      </w:r>
      <w:r>
        <w:t xml:space="preserve"> </w:t>
      </w:r>
      <w:r>
        <w:t xml:space="preserve">“no gap”</w:t>
      </w:r>
      <w:r>
        <w:t xml:space="preserve"> </w:t>
      </w:r>
      <w:r>
        <w:t xml:space="preserve">exactly as a fused transitional</w:t>
      </w:r>
      <w:r>
        <w:t xml:space="preserve"> </w:t>
      </w:r>
      <w:r>
        <w:t xml:space="preserve">vertebra does. An unrecorded instrumented case is therefore a false positive on the central</w:t>
      </w:r>
      <w:r>
        <w:t xml:space="preserve"> </w:t>
      </w:r>
      <w:r>
        <w:t xml:space="preserve">measure.</w:t>
      </w:r>
    </w:p>
    <w:bookmarkStart w:id="26" w:name="X6ccedf8a194116531bb518b375b53d9e1e007e9"/>
    <w:p>
      <w:pPr>
        <w:pStyle w:val="Heading4"/>
      </w:pPr>
      <w:r>
        <w:t xml:space="preserve">Detection over-calls by a factor of five.</w:t>
      </w:r>
    </w:p>
    <w:p>
      <w:pPr>
        <w:pStyle w:val="FirstParagraph"/>
      </w:pPr>
      <w:r>
        <w:t xml:space="preserve">A 2500 HU threshold inside a shell</w:t>
      </w:r>
      <w:r>
        <w:t xml:space="preserve"> </w:t>
      </w:r>
      <w:r>
        <w:t xml:space="preserve">around the labeled skeleton flags 52 of the 802 records. One of the two radiology</w:t>
      </w:r>
      <w:r>
        <w:t xml:space="preserve"> </w:t>
      </w:r>
      <w:r>
        <w:t xml:space="preserve">resident physicians read all 52 and confirmed 11, rejecting 41 (79%) as contrast,</w:t>
      </w:r>
      <w:r>
        <w:t xml:space="preserve"> </w:t>
      </w:r>
      <w:r>
        <w:t xml:space="preserve">calcification and reconstruction artefact. Attenuation does not separate the two groups</w:t>
      </w:r>
      <w:r>
        <w:t xml:space="preserve"> </w:t>
      </w:r>
      <w:r>
        <w:t xml:space="preserve">(both saturate); site and volume do, every confirmed implant at 2,586 mm</w:t>
      </w:r>
      <m:oMath>
        <m:sSup>
          <m:e>
            <m:r>
              <m:t>​</m:t>
            </m:r>
          </m:e>
          <m:sup>
            <m:r>
              <m:t>3</m:t>
            </m:r>
          </m:sup>
        </m:sSup>
      </m:oMath>
      <w:r>
        <w:t xml:space="preserve"> </w:t>
      </w:r>
      <w:r>
        <w:t xml:space="preserve">or above and</w:t>
      </w:r>
      <w:r>
        <w:t xml:space="preserve"> </w:t>
      </w:r>
      <w:r>
        <w:t xml:space="preserve">every rejection at 1,768 mm</w:t>
      </w:r>
      <m:oMath>
        <m:sSup>
          <m:e>
            <m:r>
              <m:t>​</m:t>
            </m:r>
          </m:e>
          <m:sup>
            <m:r>
              <m:t>3</m:t>
            </m:r>
          </m:sup>
        </m:sSup>
      </m:oMath>
      <w:r>
        <w:t xml:space="preserve"> </w:t>
      </w:r>
      <w:r>
        <w:t xml:space="preserve">or below. Instrumentation prevalence is 1.4%, not the</w:t>
      </w:r>
      <w:r>
        <w:t xml:space="preserve"> </w:t>
      </w:r>
      <w:r>
        <w:t xml:space="preserve">6.5% the threshold alone reports.</w:t>
      </w:r>
    </w:p>
    <w:bookmarkEnd w:id="26"/>
    <w:bookmarkStart w:id="27" w:name="the-subtype-block-had-to-be-extended."/>
    <w:p>
      <w:pPr>
        <w:pStyle w:val="Heading4"/>
      </w:pPr>
      <w:r>
        <w:t xml:space="preserve">The subtype block had to be extended.</w:t>
      </w:r>
    </w:p>
    <w:p>
      <w:pPr>
        <w:pStyle w:val="FirstParagraph"/>
      </w:pPr>
      <w:r>
        <w:t xml:space="preserve">Identifiers 76–79 name spinal</w:t>
      </w:r>
      <w:r>
        <w:t xml:space="preserve"> </w:t>
      </w:r>
      <w:r>
        <w:t xml:space="preserve">instrumentation (generic, cage, screw-and-rod, plate) and cannot describe what this cohort</w:t>
      </w:r>
      <w:r>
        <w:t xml:space="preserve"> </w:t>
      </w:r>
      <w:r>
        <w:t xml:space="preserve">holds, so</w:t>
      </w:r>
      <w:r>
        <w:t xml:space="preserve"> </w:t>
      </w:r>
      <w:r>
        <w:rPr>
          <w:b/>
          <w:bCs/>
        </w:rPr>
        <w:t xml:space="preserve">80 arthroplasty</w:t>
      </w:r>
      <w:r>
        <w:t xml:space="preserve">,</w:t>
      </w:r>
      <w:r>
        <w:t xml:space="preserve"> </w:t>
      </w:r>
      <w:r>
        <w:rPr>
          <w:b/>
          <w:bCs/>
        </w:rPr>
        <w:t xml:space="preserve">81 sacroiliac screw</w:t>
      </w:r>
      <w:r>
        <w:t xml:space="preserve"> </w:t>
      </w:r>
      <w:r>
        <w:t xml:space="preserve">and</w:t>
      </w:r>
      <w:r>
        <w:t xml:space="preserve"> </w:t>
      </w:r>
      <w:r>
        <w:rPr>
          <w:b/>
          <w:bCs/>
        </w:rPr>
        <w:t xml:space="preserve">82</w:t>
      </w:r>
      <w:r>
        <w:rPr>
          <w:b/>
          <w:bCs/>
        </w:rPr>
        <w:t xml:space="preserve"> </w:t>
      </w:r>
      <w:r>
        <w:rPr>
          <w:b/>
          <w:bCs/>
        </w:rPr>
        <w:t xml:space="preserve">osteosynthesis</w:t>
      </w:r>
      <w:r>
        <w:t xml:space="preserve"> </w:t>
      </w:r>
      <w:r>
        <w:t xml:space="preserve">were added: osteosynthesis holds parts of one bone together where</w:t>
      </w:r>
      <w:r>
        <w:t xml:space="preserve"> </w:t>
      </w:r>
      <w:r>
        <w:t xml:space="preserve">arthroplasty replaces a joint, and a shape rule calls a femoral stem a rod. The confirmed</w:t>
      </w:r>
      <w:r>
        <w:t xml:space="preserve"> </w:t>
      </w:r>
      <w:r>
        <w:t xml:space="preserve">cases are 8 arthroplasties, one osteosynthesis, one sacroiliac fixation and one pair of</w:t>
      </w:r>
      <w:r>
        <w:t xml:space="preserve"> </w:t>
      </w:r>
      <w:r>
        <w:t xml:space="preserve">interbody cages (Fig. </w:t>
      </w:r>
      <w:hyperlink w:anchor="fig:hardware">
        <w:r>
          <w:rPr>
            <w:rStyle w:val="Hyperlink"/>
          </w:rPr>
          <w:t xml:space="preserve">3</w:t>
        </w:r>
      </w:hyperlink>
      <w:r>
        <w:t xml:space="preserve">).</w:t>
      </w:r>
    </w:p>
    <w:bookmarkEnd w:id="27"/>
    <w:bookmarkStart w:id="32" w:name="X06fc12f192e95ab0f7b26779051c84afa05042a"/>
    <w:p>
      <w:pPr>
        <w:pStyle w:val="Heading4"/>
      </w:pPr>
      <w:r>
        <w:t xml:space="preserve">Metal outranks bone, and that is a subtraction.</w:t>
      </w:r>
    </w:p>
    <w:p>
      <w:pPr>
        <w:pStyle w:val="FirstParagraph"/>
      </w:pPr>
      <w:r>
        <w:t xml:space="preserve">In every confirmed case the</w:t>
      </w:r>
      <w:r>
        <w:t xml:space="preserve"> </w:t>
      </w:r>
      <w:r>
        <w:t xml:space="preserve">implant was already inside a bone label, so naming it reclaims 1,538,852 voxels rather</w:t>
      </w:r>
      <w:r>
        <w:t xml:space="preserve"> </w:t>
      </w:r>
      <w:r>
        <w:t xml:space="preserve">than adding them. Pelvic incidence and tilt are measured from the femoral head center, and</w:t>
      </w:r>
      <w:r>
        <w:t xml:space="preserve"> </w:t>
      </w:r>
      <w:r>
        <w:t xml:space="preserve">in 8 of these cases that head is an implant: any spinopelvic parameter previously computed</w:t>
      </w:r>
      <w:r>
        <w:t xml:space="preserve"> </w:t>
      </w:r>
      <w:r>
        <w:t xml:space="preserve">from them was measured on metal.</w:t>
      </w:r>
    </w:p>
    <w:bookmarkStart w:id="31" w:name="fig:hardware"/>
    <w:p>
      <w:pPr>
        <w:pStyle w:val="CaptionedFigure"/>
      </w:pPr>
      <w:r>
        <w:drawing>
          <wp:inline>
            <wp:extent cx="5334000" cy="1291500"/>
            <wp:effectExtent b="0" l="0" r="0" t="0"/>
            <wp:docPr descr="" title="" id="29" name="Picture"/>
            <a:graphic>
              <a:graphicData uri="http://schemas.openxmlformats.org/drawingml/2006/picture">
                <pic:pic>
                  <pic:nvPicPr>
                    <pic:cNvPr descr="figures/fig_hardware.pdf" id="30" name="Picture"/>
                    <pic:cNvPicPr>
                      <a:picLocks noChangeArrowheads="1" noChangeAspect="1"/>
                    </pic:cNvPicPr>
                  </pic:nvPicPr>
                  <pic:blipFill>
                    <a:blip r:embed="rId28"/>
                    <a:stretch>
                      <a:fillRect/>
                    </a:stretch>
                  </pic:blipFill>
                  <pic:spPr bwMode="auto">
                    <a:xfrm>
                      <a:off x="0" y="0"/>
                      <a:ext cx="5334000" cy="1291500"/>
                    </a:xfrm>
                    <a:prstGeom prst="rect">
                      <a:avLst/>
                    </a:prstGeom>
                    <a:noFill/>
                    <a:ln w="9525">
                      <a:noFill/>
                      <a:headEnd/>
                      <a:tailEnd/>
                    </a:ln>
                  </pic:spPr>
                </pic:pic>
              </a:graphicData>
            </a:graphic>
          </wp:inline>
        </w:drawing>
      </w:r>
    </w:p>
    <w:p>
      <w:pPr>
        <w:pStyle w:val="ImageCaption"/>
      </w:pPr>
      <w:r>
        <w:t xml:space="preserve">Instrumentation in the release, one exemplar each, drawn through bone. (a) Hip</w:t>
      </w:r>
      <w:r>
        <w:t xml:space="preserve"> </w:t>
      </w:r>
      <w:r>
        <w:t xml:space="preserve">arthroplasty, 80,</w:t>
      </w:r>
      <w:r>
        <w:t xml:space="preserve"> </w:t>
      </w:r>
      <m:oMath>
        <m:r>
          <m:t>n</m:t>
        </m:r>
        <m:r>
          <m:rPr>
            <m:sty m:val="p"/>
          </m:rPr>
          <m:t>=</m:t>
        </m:r>
        <m:r>
          <m:t>8</m:t>
        </m:r>
      </m:oMath>
      <w:r>
        <w:t xml:space="preserve">. (b) Femoral-neck screws, 82,</w:t>
      </w:r>
      <w:r>
        <w:t xml:space="preserve"> </w:t>
      </w:r>
      <m:oMath>
        <m:r>
          <m:t>n</m:t>
        </m:r>
        <m:r>
          <m:rPr>
            <m:sty m:val="p"/>
          </m:rPr>
          <m:t>=</m:t>
        </m:r>
        <m:r>
          <m:t>1</m:t>
        </m:r>
      </m:oMath>
      <w:r>
        <w:t xml:space="preserve">. (c) Sacroiliac screws, 81,</w:t>
      </w:r>
      <w:r>
        <w:t xml:space="preserve"> </w:t>
      </w:r>
      <m:oMath>
        <m:r>
          <m:t>n</m:t>
        </m:r>
        <m:r>
          <m:rPr>
            <m:sty m:val="p"/>
          </m:rPr>
          <m:t>=</m:t>
        </m:r>
        <m:r>
          <m:t>1</m:t>
        </m:r>
      </m:oMath>
      <w:r>
        <w:t xml:space="preserve">. (d) Interbody cages, 77,</w:t>
      </w:r>
      <w:r>
        <w:t xml:space="preserve"> </w:t>
      </w:r>
      <m:oMath>
        <m:r>
          <m:t>n</m:t>
        </m:r>
        <m:r>
          <m:rPr>
            <m:sty m:val="p"/>
          </m:rPr>
          <m:t>=</m:t>
        </m:r>
        <m:r>
          <m:t>1</m:t>
        </m:r>
      </m:oMath>
      <w:r>
        <w:t xml:space="preserve">. Bar, 5 cm.</w:t>
      </w:r>
    </w:p>
    <w:bookmarkEnd w:id="31"/>
    <w:bookmarkEnd w:id="32"/>
    <w:bookmarkEnd w:id="33"/>
    <w:bookmarkEnd w:id="34"/>
    <w:bookmarkStart w:id="35" w:name="sec:format"/>
    <w:p>
      <w:pPr>
        <w:pStyle w:val="Heading1"/>
      </w:pPr>
      <w:r>
        <w:t xml:space="preserve">Data Format and Usage Notes</w:t>
      </w:r>
    </w:p>
    <w:p>
      <w:pPr>
        <w:pStyle w:val="FirstParagraph"/>
      </w:pPr>
      <w:r>
        <w:t xml:space="preserve">Each record is a gzipped NIfTI image/label pair sharing an identical</w:t>
      </w:r>
      <w:r>
        <w:t xml:space="preserve"> </w:t>
      </w:r>
      <m:oMath>
        <m:r>
          <m:t>4</m:t>
        </m:r>
        <m:r>
          <m:rPr>
            <m:sty m:val="p"/>
          </m:rPr>
          <m:t>×</m:t>
        </m:r>
        <m:r>
          <m:t>4</m:t>
        </m:r>
      </m:oMath>
      <w:r>
        <w:t xml:space="preserve"> </w:t>
      </w:r>
      <w:r>
        <w:t xml:space="preserve">affine,</w:t>
      </w:r>
      <w:r>
        <w:t xml:space="preserve"> </w:t>
      </w:r>
      <w:r>
        <w:t xml:space="preserve">canonicalized to PIR, requiring no resampling. Masks are NIfTI rather than DICOM: the</w:t>
      </w:r>
      <w:r>
        <w:t xml:space="preserve"> </w:t>
      </w:r>
      <w:r>
        <w:t xml:space="preserve">policy prefers DICOM where applicable, and for volumetric segmentation masks NIfTI is</w:t>
      </w:r>
      <w:r>
        <w:t xml:space="preserve"> </w:t>
      </w:r>
      <w:r>
        <w:t xml:space="preserve">what the downstream tooling expects.</w:t>
      </w:r>
    </w:p>
    <w:p>
      <w:pPr>
        <w:pStyle w:val="BodyText"/>
      </w:pPr>
      <w:r>
        <w:t xml:space="preserve">Splits are patient-grouped and LSTV-stratified five-fold, frozen and shipped with the data</w:t>
      </w:r>
      <w:r>
        <w:t xml:space="preserve"> </w:t>
      </w:r>
      <w:r>
        <w:t xml:space="preserve">as</w:t>
      </w:r>
      <w:r>
        <w:t xml:space="preserve"> </w:t>
      </w:r>
      <w:r>
        <w:rPr>
          <w:rStyle w:val="VerbatimChar"/>
        </w:rPr>
        <w:t xml:space="preserve">splits_5fold.json</w:t>
      </w:r>
      <w:r>
        <w:t xml:space="preserve">. The five validation folds partition all 802 records, so the</w:t>
      </w:r>
      <w:r>
        <w:t xml:space="preserve"> </w:t>
      </w:r>
      <w:r>
        <w:t xml:space="preserve">release provides cross-validation and</w:t>
      </w:r>
      <w:r>
        <w:t xml:space="preserve"> </w:t>
      </w:r>
      <w:r>
        <w:rPr>
          <w:i/>
          <w:iCs/>
        </w:rPr>
        <w:t xml:space="preserve">not</w:t>
      </w:r>
      <w:r>
        <w:t xml:space="preserve"> </w:t>
      </w:r>
      <w:r>
        <w:t xml:space="preserve">a held-out test set; users reporting a</w:t>
      </w:r>
      <w:r>
        <w:t xml:space="preserve"> </w:t>
      </w:r>
      <w:r>
        <w:t xml:space="preserve">single held-out number should carve one out and state which records it holds.</w:t>
      </w:r>
    </w:p>
    <w:p>
      <w:pPr>
        <w:pStyle w:val="BodyText"/>
      </w:pPr>
      <w:r>
        <w:t xml:space="preserve">Stratification is on the transitional subtype rather than a binary LSTV flag: every</w:t>
      </w:r>
      <w:r>
        <w:t xml:space="preserve"> </w:t>
      </w:r>
      <w:r>
        <w:t xml:space="preserve">validation fold carries three sacralization and three lumbarization records. With 15 of</w:t>
      </w:r>
      <w:r>
        <w:t xml:space="preserve"> </w:t>
      </w:r>
      <w:r>
        <w:t xml:space="preserve">each across 802 that is the most stratification can guarantee, and it is why a fold-level</w:t>
      </w:r>
      <w:r>
        <w:t xml:space="preserve"> </w:t>
      </w:r>
      <w:r>
        <w:t xml:space="preserve">metric on the rare classes carries an error bar far wider than its own decimal places.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right"/>
            </w:pPr>
            <w:r>
              <w:t xml:space="preserve">Records</w:t>
            </w:r>
          </w:p>
        </w:tc>
        <w:tc>
          <w:tcPr/>
          <w:p>
            <w:pPr>
              <w:pStyle w:val="Compact"/>
              <w:jc w:val="right"/>
            </w:pPr>
            <w:r>
              <w:t xml:space="preserve">Available</w:t>
            </w:r>
          </w:p>
        </w:tc>
      </w:tr>
      <w:tr>
        <w:tc>
          <w:tcPr/>
          <w:p>
            <w:pPr>
              <w:pStyle w:val="Compact"/>
              <w:jc w:val="left"/>
            </w:pPr>
            <w:r>
              <w:t xml:space="preserve">Identifier, image path, label path, configuration, match type</w:t>
            </w:r>
          </w:p>
        </w:tc>
        <w:tc>
          <w:tcPr/>
          <w:p>
            <w:pPr>
              <w:pStyle w:val="Compact"/>
              <w:jc w:val="right"/>
            </w:pPr>
            <w:r>
              <w:t xml:space="preserve">802</w:t>
            </w:r>
          </w:p>
        </w:tc>
        <w:tc>
          <w:tcPr/>
          <w:p>
            <w:pPr>
              <w:pStyle w:val="Compact"/>
              <w:jc w:val="right"/>
            </w:pPr>
            <w:r>
              <w:t xml:space="preserve">100.0%</w:t>
            </w:r>
          </w:p>
        </w:tc>
      </w:tr>
      <w:tr>
        <w:tc>
          <w:tcPr/>
          <w:p>
            <w:pPr>
              <w:pStyle w:val="Compact"/>
              <w:jc w:val="left"/>
            </w:pPr>
            <w:r>
              <w:t xml:space="preserve">Patient position, tube potential, section thickness, kernel</w:t>
            </w:r>
          </w:p>
        </w:tc>
        <w:tc>
          <w:tcPr/>
          <w:p>
            <w:pPr>
              <w:pStyle w:val="Compact"/>
              <w:jc w:val="right"/>
            </w:pPr>
            <w:r>
              <w:t xml:space="preserve">802</w:t>
            </w:r>
          </w:p>
        </w:tc>
        <w:tc>
          <w:tcPr/>
          <w:p>
            <w:pPr>
              <w:pStyle w:val="Compact"/>
              <w:jc w:val="right"/>
            </w:pPr>
            <w:r>
              <w:t xml:space="preserve">100.0%</w:t>
            </w:r>
          </w:p>
        </w:tc>
      </w:tr>
      <w:tr>
        <w:tc>
          <w:tcPr/>
          <w:p>
            <w:pPr>
              <w:pStyle w:val="Compact"/>
              <w:jc w:val="left"/>
            </w:pPr>
            <w:r>
              <w:t xml:space="preserve">Transitional label and class</w:t>
            </w:r>
          </w:p>
        </w:tc>
        <w:tc>
          <w:tcPr/>
          <w:p>
            <w:pPr>
              <w:pStyle w:val="Compact"/>
              <w:jc w:val="right"/>
            </w:pPr>
            <w:r>
              <w:t xml:space="preserve">802</w:t>
            </w:r>
          </w:p>
        </w:tc>
        <w:tc>
          <w:tcPr/>
          <w:p>
            <w:pPr>
              <w:pStyle w:val="Compact"/>
              <w:jc w:val="right"/>
            </w:pPr>
            <w:r>
              <w:t xml:space="preserve">100.0%</w:t>
            </w:r>
          </w:p>
        </w:tc>
      </w:tr>
      <w:tr>
        <w:tc>
          <w:tcPr/>
          <w:p>
            <w:pPr>
              <w:pStyle w:val="Compact"/>
              <w:jc w:val="left"/>
            </w:pPr>
            <w:r>
              <w:t xml:space="preserve">Spine and pelvic annotation origin</w:t>
            </w:r>
          </w:p>
        </w:tc>
        <w:tc>
          <w:tcPr/>
          <w:p>
            <w:pPr>
              <w:pStyle w:val="Compact"/>
              <w:jc w:val="right"/>
            </w:pPr>
            <w:r>
              <w:t xml:space="preserve">802</w:t>
            </w:r>
          </w:p>
        </w:tc>
        <w:tc>
          <w:tcPr/>
          <w:p>
            <w:pPr>
              <w:pStyle w:val="Compact"/>
              <w:jc w:val="right"/>
            </w:pPr>
            <w:r>
              <w:t xml:space="preserve">100.0%</w:t>
            </w:r>
          </w:p>
        </w:tc>
      </w:tr>
      <w:tr>
        <w:tc>
          <w:tcPr/>
          <w:p>
            <w:pPr>
              <w:pStyle w:val="Compact"/>
              <w:jc w:val="left"/>
            </w:pPr>
            <w:r>
              <w:t xml:space="preserve">Instrumentation and partial-annotation flags</w:t>
            </w:r>
          </w:p>
        </w:tc>
        <w:tc>
          <w:tcPr/>
          <w:p>
            <w:pPr>
              <w:pStyle w:val="Compact"/>
              <w:jc w:val="right"/>
            </w:pPr>
            <w:r>
              <w:t xml:space="preserve">802</w:t>
            </w:r>
          </w:p>
        </w:tc>
        <w:tc>
          <w:tcPr/>
          <w:p>
            <w:pPr>
              <w:pStyle w:val="Compact"/>
              <w:jc w:val="right"/>
            </w:pPr>
            <w:r>
              <w:t xml:space="preserve">100.0%</w:t>
            </w:r>
          </w:p>
        </w:tc>
      </w:tr>
      <w:tr>
        <w:tc>
          <w:tcPr/>
          <w:p>
            <w:pPr>
              <w:pStyle w:val="Compact"/>
              <w:jc w:val="left"/>
            </w:pPr>
            <w:r>
              <w:t xml:space="preserve">Image/label alignment check</w:t>
            </w:r>
          </w:p>
        </w:tc>
        <w:tc>
          <w:tcPr/>
          <w:p>
            <w:pPr>
              <w:pStyle w:val="Compact"/>
              <w:jc w:val="right"/>
            </w:pPr>
            <w:r>
              <w:t xml:space="preserve">802</w:t>
            </w:r>
          </w:p>
        </w:tc>
        <w:tc>
          <w:tcPr/>
          <w:p>
            <w:pPr>
              <w:pStyle w:val="Compact"/>
              <w:jc w:val="right"/>
            </w:pPr>
            <w:r>
              <w:t xml:space="preserve">100.0%</w:t>
            </w:r>
          </w:p>
        </w:tc>
      </w:tr>
      <w:tr>
        <w:tc>
          <w:tcPr/>
          <w:p>
            <w:pPr>
              <w:pStyle w:val="Compact"/>
              <w:jc w:val="left"/>
            </w:pPr>
            <w:r>
              <w:t xml:space="preserve">Spine series identifier; bone-fraction check</w:t>
            </w:r>
          </w:p>
        </w:tc>
        <w:tc>
          <w:tcPr/>
          <w:p>
            <w:pPr>
              <w:pStyle w:val="Compact"/>
              <w:jc w:val="right"/>
            </w:pPr>
            <w:r>
              <w:t xml:space="preserve">782</w:t>
            </w:r>
          </w:p>
        </w:tc>
        <w:tc>
          <w:tcPr/>
          <w:p>
            <w:pPr>
              <w:pStyle w:val="Compact"/>
              <w:jc w:val="right"/>
            </w:pPr>
            <w:r>
              <w:t xml:space="preserve">97.5%</w:t>
            </w:r>
          </w:p>
        </w:tc>
      </w:tr>
      <w:tr>
        <w:tc>
          <w:tcPr/>
          <w:p>
            <w:pPr>
              <w:pStyle w:val="Compact"/>
              <w:jc w:val="left"/>
            </w:pPr>
            <w:r>
              <w:t xml:space="preserve">Scanner manufacturer and model</w:t>
            </w:r>
          </w:p>
        </w:tc>
        <w:tc>
          <w:tcPr/>
          <w:p>
            <w:pPr>
              <w:pStyle w:val="Compact"/>
              <w:jc w:val="right"/>
            </w:pPr>
            <w:r>
              <w:t xml:space="preserve">768</w:t>
            </w:r>
          </w:p>
        </w:tc>
        <w:tc>
          <w:tcPr/>
          <w:p>
            <w:pPr>
              <w:pStyle w:val="Compact"/>
              <w:jc w:val="right"/>
            </w:pPr>
            <w:r>
              <w:t xml:space="preserve">95.8%</w:t>
            </w:r>
          </w:p>
        </w:tc>
      </w:tr>
      <w:tr>
        <w:tc>
          <w:tcPr/>
          <w:p>
            <w:pPr>
              <w:pStyle w:val="Compact"/>
              <w:jc w:val="left"/>
            </w:pPr>
            <w:r>
              <w:t xml:space="preserve">Sex</w:t>
            </w:r>
          </w:p>
        </w:tc>
        <w:tc>
          <w:tcPr/>
          <w:p>
            <w:pPr>
              <w:pStyle w:val="Compact"/>
              <w:jc w:val="right"/>
            </w:pPr>
            <w:r>
              <w:t xml:space="preserve">749</w:t>
            </w:r>
          </w:p>
        </w:tc>
        <w:tc>
          <w:tcPr/>
          <w:p>
            <w:pPr>
              <w:pStyle w:val="Compact"/>
              <w:jc w:val="right"/>
            </w:pPr>
            <w:r>
              <w:t xml:space="preserve">93.4%</w:t>
            </w:r>
          </w:p>
        </w:tc>
      </w:tr>
      <w:tr>
        <w:tc>
          <w:tcPr/>
          <w:p>
            <w:pPr>
              <w:pStyle w:val="Compact"/>
              <w:jc w:val="left"/>
            </w:pPr>
            <w:r>
              <w:t xml:space="preserve">Age</w:t>
            </w:r>
          </w:p>
        </w:tc>
        <w:tc>
          <w:tcPr/>
          <w:p>
            <w:pPr>
              <w:pStyle w:val="Compact"/>
              <w:jc w:val="right"/>
            </w:pPr>
            <w:r>
              <w:t xml:space="preserve">709</w:t>
            </w:r>
          </w:p>
        </w:tc>
        <w:tc>
          <w:tcPr/>
          <w:p>
            <w:pPr>
              <w:pStyle w:val="Compact"/>
              <w:jc w:val="right"/>
            </w:pPr>
            <w:r>
              <w:t xml:space="preserve">88.4%</w:t>
            </w:r>
          </w:p>
        </w:tc>
      </w:tr>
      <w:tr>
        <w:tc>
          <w:tcPr/>
          <w:p>
            <w:pPr>
              <w:pStyle w:val="Compact"/>
              <w:jc w:val="left"/>
            </w:pPr>
            <w:r>
              <w:t xml:space="preserve">Pelvic series identifier</w:t>
            </w:r>
          </w:p>
        </w:tc>
        <w:tc>
          <w:tcPr/>
          <w:p>
            <w:pPr>
              <w:pStyle w:val="Compact"/>
              <w:jc w:val="right"/>
            </w:pPr>
            <w:r>
              <w:t xml:space="preserve">713</w:t>
            </w:r>
          </w:p>
        </w:tc>
        <w:tc>
          <w:tcPr/>
          <w:p>
            <w:pPr>
              <w:pStyle w:val="Compact"/>
              <w:jc w:val="right"/>
            </w:pPr>
            <w:r>
              <w:t xml:space="preserve">88.9%</w:t>
            </w:r>
          </w:p>
        </w:tc>
      </w:tr>
      <w:tr>
        <w:tc>
          <w:tcPr/>
          <w:p>
            <w:pPr>
              <w:pStyle w:val="Compact"/>
              <w:jc w:val="left"/>
            </w:pPr>
            <w:r>
              <w:t xml:space="preserve">Castellvi grade (consensus of two readers)</w:t>
            </w:r>
          </w:p>
        </w:tc>
        <w:tc>
          <w:tcPr/>
          <w:p>
            <w:pPr>
              <w:pStyle w:val="Compact"/>
              <w:jc w:val="right"/>
            </w:pPr>
            <w:r>
              <w:t xml:space="preserve">33</w:t>
            </w:r>
          </w:p>
        </w:tc>
        <w:tc>
          <w:tcPr/>
          <w:p>
            <w:pPr>
              <w:pStyle w:val="Compact"/>
              <w:jc w:val="right"/>
            </w:pPr>
            <w:r>
              <w:t xml:space="preserve">4.1%</w:t>
            </w:r>
          </w:p>
        </w:tc>
      </w:tr>
    </w:tbl>
    <w:p>
      <w:pPr>
        <w:pStyle w:val="BodyText"/>
      </w:pPr>
      <w:r>
        <w:t xml:space="preserve">Table </w:t>
      </w:r>
      <w:hyperlink w:anchor="tab:completeness">
        <w:r>
          <w:rPr>
            <w:rStyle w:val="Hyperlink"/>
          </w:rPr>
          <w:t xml:space="preserve">[tab:completeness]</w:t>
        </w:r>
      </w:hyperlink>
      <w:r>
        <w:t xml:space="preserve"> </w:t>
      </w:r>
      <w:r>
        <w:t xml:space="preserve">lists the key data types and metadata against the fraction of</w:t>
      </w:r>
      <w:r>
        <w:t xml:space="preserve"> </w:t>
      </w:r>
      <w:r>
        <w:t xml:space="preserve">records for which each is populated.</w:t>
      </w:r>
    </w:p>
    <w:p>
      <w:pPr>
        <w:pStyle w:val="BodyText"/>
      </w:pPr>
      <w:r>
        <w:t xml:space="preserve">The archive of record is Zenodo (). Code and documentation are on GitHub at</w:t>
      </w:r>
      <w:r>
        <w:t xml:space="preserve"> </w:t>
      </w:r>
      <w:r>
        <w:t xml:space="preserve">the tagged release commit; any model-hub copy is a convenience mirror, not the archive.</w:t>
      </w:r>
    </w:p>
    <w:bookmarkEnd w:id="35"/>
    <w:bookmarkStart w:id="44" w:name="sec:descriptive"/>
    <w:p>
      <w:pPr>
        <w:pStyle w:val="Heading1"/>
      </w:pPr>
      <w:r>
        <w:t xml:space="preserve">Descriptive Analysis</w:t>
      </w:r>
    </w:p>
    <w:bookmarkStart w:id="39" w:name="fig:countfree"/>
    <w:p>
      <w:pPr>
        <w:pStyle w:val="CaptionedFigure"/>
      </w:pPr>
      <w:r>
        <w:drawing>
          <wp:inline>
            <wp:extent cx="5334000" cy="1851644"/>
            <wp:effectExtent b="0" l="0" r="0" t="0"/>
            <wp:docPr descr="" title="" id="37" name="Picture"/>
            <a:graphic>
              <a:graphicData uri="http://schemas.openxmlformats.org/drawingml/2006/picture">
                <pic:pic>
                  <pic:nvPicPr>
                    <pic:cNvPr descr="figures/fig_countfree.pdf" id="38" name="Picture"/>
                    <pic:cNvPicPr>
                      <a:picLocks noChangeArrowheads="1" noChangeAspect="1"/>
                    </pic:cNvPicPr>
                  </pic:nvPicPr>
                  <pic:blipFill>
                    <a:blip r:embed="rId36"/>
                    <a:stretch>
                      <a:fillRect/>
                    </a:stretch>
                  </pic:blipFill>
                  <pic:spPr bwMode="auto">
                    <a:xfrm>
                      <a:off x="0" y="0"/>
                      <a:ext cx="5334000" cy="1851644"/>
                    </a:xfrm>
                    <a:prstGeom prst="rect">
                      <a:avLst/>
                    </a:prstGeom>
                    <a:noFill/>
                    <a:ln w="9525">
                      <a:noFill/>
                      <a:headEnd/>
                      <a:tailEnd/>
                    </a:ln>
                  </pic:spPr>
                </pic:pic>
              </a:graphicData>
            </a:graphic>
          </wp:inline>
        </w:drawing>
      </w:r>
    </w:p>
    <w:p>
      <w:pPr>
        <w:pStyle w:val="ImageCaption"/>
      </w:pPr>
      <w:r>
        <w:t xml:space="preserve">Count-free measures. (a) Vertebrae between the lowest rib and the sacrum.</w:t>
      </w:r>
      <w:r>
        <w:t xml:space="preserve"> </w:t>
      </w:r>
      <w:r>
        <w:t xml:space="preserve">(b) Lowest rib length over the rib above. (c) Lowest lumbar transverse span against its gap</w:t>
      </w:r>
      <w:r>
        <w:t xml:space="preserve"> </w:t>
      </w:r>
      <w:r>
        <w:t xml:space="preserve">to the ala; transitional labels marked.</w:t>
      </w:r>
    </w:p>
    <w:bookmarkEnd w:id="39"/>
    <w:p>
      <w:pPr>
        <w:pStyle w:val="BodyText"/>
      </w:pPr>
      <w:r>
        <w:t xml:space="preserve">The cohort is a colorectal cancer screening population of 802 records. 738 are recorded</w:t>
      </w:r>
      <w:r>
        <w:t xml:space="preserve"> </w:t>
      </w:r>
      <w:r>
        <w:t xml:space="preserve">female (393) or male (345); 11 carry DICOM’s</w:t>
      </w:r>
      <w:r>
        <w:t xml:space="preserve"> </w:t>
      </w:r>
      <w:r>
        <w:rPr>
          <w:i/>
          <w:iCs/>
        </w:rPr>
        <w:t xml:space="preserve">other</w:t>
      </w:r>
      <w:r>
        <w:t xml:space="preserve"> </w:t>
      </w:r>
      <w:r>
        <w:t xml:space="preserve">value, a recorded value and not a</w:t>
      </w:r>
      <w:r>
        <w:t xml:space="preserve"> </w:t>
      </w:r>
      <w:r>
        <w:t xml:space="preserve">missing one, and 53 carry no sex field. Age is present for 709 (median 59, range 50–89).</w:t>
      </w:r>
      <w:r>
        <w:t xml:space="preserve"> </w:t>
      </w:r>
      <w:r>
        <w:t xml:space="preserve">All 802 are counted in totals; the eleven records outside the female/male dichotomy are</w:t>
      </w:r>
      <w:r>
        <w:t xml:space="preserve"> </w:t>
      </w:r>
      <w:r>
        <w:t xml:space="preserve">excluded from sex-stratified measures rather than folded into</w:t>
      </w:r>
      <w:r>
        <w:t xml:space="preserve"> </w:t>
      </w:r>
      <w:r>
        <w:t xml:space="preserve">“unrecorded”</w:t>
      </w:r>
      <w:r>
        <w:t xml:space="preserve">. The lower</w:t>
      </w:r>
      <w:r>
        <w:t xml:space="preserve"> </w:t>
      </w:r>
      <w:r>
        <w:t xml:space="preserve">age bound is the screening guideline, not a selection applied here.</w:t>
      </w:r>
    </w:p>
    <w:p>
      <w:pPr>
        <w:pStyle w:val="BodyText"/>
      </w:pPr>
      <w:r>
        <w:rPr>
          <w:i/>
          <w:iCs/>
        </w:rPr>
        <w:t xml:space="preserve">Count-free measures</w:t>
      </w:r>
      <w:r>
        <w:t xml:space="preserve"> </w:t>
      </w:r>
      <w:r>
        <w:t xml:space="preserve">(Fig. </w:t>
      </w:r>
      <w:hyperlink w:anchor="fig:countfree">
        <w:r>
          <w:rPr>
            <w:rStyle w:val="Hyperlink"/>
          </w:rPr>
          <w:t xml:space="preserve">4</w:t>
        </w:r>
      </w:hyperlink>
      <w:r>
        <w:t xml:space="preserve">). Five rib-free vertebrae above the</w:t>
      </w:r>
      <w:r>
        <w:t xml:space="preserve"> </w:t>
      </w:r>
      <w:r>
        <w:t xml:space="preserve">sacrum is typical; four and six are where transitional anatomy sits, and which of the two</w:t>
      </w:r>
      <w:r>
        <w:t xml:space="preserve"> </w:t>
      </w:r>
      <w:r>
        <w:t xml:space="preserve">is present does not by itself determine what to call it. The lowest-rib length ratio is bimodal.</w:t>
      </w:r>
    </w:p>
    <w:p>
      <w:pPr>
        <w:pStyle w:val="BodyText"/>
      </w:pPr>
      <w:r>
        <w:rPr>
          <w:i/>
          <w:iCs/>
        </w:rPr>
        <w:t xml:space="preserve">Level gradients and spinopelvic measures</w:t>
      </w:r>
      <w:r>
        <w:t xml:space="preserve"> </w:t>
      </w:r>
      <w:r>
        <w:t xml:space="preserve">(Fig. </w:t>
      </w:r>
      <w:hyperlink w:anchor="fig:validation">
        <w:r>
          <w:rPr>
            <w:rStyle w:val="Hyperlink"/>
          </w:rPr>
          <w:t xml:space="preserve">5</w:t>
        </w:r>
      </w:hyperlink>
      <w:r>
        <w:t xml:space="preserve">). Vertebral</w:t>
      </w:r>
      <w:r>
        <w:t xml:space="preserve"> </w:t>
      </w:r>
      <w:r>
        <w:t xml:space="preserve">dimensions increase caudally in step with the load each level carries. Pelvic incidence</w:t>
      </w:r>
      <w:r>
        <w:t xml:space="preserve"> </w:t>
      </w:r>
      <w:r>
        <w:t xml:space="preserve">does not vary with age, while pelvic tilt increases, the descriptive signature of a</w:t>
      </w:r>
      <w:r>
        <w:t xml:space="preserve"> </w:t>
      </w:r>
      <w:r>
        <w:t xml:space="preserve">pelvis retroverting as a spine ages.</w:t>
      </w:r>
    </w:p>
    <w:bookmarkStart w:id="43" w:name="fig:validation"/>
    <w:p>
      <w:pPr>
        <w:pStyle w:val="CaptionedFigure"/>
      </w:pPr>
      <w:r>
        <w:drawing>
          <wp:inline>
            <wp:extent cx="5334000" cy="1399254"/>
            <wp:effectExtent b="0" l="0" r="0" t="0"/>
            <wp:docPr descr="" title="" id="41" name="Picture"/>
            <a:graphic>
              <a:graphicData uri="http://schemas.openxmlformats.org/drawingml/2006/picture">
                <pic:pic>
                  <pic:nvPicPr>
                    <pic:cNvPr descr="figures/fig_validation.pdf" id="42" name="Picture"/>
                    <pic:cNvPicPr>
                      <a:picLocks noChangeArrowheads="1" noChangeAspect="1"/>
                    </pic:cNvPicPr>
                  </pic:nvPicPr>
                  <pic:blipFill>
                    <a:blip r:embed="rId40"/>
                    <a:stretch>
                      <a:fillRect/>
                    </a:stretch>
                  </pic:blipFill>
                  <pic:spPr bwMode="auto">
                    <a:xfrm>
                      <a:off x="0" y="0"/>
                      <a:ext cx="5334000" cy="1399254"/>
                    </a:xfrm>
                    <a:prstGeom prst="rect">
                      <a:avLst/>
                    </a:prstGeom>
                    <a:noFill/>
                    <a:ln w="9525">
                      <a:noFill/>
                      <a:headEnd/>
                      <a:tailEnd/>
                    </a:ln>
                  </pic:spPr>
                </pic:pic>
              </a:graphicData>
            </a:graphic>
          </wp:inline>
        </w:drawing>
      </w:r>
    </w:p>
    <w:p>
      <w:pPr>
        <w:pStyle w:val="ImageCaption"/>
      </w:pPr>
      <w:r>
        <w:t xml:space="preserve">Spinopelvic measures against standing reference bands (mean</w:t>
      </w:r>
      <w:r>
        <w:t xml:space="preserve"> </w:t>
      </w:r>
      <m:oMath>
        <m:r>
          <m:rPr>
            <m:sty m:val="p"/>
          </m:rPr>
          <m:t>±</m:t>
        </m:r>
      </m:oMath>
      <w:r>
        <w:t xml:space="preserve"> </w:t>
      </w:r>
      <w:r>
        <w:t xml:space="preserve">SD) </w:t>
      </w:r>
      <w:r>
        <w:t xml:space="preserve">.</w:t>
      </w:r>
    </w:p>
    <w:bookmarkEnd w:id="43"/>
    <w:p>
      <w:pPr>
        <w:pStyle w:val="BodyText"/>
      </w:pPr>
      <w:r>
        <w:rPr>
          <w:i/>
          <w:iCs/>
        </w:rPr>
        <w:t xml:space="preserve">Opportunistic measures.</w:t>
      </w:r>
      <w:r>
        <w:t xml:space="preserve"> </w:t>
      </w:r>
      <w:r>
        <w:t xml:space="preserve">Every scan carries a</w:t>
      </w:r>
      <w:r>
        <w:t xml:space="preserve"> </w:t>
      </w:r>
      <w:r>
        <w:t xml:space="preserve">vertebral bone density measurement at no additional dose.</w:t>
      </w:r>
      <w:r>
        <w:t xml:space="preserve"> </w:t>
      </w:r>
      <w:r>
        <w:t xml:space="preserve">L1 trabecular attenuation is</w:t>
      </w:r>
      <w:r>
        <w:t xml:space="preserve"> </w:t>
      </w:r>
      <w:r>
        <w:t xml:space="preserve">reported at the published standard site.</w:t>
      </w:r>
    </w:p>
    <w:bookmarkEnd w:id="44"/>
    <w:bookmarkStart w:id="54" w:name="sec:applications"/>
    <w:p>
      <w:pPr>
        <w:pStyle w:val="Heading1"/>
      </w:pPr>
      <w:r>
        <w:t xml:space="preserve">Potential Applications and Limitations</w:t>
      </w:r>
    </w:p>
    <w:p>
      <w:pPr>
        <w:pStyle w:val="FirstParagraph"/>
      </w:pPr>
      <w:r>
        <w:t xml:space="preserve">The principal use is the</w:t>
      </w:r>
      <w:r>
        <w:t xml:space="preserve"> </w:t>
      </w:r>
      <w:r>
        <w:rPr>
          <w:i/>
          <w:iCs/>
        </w:rPr>
        <w:t xml:space="preserve">spinopelvic interface</w:t>
      </w:r>
      <w:r>
        <w:t xml:space="preserve">. Spine and pelvis carry</w:t>
      </w:r>
      <w:r>
        <w:t xml:space="preserve"> </w:t>
      </w:r>
      <w:r>
        <w:t xml:space="preserve">radiologist-sourced annotation on one coordinate frame in 802 records, making sacral</w:t>
      </w:r>
      <w:r>
        <w:t xml:space="preserve"> </w:t>
      </w:r>
      <w:r>
        <w:t xml:space="preserve">morphology measurable against the lumbar column rather than in isolation: the sacral</w:t>
      </w:r>
      <w:r>
        <w:t xml:space="preserve"> </w:t>
      </w:r>
      <w:r>
        <w:t xml:space="preserve">endplate and its slope, the alar corridors constraining S2-alar-iliac and iliac screw</w:t>
      </w:r>
      <w:r>
        <w:t xml:space="preserve"> </w:t>
      </w:r>
      <w:r>
        <w:t xml:space="preserve">trajectories, and the L5–S1 geometry a lumbosacral fusion must cross. Pelvic incidence is</w:t>
      </w:r>
      <w:r>
        <w:t xml:space="preserve"> </w:t>
      </w:r>
      <w:r>
        <w:t xml:space="preserve">derived from the segmented sacrum and femoral heads rather than from landmarks placed on a</w:t>
      </w:r>
      <w:r>
        <w:t xml:space="preserve"> </w:t>
      </w:r>
      <w:r>
        <w:t xml:space="preserve">radiograph, so it is reproducible from the labels themselves.</w:t>
      </w:r>
    </w:p>
    <w:p>
      <w:pPr>
        <w:pStyle w:val="BodyText"/>
      </w:pPr>
      <w:r>
        <w:t xml:space="preserve">The transitional layer serves that use rather than competing with it: no trajectory can be</w:t>
      </w:r>
      <w:r>
        <w:t xml:space="preserve"> </w:t>
      </w:r>
      <w:r>
        <w:t xml:space="preserve">planned across a junction whose segments cannot be named. Level-numbering benchmarks,</w:t>
      </w:r>
      <w:r>
        <w:t xml:space="preserve"> </w:t>
      </w:r>
      <w:r>
        <w:t xml:space="preserve">variant studies and opportunistic screening follow from the same annotation.</w:t>
      </w:r>
    </w:p>
    <w:bookmarkStart w:id="53" w:name="X1e405bcd3081b4ebb91076491188f6b710d9489"/>
    <w:p>
      <w:pPr>
        <w:pStyle w:val="Heading2"/>
      </w:pPr>
      <w:r>
        <w:t xml:space="preserve">Three uses the released measurements support</w:t>
      </w:r>
    </w:p>
    <w:p>
      <w:pPr>
        <w:pStyle w:val="FirstParagraph"/>
      </w:pPr>
      <w:r>
        <w:rPr>
          <w:i/>
          <w:iCs/>
        </w:rPr>
        <w:t xml:space="preserve">Naming a level from its own geometry.</w:t>
      </w:r>
      <w:r>
        <w:t xml:space="preserve"> </w:t>
      </w:r>
      <w:r>
        <w:t xml:space="preserve">Wrong-level spine surgery runs at roughly one in</w:t>
      </w:r>
      <w:r>
        <w:t xml:space="preserve"> </w:t>
      </w:r>
      <w:r>
        <w:t xml:space="preserve">3</w:t>
      </w:r>
      <w:r>
        <w:t xml:space="preserve">,</w:t>
      </w:r>
      <w:r>
        <w:t xml:space="preserve">110 spinal procedures, and the cause most often cited is the transitional anatomy this</w:t>
      </w:r>
      <w:r>
        <w:t xml:space="preserve"> </w:t>
      </w:r>
      <w:r>
        <w:t xml:space="preserve">cohort was assembled around.</w:t>
      </w:r>
      <w:r>
        <w:t xml:space="preserve"> </w:t>
      </w:r>
      <w:r>
        <w:t xml:space="preserve">The failure is structural rather than careless:</w:t>
      </w:r>
      <w:r>
        <w:t xml:space="preserve"> </w:t>
      </w:r>
      <w:r>
        <w:t xml:space="preserve">the count is ambiguous exactly where the variant sits. Per-level body height, canal width,</w:t>
      </w:r>
      <w:r>
        <w:t xml:space="preserve"> </w:t>
      </w:r>
      <w:r>
        <w:t xml:space="preserve">endplate width, transverse-process span and wedge ratio are released for T11–L5 across all</w:t>
      </w:r>
      <w:r>
        <w:t xml:space="preserve"> </w:t>
      </w:r>
      <w:r>
        <w:t xml:space="preserve">802 records, and because the labels were assigned against the twelfth rib rather than by</w:t>
      </w:r>
      <w:r>
        <w:t xml:space="preserve"> </w:t>
      </w:r>
      <w:r>
        <w:t xml:space="preserve">enumeration, a model trained on them is not learning the convention that fails.</w:t>
      </w:r>
    </w:p>
    <w:bookmarkStart w:id="48" w:name="fig:levelatlas"/>
    <w:p>
      <w:pPr>
        <w:pStyle w:val="CaptionedFigure"/>
      </w:pPr>
      <w:r>
        <w:drawing>
          <wp:inline>
            <wp:extent cx="5334000" cy="3185583"/>
            <wp:effectExtent b="0" l="0" r="0" t="0"/>
            <wp:docPr descr="" title="" id="46" name="Picture"/>
            <a:graphic>
              <a:graphicData uri="http://schemas.openxmlformats.org/drawingml/2006/picture">
                <pic:pic>
                  <pic:nvPicPr>
                    <pic:cNvPr descr="figures/fig_levelatlas.pdf" id="47" name="Picture"/>
                    <pic:cNvPicPr>
                      <a:picLocks noChangeArrowheads="1" noChangeAspect="1"/>
                    </pic:cNvPicPr>
                  </pic:nvPicPr>
                  <pic:blipFill>
                    <a:blip r:embed="rId45"/>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Morphometry by level: median, interquartile range, 5th–95th percentile,</w:t>
      </w:r>
      <w:r>
        <w:t xml:space="preserve"> </w:t>
      </w:r>
      <m:oMath>
        <m:r>
          <m:t>n</m:t>
        </m:r>
      </m:oMath>
      <w:r>
        <w:t xml:space="preserve"> </w:t>
      </w:r>
      <w:r>
        <w:t xml:space="preserve">at</w:t>
      </w:r>
      <w:r>
        <w:t xml:space="preserve"> </w:t>
      </w:r>
      <w:r>
        <w:t xml:space="preserve">right. (a) Body height. (b) Endplate width. (c) Canal. (d) Pedicle width. (e) Disc height.</w:t>
      </w:r>
      <w:r>
        <w:t xml:space="preserve"> </w:t>
      </w:r>
      <w:r>
        <w:t xml:space="preserve">(f) Trabecular attenuation.</w:t>
      </w:r>
    </w:p>
    <w:bookmarkEnd w:id="48"/>
    <w:p>
      <w:pPr>
        <w:pStyle w:val="BodyText"/>
      </w:pPr>
      <w:r>
        <w:rPr>
          <w:i/>
          <w:iCs/>
        </w:rPr>
        <w:t xml:space="preserve">Reference morphometry with its spread.</w:t>
      </w:r>
      <w:r>
        <w:t xml:space="preserve"> </w:t>
      </w:r>
      <w:r>
        <w:t xml:space="preserve">The values a surgeon consults for vertebral</w:t>
      </w:r>
      <w:r>
        <w:t xml:space="preserve"> </w:t>
      </w:r>
      <w:r>
        <w:t xml:space="preserve">body height, canal dimensions and pedicle width come from cadaveric series of a few dozen</w:t>
      </w:r>
      <w:r>
        <w:t xml:space="preserve"> </w:t>
      </w:r>
      <w:r>
        <w:t xml:space="preserve">specimens, plotted as single values with no indication of spread.</w:t>
      </w:r>
      <w:r>
        <w:t xml:space="preserve"> </w:t>
      </w:r>
      <w:r>
        <w:t xml:space="preserve">They</w:t>
      </w:r>
      <w:r>
        <w:t xml:space="preserve"> </w:t>
      </w:r>
      <w:r>
        <w:t xml:space="preserve">cannot tell a reader whether the patient in front of them is unusual, because they never</w:t>
      </w:r>
      <w:r>
        <w:t xml:space="preserve"> </w:t>
      </w:r>
      <w:r>
        <w:t xml:space="preserve">show what usual looks like. The same measures are given here from 802 records with the</w:t>
      </w:r>
      <w:r>
        <w:t xml:space="preserve"> </w:t>
      </w:r>
      <w:r>
        <w:t xml:space="preserve">distribution attached (Fig. </w:t>
      </w:r>
      <w:hyperlink w:anchor="fig:levelatlas">
        <w:r>
          <w:rPr>
            <w:rStyle w:val="Hyperlink"/>
          </w:rPr>
          <w:t xml:space="preserve">6</w:t>
        </w:r>
      </w:hyperlink>
      <w:r>
        <w:t xml:space="preserve">), reproducing two properties of the</w:t>
      </w:r>
      <w:r>
        <w:t xml:space="preserve"> </w:t>
      </w:r>
      <w:r>
        <w:t xml:space="preserve">classical figures (body height crosses over, dorsal exceeding ventral at T11–T12 and</w:t>
      </w:r>
      <w:r>
        <w:t xml:space="preserve"> </w:t>
      </w:r>
      <w:r>
        <w:t xml:space="preserve">reversing by L4–L5, and pedicle width widens steeply into the lower lumbar spine) and</w:t>
      </w:r>
      <w:r>
        <w:t xml:space="preserve"> </w:t>
      </w:r>
      <w:r>
        <w:t xml:space="preserve">adding the width of each distribution, which is the part needed to judge an individual. A</w:t>
      </w:r>
      <w:r>
        <w:t xml:space="preserve"> </w:t>
      </w:r>
      <w:r>
        <w:t xml:space="preserve">larger</w:t>
      </w:r>
      <w:r>
        <w:t xml:space="preserve"> </w:t>
      </w:r>
      <m:oMath>
        <m:r>
          <m:t>n</m:t>
        </m:r>
      </m:oMath>
      <w:r>
        <w:t xml:space="preserve"> </w:t>
      </w:r>
      <w:r>
        <w:t xml:space="preserve">sharpens a distribution without changing the population it came from, and this</w:t>
      </w:r>
      <w:r>
        <w:t xml:space="preserve"> </w:t>
      </w:r>
      <w:r>
        <w:t xml:space="preserve">one is a screening cohort aged 50 and over.</w:t>
      </w:r>
    </w:p>
    <w:p>
      <w:pPr>
        <w:pStyle w:val="BodyText"/>
      </w:pPr>
      <w:r>
        <w:rPr>
          <w:i/>
          <w:iCs/>
        </w:rPr>
        <w:t xml:space="preserve">Patient-specific models.</w:t>
      </w:r>
      <w:r>
        <w:t xml:space="preserve"> </w:t>
      </w:r>
      <w:r>
        <w:t xml:space="preserve">Planning is moving toward patient-specific biomechanical</w:t>
      </w:r>
      <w:r>
        <w:t xml:space="preserve"> </w:t>
      </w:r>
      <w:r>
        <w:t xml:space="preserve">models rather than population norms.</w:t>
      </w:r>
      <w:r>
        <w:t xml:space="preserve"> </w:t>
      </w:r>
      <w:r>
        <w:t xml:space="preserve">Such a model needs spine, pelvis and</w:t>
      </w:r>
      <w:r>
        <w:t xml:space="preserve"> </w:t>
      </w:r>
      <w:r>
        <w:t xml:space="preserve">femoral heads in one frame, which is this release’s construction. In 351 patients the</w:t>
      </w:r>
      <w:r>
        <w:t xml:space="preserve"> </w:t>
      </w:r>
      <w:r>
        <w:t xml:space="preserve">annotation sits on two acquisitions in different positions, giving a within-patient change in</w:t>
      </w:r>
      <w:r>
        <w:t xml:space="preserve"> </w:t>
      </w:r>
      <w:r>
        <w:t xml:space="preserve">alignment against which a predicted postural response can be checked.</w:t>
      </w:r>
    </w:p>
    <w:p>
      <w:pPr>
        <w:pStyle w:val="BodyText"/>
      </w:pPr>
      <w:r>
        <w:t xml:space="preserve">Its limitations are stated at the level of detail a reader would</w:t>
      </w:r>
      <w:r>
        <w:t xml:space="preserve"> </w:t>
      </w:r>
      <w:r>
        <w:t xml:space="preserve">need to catch them independently.</w:t>
      </w:r>
    </w:p>
    <w:bookmarkStart w:id="52" w:name="fig:fov"/>
    <w:p>
      <w:pPr>
        <w:pStyle w:val="CaptionedFigure"/>
      </w:pPr>
      <w:r>
        <w:drawing>
          <wp:inline>
            <wp:extent cx="2870200" cy="1549400"/>
            <wp:effectExtent b="0" l="0" r="0" t="0"/>
            <wp:docPr descr="" title="" id="50" name="Picture"/>
            <a:graphic>
              <a:graphicData uri="http://schemas.openxmlformats.org/drawingml/2006/picture">
                <pic:pic>
                  <pic:nvPicPr>
                    <pic:cNvPr descr="figures/fig_fov.pdf" id="51" name="Picture"/>
                    <pic:cNvPicPr>
                      <a:picLocks noChangeArrowheads="1" noChangeAspect="1"/>
                    </pic:cNvPicPr>
                  </pic:nvPicPr>
                  <pic:blipFill>
                    <a:blip r:embed="rId49"/>
                    <a:stretch>
                      <a:fillRect/>
                    </a:stretch>
                  </pic:blipFill>
                  <pic:spPr bwMode="auto">
                    <a:xfrm>
                      <a:off x="0" y="0"/>
                      <a:ext cx="2870200" cy="1549400"/>
                    </a:xfrm>
                    <a:prstGeom prst="rect">
                      <a:avLst/>
                    </a:prstGeom>
                    <a:noFill/>
                    <a:ln w="9525">
                      <a:noFill/>
                      <a:headEnd/>
                      <a:tailEnd/>
                    </a:ln>
                  </pic:spPr>
                </pic:pic>
              </a:graphicData>
            </a:graphic>
          </wp:inline>
        </w:drawing>
      </w:r>
    </w:p>
    <w:p>
      <w:pPr>
        <w:pStyle w:val="ImageCaption"/>
      </w:pPr>
      <w:r>
        <w:t xml:space="preserve">Records carrying each vertebral level, cranial to caudal. Counts per identifier</w:t>
      </w:r>
      <w:r>
        <w:t xml:space="preserve"> </w:t>
      </w:r>
      <w:r>
        <w:t xml:space="preserve">in Table S1.</w:t>
      </w:r>
    </w:p>
    <w:bookmarkEnd w:id="52"/>
    <w:p>
      <w:pPr>
        <w:pStyle w:val="BodyText"/>
      </w:pPr>
      <w:r>
        <w:rPr>
          <w:i/>
          <w:iCs/>
        </w:rPr>
        <w:t xml:space="preserve">Coverage.</w:t>
      </w:r>
      <w:r>
        <w:t xml:space="preserve"> </w:t>
      </w:r>
      <w:r>
        <w:t xml:space="preserve">Thoracic ground truth is field-of-view limited (Fig. </w:t>
      </w:r>
      <w:hyperlink w:anchor="fig:fov">
        <w:r>
          <w:rPr>
            <w:rStyle w:val="Hyperlink"/>
          </w:rPr>
          <w:t xml:space="preserve">7</w:t>
        </w:r>
      </w:hyperlink>
      <w:r>
        <w:t xml:space="preserve">) and</w:t>
      </w:r>
      <w:r>
        <w:t xml:space="preserve"> </w:t>
      </w:r>
      <w:r>
        <w:t xml:space="preserve">does not extend to T1.</w:t>
      </w:r>
      <w:r>
        <w:t xml:space="preserve"> </w:t>
      </w:r>
      <w:r>
        <w:t xml:space="preserve">Postural angles are supine; pelvic incidence is not postural and needs no such caveat. The</w:t>
      </w:r>
      <w:r>
        <w:t xml:space="preserve"> </w:t>
      </w:r>
      <w:r>
        <w:t xml:space="preserve">cohort is a colorectal screening population aged 50 and over, so its distributions should</w:t>
      </w:r>
      <w:r>
        <w:t xml:space="preserve"> </w:t>
      </w:r>
      <w:r>
        <w:t xml:space="preserve">not be read as representative of a surgical one.</w:t>
      </w:r>
    </w:p>
    <w:p>
      <w:pPr>
        <w:pStyle w:val="BodyText"/>
      </w:pPr>
      <w:r>
        <w:rPr>
          <w:i/>
          <w:iCs/>
        </w:rPr>
        <w:t xml:space="preserve">Declared but empty, and confirmed so.</w:t>
      </w:r>
      <w:r>
        <w:t xml:space="preserve"> </w:t>
      </w:r>
      <w:r>
        <w:t xml:space="preserve">The partial-annotation sentinel (255) is</w:t>
      </w:r>
      <w:r>
        <w:t xml:space="preserve"> </w:t>
      </w:r>
      <w:r>
        <w:t xml:space="preserve">declared in the scheme and occurs in no record, established by counting identifiers</w:t>
      </w:r>
      <w:r>
        <w:t xml:space="preserve"> </w:t>
      </w:r>
      <w:r>
        <w:t xml:space="preserve">across all 802 released volumes rather than asserted. It is retained because the protocol</w:t>
      </w:r>
      <w:r>
        <w:t xml:space="preserve"> </w:t>
      </w:r>
      <w:r>
        <w:t xml:space="preserve">is part of the scheme and a later release may ship a partially traced record. The hardware</w:t>
      </w:r>
      <w:r>
        <w:t xml:space="preserve"> </w:t>
      </w:r>
      <w:r>
        <w:t xml:space="preserve">identifiers were in this position until v6 and are no longer: 76–82 are populated in the</w:t>
      </w:r>
      <w:r>
        <w:t xml:space="preserve"> </w:t>
      </w:r>
      <w:r>
        <w:t xml:space="preserve">eleven instrumented records described in Sec. </w:t>
      </w:r>
      <w:hyperlink w:anchor="sec:hardware">
        <w:r>
          <w:rPr>
            <w:rStyle w:val="Hyperlink"/>
          </w:rPr>
          <w:t xml:space="preserve">2.9</w:t>
        </w:r>
      </w:hyperlink>
      <w:r>
        <w:t xml:space="preserve">.</w:t>
      </w:r>
    </w:p>
    <w:p>
      <w:pPr>
        <w:pStyle w:val="BodyText"/>
      </w:pPr>
      <w:r>
        <w:rPr>
          <w:i/>
          <w:iCs/>
        </w:rPr>
        <w:t xml:space="preserve">Strength of the labels varies by structure, and the release does not average over</w:t>
      </w:r>
      <w:r>
        <w:rPr>
          <w:i/>
          <w:iCs/>
        </w:rPr>
        <w:t xml:space="preserve"> </w:t>
      </w:r>
      <w:r>
        <w:rPr>
          <w:i/>
          <w:iCs/>
        </w:rPr>
        <w:t xml:space="preserve">that.</w:t>
      </w:r>
      <w:r>
        <w:t xml:space="preserve"> </w:t>
      </w:r>
      <w:r>
        <w:t xml:space="preserve">Vertebral labels derive from radiologist-supervised source annotations, corrected</w:t>
      </w:r>
      <w:r>
        <w:t xml:space="preserve"> </w:t>
      </w:r>
      <w:r>
        <w:t xml:space="preserve">where those sources were wrong. Pelvic labels on records that lacked one are</w:t>
      </w:r>
      <w:r>
        <w:t xml:space="preserve"> </w:t>
      </w:r>
      <w:r>
        <w:t xml:space="preserve">pseudolabeled. The rib layer is a pseudolabel whose human review was triaged by an</w:t>
      </w:r>
      <w:r>
        <w:t xml:space="preserve"> </w:t>
      </w:r>
      <w:r>
        <w:t xml:space="preserve">automated rule rather than exhaustive, so its guarantee is the absence of the failure modes</w:t>
      </w:r>
      <w:r>
        <w:t xml:space="preserve"> </w:t>
      </w:r>
      <w:r>
        <w:t xml:space="preserve">that rule detects. Transitional labels derive from two independent sources and are not</w:t>
      </w:r>
      <w:r>
        <w:t xml:space="preserve"> </w:t>
      </w:r>
      <w:r>
        <w:t xml:space="preserve">uniformly adjudicated, which is precisely why the measures reported here are count-free,</w:t>
      </w:r>
      <w:r>
        <w:t xml:space="preserve"> </w:t>
      </w:r>
      <w:r>
        <w:t xml:space="preserve">and the Castellvi grades are a consensus of two radiology resident physicians.</w:t>
      </w:r>
      <w:r>
        <w:t xml:space="preserve"> </w:t>
      </w:r>
      <w:r>
        <w:t xml:space="preserve">The sacral sub-division inherits its level from an automatic method, and in 100 records that</w:t>
      </w:r>
      <w:r>
        <w:t xml:space="preserve"> </w:t>
      </w:r>
      <w:r>
        <w:t xml:space="preserve">level places S1 above half the sacrum or below fifteen percent of it, which no first sacral</w:t>
      </w:r>
      <w:r>
        <w:t xml:space="preserve"> </w:t>
      </w:r>
      <w:r>
        <w:t xml:space="preserve">segment is; those records are flagged in the released quality-control table and should be</w:t>
      </w:r>
      <w:r>
        <w:t xml:space="preserve"> </w:t>
      </w:r>
      <w:r>
        <w:t xml:space="preserve">filtered before any measurement depending on the sacral endplate.</w:t>
      </w:r>
    </w:p>
    <w:p>
      <w:pPr>
        <w:pStyle w:val="BodyText"/>
      </w:pPr>
      <w:r>
        <w:rPr>
          <w:i/>
          <w:iCs/>
        </w:rPr>
        <w:t xml:space="preserve">Structures are not universally present.</w:t>
      </w:r>
      <w:r>
        <w:t xml:space="preserve"> </w:t>
      </w:r>
      <w:r>
        <w:t xml:space="preserve">The same census shows the release is not</w:t>
      </w:r>
      <w:r>
        <w:t xml:space="preserve"> </w:t>
      </w:r>
      <w:r>
        <w:t xml:space="preserve">uniformly complete. Sacrum, hips and femora are present in all 802 records. One record</w:t>
      </w:r>
      <w:r>
        <w:t xml:space="preserve"> </w:t>
      </w:r>
      <w:r>
        <w:t xml:space="preserve">carries no S1, one lacks T12, and nine lack an L5 identifier, in every case because the</w:t>
      </w:r>
      <w:r>
        <w:t xml:space="preserve"> </w:t>
      </w:r>
      <w:r>
        <w:t xml:space="preserve">structure lies outside the field of view or, for L5, because the lowest lumbar segment is</w:t>
      </w:r>
      <w:r>
        <w:t xml:space="preserve"> </w:t>
      </w:r>
      <w:r>
        <w:t xml:space="preserve">labeled L6 or incorporated into the sacrum. Users filtering on the presence of the caudal anchor should filter explicitly rather</w:t>
      </w:r>
      <w:r>
        <w:t xml:space="preserve"> </w:t>
      </w:r>
      <w:r>
        <w:t xml:space="preserve">than assume it.</w:t>
      </w:r>
    </w:p>
    <w:bookmarkEnd w:id="53"/>
    <w:bookmarkEnd w:id="54"/>
    <w:bookmarkStart w:id="55" w:name="discussion"/>
    <w:p>
      <w:pPr>
        <w:pStyle w:val="Heading1"/>
      </w:pPr>
      <w:r>
        <w:t xml:space="preserve">Discussion</w:t>
      </w:r>
    </w:p>
    <w:p>
      <w:pPr>
        <w:pStyle w:val="FirstParagraph"/>
      </w:pPr>
      <w:r>
        <w:rPr>
          <w:i/>
          <w:iCs/>
        </w:rPr>
        <w:t xml:space="preserve">Comparison with related material.</w:t>
      </w:r>
      <w:r>
        <w:t xml:space="preserve"> </w:t>
      </w:r>
      <w:r>
        <w:t xml:space="preserve">Against the collections in</w:t>
      </w:r>
      <w:r>
        <w:t xml:space="preserve"> </w:t>
      </w:r>
      <w:r>
        <w:t xml:space="preserve">Table </w:t>
      </w:r>
      <w:hyperlink w:anchor="tab:priorart">
        <w:r>
          <w:rPr>
            <w:rStyle w:val="Hyperlink"/>
          </w:rPr>
          <w:t xml:space="preserve">[tab:priorart]</w:t>
        </w:r>
      </w:hyperlink>
      <w:r>
        <w:t xml:space="preserve">, the contribution is the crosswalk placing spine and pelvis on the</w:t>
      </w:r>
      <w:r>
        <w:t xml:space="preserve"> </w:t>
      </w:r>
      <w:r>
        <w:t xml:space="preserve">same series, together with classes for the anatomy an enumeration anomaly actually produces. VerSe </w:t>
      </w:r>
      <w:r>
        <w:t xml:space="preserve"> </w:t>
      </w:r>
      <w:r>
        <w:t xml:space="preserve">comes closest in intent: it also enriched its cohort for transitional anatomy and graded each case by Castellvi. The difference is what a graded case leaves behind. VerSe names the anomaly but does not segment the sacrum, so the fused or articulating structure the grade describes has no mask to go with it. This release segments that structure directly, as L6 or as a separately carved S1, so a user has the anatomy itself to measure rather than only a grade that describes it. TotalSegmentator </w:t>
      </w:r>
      <w:r>
        <w:t xml:space="preserve"> </w:t>
      </w:r>
      <w:r>
        <w:t xml:space="preserve">invites a different comparison, since it segments far more of the body than any single source used here. But its label scheme simply has no class for a sixth lumbar vertebra or for a rib on a lumbar body. A six-lumbar spine cannot be recorded in it: the column must be renumbered or a level dropped to fit. What this release adds, then, is not more anatomy per scan (TotalSegmentator already covers more), but the specific classes an enumeration anomaly needs in order to be recorded accurately.</w:t>
      </w:r>
    </w:p>
    <w:p>
      <w:pPr>
        <w:pStyle w:val="BodyText"/>
      </w:pPr>
      <w:r>
        <w:rPr>
          <w:i/>
          <w:iCs/>
        </w:rPr>
        <w:t xml:space="preserve">Limitations.</w:t>
      </w:r>
      <w:r>
        <w:t xml:space="preserve"> </w:t>
      </w:r>
      <w:r>
        <w:t xml:space="preserve">The cohort comes from one acquisition protocol of a colorectal-screening population aged 50 and over, so how well it generalizes to a pathologic population is untested. The rib layer’s human review was triaged by an automated rule rather than performed on every bone, so it guarantees only the absence of the failure modes that rule detects.</w:t>
      </w:r>
    </w:p>
    <w:p>
      <w:pPr>
        <w:pStyle w:val="BodyText"/>
      </w:pPr>
      <w:r>
        <w:rPr>
          <w:i/>
          <w:iCs/>
        </w:rPr>
        <w:t xml:space="preserve">Future directions.</w:t>
      </w:r>
      <w:r>
        <w:t xml:space="preserve"> </w:t>
      </w:r>
      <w:r>
        <w:t xml:space="preserve">The version history shows the scheme being extended more than once: femora and the S1 anchor, then per-level ribs, then lumbar ribs and surgical hardware, were each folded into the existing release rather than requiring a new dataset. The same path is open going forward: imaging from beyond this cohort’s single protocol, and the C2 anchor this acquisition cannot supply, are the natural next additions.</w:t>
      </w:r>
    </w:p>
    <w:bookmarkEnd w:id="55"/>
    <w:bookmarkStart w:id="56" w:name="conclusion"/>
    <w:p>
      <w:pPr>
        <w:pStyle w:val="Heading1"/>
      </w:pPr>
      <w:r>
        <w:t xml:space="preserve">Conclusion</w:t>
      </w:r>
    </w:p>
    <w:p>
      <w:pPr>
        <w:pStyle w:val="FirstParagraph"/>
      </w:pPr>
      <w:r>
        <w:t xml:space="preserve">CTSpinoPelvic1K places spine, pelvis, per-level ribs and femora on one coordinate frame in</w:t>
      </w:r>
      <w:r>
        <w:t xml:space="preserve"> </w:t>
      </w:r>
      <w:r>
        <w:t xml:space="preserve">802 records, and gives the anatomy that makes lumbar numbering ambiguous a class of its own</w:t>
      </w:r>
      <w:r>
        <w:t xml:space="preserve"> </w:t>
      </w:r>
      <w:r>
        <w:t xml:space="preserve">rather than recording it as something it is not. Because both counting anchors are explicit,</w:t>
      </w:r>
      <w:r>
        <w:t xml:space="preserve"> </w:t>
      </w:r>
      <w:r>
        <w:t xml:space="preserve">a level can be identified from a field of view that cannot support the conventional count</w:t>
      </w:r>
      <w:r>
        <w:t xml:space="preserve"> </w:t>
      </w:r>
      <w:r>
        <w:t xml:space="preserve">downward from C2, which is every record here.</w:t>
      </w:r>
    </w:p>
    <w:bookmarkEnd w:id="56"/>
    <w:bookmarkStart w:id="57" w:name="data-availability"/>
    <w:p>
      <w:pPr>
        <w:pStyle w:val="Heading1"/>
      </w:pPr>
      <w:r>
        <w:t xml:space="preserve">Data Availability</w:t>
      </w:r>
    </w:p>
    <w:p>
      <w:pPr>
        <w:pStyle w:val="FirstParagraph"/>
      </w:pPr>
      <w:r>
        <w:t xml:space="preserve">The release described here is , permanently archived at</w:t>
      </w:r>
      <w:r>
        <w:t xml:space="preserve"> </w:t>
      </w:r>
      <w:r>
        <w:t xml:space="preserve">; the concept DOI resolves to the</w:t>
      </w:r>
      <w:r>
        <w:t xml:space="preserve"> </w:t>
      </w:r>
      <w:r>
        <w:t xml:space="preserve">current version.</w:t>
      </w:r>
      <w:r>
        <w:t xml:space="preserve"> </w:t>
      </w:r>
      <w:r>
        <w:t xml:space="preserve">The archive carries the loader, the label scheme, the quality-control tables and the</w:t>
      </w:r>
      <w:r>
        <w:t xml:space="preserve"> </w:t>
      </w:r>
      <w:r>
        <w:t xml:space="preserve">analysis code under an open-source licence. The repository URL identifies the authors; it</w:t>
      </w:r>
      <w:r>
        <w:t xml:space="preserve"> </w:t>
      </w:r>
      <w:r>
        <w:t xml:space="preserve">is on the title page and will be restored here for the camera-ready version.</w:t>
      </w:r>
    </w:p>
    <w:bookmarkEnd w:id="57"/>
    <w:bookmarkStart w:id="58" w:name="acknowledgements"/>
    <w:p>
      <w:pPr>
        <w:pStyle w:val="Heading1"/>
      </w:pPr>
      <w:r>
        <w:t xml:space="preserve">Acknowledgements</w:t>
      </w:r>
    </w:p>
    <w:p>
      <w:pPr>
        <w:pStyle w:val="FirstParagraph"/>
      </w:pPr>
      <w:r>
        <w:t xml:space="preserve">Acknowledgements are given on the title page, per the journal’s double-anonymized review</w:t>
      </w:r>
      <w:r>
        <w:t xml:space="preserve"> </w:t>
      </w:r>
      <w:r>
        <w:t xml:space="preserve">policy. This work received no funding.</w:t>
      </w:r>
    </w:p>
    <w:bookmarkEnd w:id="58"/>
    <w:bookmarkStart w:id="59" w:name="conflict-of-interest"/>
    <w:p>
      <w:pPr>
        <w:pStyle w:val="Heading1"/>
      </w:pPr>
      <w:r>
        <w:t xml:space="preserve">Conflict of Interest</w:t>
      </w:r>
    </w:p>
    <w:p>
      <w:pPr>
        <w:pStyle w:val="FirstParagraph"/>
      </w:pPr>
      <w:r>
        <w:t xml:space="preserve">The authors have no relevant conflicts of interest to disclose.</w:t>
      </w:r>
    </w:p>
    <w:bookmarkEnd w:id="59"/>
    <w:bookmarkStart w:id="60" w:name="ethics"/>
    <w:p>
      <w:pPr>
        <w:pStyle w:val="Heading1"/>
      </w:pPr>
      <w:r>
        <w:t xml:space="preserve">Ethics</w:t>
      </w:r>
    </w:p>
    <w:p>
      <w:pPr>
        <w:pStyle w:val="FirstParagraph"/>
      </w:pPr>
      <w:r>
        <w:t xml:space="preserve">This work uses publicly available, de-identified imaging and annotations derived from it.</w:t>
      </w:r>
      <w:r>
        <w:t xml:space="preserve"> </w:t>
      </w:r>
      <w:r>
        <w:t xml:space="preserve">The authors’ institutional review board determined that it is not human participant</w:t>
      </w:r>
      <w:r>
        <w:t xml:space="preserve"> </w:t>
      </w:r>
      <w:r>
        <w:t xml:space="preserve">research under 45 CFR 46 and requires no oversight.</w:t>
      </w:r>
    </w:p>
    <w:p>
      <w:pPr>
        <w:pStyle w:val="BodyText"/>
      </w:pPr>
      <w:r>
        <w:t xml:space="preserve">20</w:t>
      </w:r>
    </w:p>
    <w:p>
      <w:pPr>
        <w:pStyle w:val="BodyText"/>
      </w:pPr>
      <w:r>
        <w:t xml:space="preserve">J. Lian, N. Levine, and W. Cho,</w:t>
      </w:r>
      <w:r>
        <w:t xml:space="preserve"> </w:t>
      </w:r>
      <w:r>
        <w:t xml:space="preserve">A review of lumbosacral transitional vertebrae and associated vertebral numeration,</w:t>
      </w:r>
      <w:r>
        <w:t xml:space="preserve"> </w:t>
      </w:r>
      <w:r>
        <w:t xml:space="preserve">Eur. Spine J.</w:t>
      </w:r>
      <w:r>
        <w:t xml:space="preserve"> </w:t>
      </w:r>
      <w:r>
        <w:rPr>
          <w:b/>
          <w:bCs/>
        </w:rPr>
        <w:t xml:space="preserve">27</w:t>
      </w:r>
      <w:r>
        <w:t xml:space="preserve">, 995–1004 (2018),</w:t>
      </w:r>
      <w:r>
        <w:t xml:space="preserve"> </w:t>
      </w:r>
      <w:r>
        <w:t xml:space="preserve">doi:10.1007/s00586-018-5554-8.</w:t>
      </w:r>
    </w:p>
    <w:p>
      <w:pPr>
        <w:pStyle w:val="BodyText"/>
      </w:pPr>
      <w:r>
        <w:t xml:space="preserve">G. P. Konin and D. M. Walz,</w:t>
      </w:r>
      <w:r>
        <w:t xml:space="preserve"> </w:t>
      </w:r>
      <w:r>
        <w:t xml:space="preserve">Lumbosacral transitional vertebrae: classification, imaging findings, and clinical relevance,</w:t>
      </w:r>
      <w:r>
        <w:t xml:space="preserve"> </w:t>
      </w:r>
      <w:r>
        <w:t xml:space="preserve">AJNR Am. J. Neuroradiol.</w:t>
      </w:r>
      <w:r>
        <w:t xml:space="preserve"> </w:t>
      </w:r>
      <w:r>
        <w:rPr>
          <w:b/>
          <w:bCs/>
        </w:rPr>
        <w:t xml:space="preserve">31</w:t>
      </w:r>
      <w:r>
        <w:t xml:space="preserve">, 1778–1786 (2010),</w:t>
      </w:r>
      <w:r>
        <w:t xml:space="preserve"> </w:t>
      </w:r>
      <w:r>
        <w:t xml:space="preserve">doi:10.3174/ajnr.A2036.</w:t>
      </w:r>
    </w:p>
    <w:p>
      <w:pPr>
        <w:pStyle w:val="BodyText"/>
      </w:pPr>
      <w:r>
        <w:t xml:space="preserve">Y. Deng et al.,</w:t>
      </w:r>
      <w:r>
        <w:t xml:space="preserve"> </w:t>
      </w:r>
      <w:r>
        <w:t xml:space="preserve">: a large-scale dataset for spinal vertebrae segmentation in computed tomography,</w:t>
      </w:r>
      <w:r>
        <w:t xml:space="preserve"> </w:t>
      </w:r>
      <w:r>
        <w:t xml:space="preserve">Mach. Learn. Biomed. Imaging</w:t>
      </w:r>
      <w:r>
        <w:t xml:space="preserve"> </w:t>
      </w:r>
      <w:r>
        <w:rPr>
          <w:b/>
          <w:bCs/>
        </w:rPr>
        <w:t xml:space="preserve">3</w:t>
      </w:r>
      <w:r>
        <w:t xml:space="preserve">, 824–832 (2025),</w:t>
      </w:r>
      <w:r>
        <w:t xml:space="preserve"> </w:t>
      </w:r>
      <w:r>
        <w:t xml:space="preserve">doi:10.59275/j.melba.2025-gf84.</w:t>
      </w:r>
    </w:p>
    <w:p>
      <w:pPr>
        <w:pStyle w:val="BodyText"/>
      </w:pPr>
      <w:r>
        <w:t xml:space="preserve">P. Liu et al.,</w:t>
      </w:r>
      <w:r>
        <w:t xml:space="preserve"> </w:t>
      </w:r>
      <w:r>
        <w:t xml:space="preserve">Deep learning to segment pelvic bones: large-scale</w:t>
      </w:r>
      <w:r>
        <w:t xml:space="preserve"> </w:t>
      </w:r>
      <w:r>
        <w:t xml:space="preserve">CT</w:t>
      </w:r>
      <w:r>
        <w:t xml:space="preserve"> </w:t>
      </w:r>
      <w:r>
        <w:t xml:space="preserve">datasets and baseline models,</w:t>
      </w:r>
      <w:r>
        <w:t xml:space="preserve"> </w:t>
      </w:r>
      <w:r>
        <w:t xml:space="preserve">Int. J. Comput. Assist. Radiol. Surg.</w:t>
      </w:r>
      <w:r>
        <w:t xml:space="preserve"> </w:t>
      </w:r>
      <w:r>
        <w:rPr>
          <w:b/>
          <w:bCs/>
        </w:rPr>
        <w:t xml:space="preserve">16</w:t>
      </w:r>
      <w:r>
        <w:t xml:space="preserve">, 749–756 (2021),</w:t>
      </w:r>
      <w:r>
        <w:t xml:space="preserve"> </w:t>
      </w:r>
      <w:r>
        <w:t xml:space="preserve">doi:10.1007/s11548-021-02363-8.</w:t>
      </w:r>
    </w:p>
    <w:p>
      <w:pPr>
        <w:pStyle w:val="BodyText"/>
      </w:pPr>
      <w:r>
        <w:t xml:space="preserve">H. M</w:t>
      </w:r>
      <w:r>
        <w:t xml:space="preserve">ö</w:t>
      </w:r>
      <w:r>
        <w:t xml:space="preserve">ller, H. Schoen, R. Graf, et al.,</w:t>
      </w:r>
      <w:r>
        <w:t xml:space="preserve"> </w:t>
      </w:r>
      <w:r>
        <w:t xml:space="preserve">: solving enumeration anomaly aware vertebra labeling across imaging sequences, 2026,</w:t>
      </w:r>
      <w:r>
        <w:t xml:space="preserve"> </w:t>
      </w:r>
      <w:r>
        <w:t xml:space="preserve">arXiv:2601.14066. doi:10.48550/arXiv.2601.14066.</w:t>
      </w:r>
    </w:p>
    <w:p>
      <w:pPr>
        <w:pStyle w:val="BodyText"/>
      </w:pPr>
      <w:r>
        <w:t xml:space="preserve">A. Sekuboyina et al.,</w:t>
      </w:r>
      <w:r>
        <w:t xml:space="preserve"> </w:t>
      </w:r>
      <w:r>
        <w:t xml:space="preserve">: a vertebrae labelling and segmentation benchmark for multi-detector</w:t>
      </w:r>
      <w:r>
        <w:t xml:space="preserve"> </w:t>
      </w:r>
      <w:r>
        <w:t xml:space="preserve">CT</w:t>
      </w:r>
      <w:r>
        <w:t xml:space="preserve"> </w:t>
      </w:r>
      <w:r>
        <w:t xml:space="preserve">images,</w:t>
      </w:r>
      <w:r>
        <w:t xml:space="preserve"> </w:t>
      </w:r>
      <w:r>
        <w:t xml:space="preserve">Med. Image Anal.</w:t>
      </w:r>
      <w:r>
        <w:t xml:space="preserve"> </w:t>
      </w:r>
      <w:r>
        <w:rPr>
          <w:b/>
          <w:bCs/>
        </w:rPr>
        <w:t xml:space="preserve">73</w:t>
      </w:r>
      <w:r>
        <w:t xml:space="preserve">, 102166 (2021),</w:t>
      </w:r>
      <w:r>
        <w:t xml:space="preserve"> </w:t>
      </w:r>
      <w:r>
        <w:t xml:space="preserve">doi:10.1016/j.media.2021.102166.</w:t>
      </w:r>
    </w:p>
    <w:p>
      <w:pPr>
        <w:pStyle w:val="BodyText"/>
      </w:pPr>
      <w:r>
        <w:t xml:space="preserve">H. Liebl et al.,</w:t>
      </w:r>
      <w:r>
        <w:t xml:space="preserve"> </w:t>
      </w:r>
      <w:r>
        <w:t xml:space="preserve">A computed tomography vertebral segmentation dataset with anatomical variations and multi-vendor scanner data,</w:t>
      </w:r>
      <w:r>
        <w:t xml:space="preserve"> </w:t>
      </w:r>
      <w:r>
        <w:t xml:space="preserve">Sci. Data</w:t>
      </w:r>
      <w:r>
        <w:t xml:space="preserve"> </w:t>
      </w:r>
      <w:r>
        <w:rPr>
          <w:b/>
          <w:bCs/>
        </w:rPr>
        <w:t xml:space="preserve">8</w:t>
      </w:r>
      <w:r>
        <w:t xml:space="preserve">, 284 (2021),</w:t>
      </w:r>
      <w:r>
        <w:t xml:space="preserve"> </w:t>
      </w:r>
      <w:r>
        <w:t xml:space="preserve">doi:10.1038/s41597-021-01060-0.</w:t>
      </w:r>
    </w:p>
    <w:p>
      <w:pPr>
        <w:pStyle w:val="BodyText"/>
      </w:pPr>
      <w:r>
        <w:t xml:space="preserve">Y. Otake, S. Schafer, J. W. Stayman, et al.,</w:t>
      </w:r>
      <w:r>
        <w:t xml:space="preserve"> </w:t>
      </w:r>
      <w:r>
        <w:t xml:space="preserve">Automatic localization of vertebral levels in x-ray fluoroscopy using</w:t>
      </w:r>
      <w:r>
        <w:t xml:space="preserve"> </w:t>
      </w:r>
      <w:r>
        <w:t xml:space="preserve">3D-2D</w:t>
      </w:r>
      <w:r>
        <w:t xml:space="preserve"> </w:t>
      </w:r>
      <w:r>
        <w:t xml:space="preserve">registration: a tool to reduce wrong-site surgery,</w:t>
      </w:r>
      <w:r>
        <w:t xml:space="preserve"> </w:t>
      </w:r>
      <w:r>
        <w:t xml:space="preserve">Phys. Med. Biol.</w:t>
      </w:r>
      <w:r>
        <w:t xml:space="preserve"> </w:t>
      </w:r>
      <w:r>
        <w:rPr>
          <w:b/>
          <w:bCs/>
        </w:rPr>
        <w:t xml:space="preserve">57</w:t>
      </w:r>
      <w:r>
        <w:t xml:space="preserve">, 5485–5508 (2012),</w:t>
      </w:r>
      <w:r>
        <w:t xml:space="preserve"> </w:t>
      </w:r>
      <w:r>
        <w:t xml:space="preserve">doi:10.1088/0031-9155/57/17/5485.</w:t>
      </w:r>
    </w:p>
    <w:p>
      <w:pPr>
        <w:pStyle w:val="BodyText"/>
      </w:pPr>
      <w:r>
        <w:t xml:space="preserve">S.-F. L. Lo, Y. Otake, V. Puvanesarajah, et al.,</w:t>
      </w:r>
      <w:r>
        <w:t xml:space="preserve"> </w:t>
      </w:r>
      <w:r>
        <w:t xml:space="preserve">Automatic localization of target vertebrae in spine surgery: clinical evaluation of the</w:t>
      </w:r>
      <w:r>
        <w:t xml:space="preserve"> </w:t>
      </w:r>
      <w:r>
        <w:t xml:space="preserve">LevelCheck</w:t>
      </w:r>
      <w:r>
        <w:t xml:space="preserve"> </w:t>
      </w:r>
      <w:r>
        <w:t xml:space="preserve">registration algorithm,</w:t>
      </w:r>
      <w:r>
        <w:t xml:space="preserve"> </w:t>
      </w:r>
      <w:r>
        <w:t xml:space="preserve">Spine (Phila. Pa. 1976)</w:t>
      </w:r>
      <w:r>
        <w:t xml:space="preserve"> </w:t>
      </w:r>
      <w:r>
        <w:rPr>
          <w:b/>
          <w:bCs/>
        </w:rPr>
        <w:t xml:space="preserve">40</w:t>
      </w:r>
      <w:r>
        <w:t xml:space="preserve">, E476–E483 (2015),</w:t>
      </w:r>
      <w:r>
        <w:t xml:space="preserve"> </w:t>
      </w:r>
      <w:r>
        <w:t xml:space="preserve">doi:10.1097/BRS.0000000000000814.</w:t>
      </w:r>
    </w:p>
    <w:p>
      <w:pPr>
        <w:pStyle w:val="BodyText"/>
      </w:pPr>
      <w:r>
        <w:t xml:space="preserve">T. De Silva, S.-F. L. Lo, N. Aygun, et al.,</w:t>
      </w:r>
      <w:r>
        <w:t xml:space="preserve"> </w:t>
      </w:r>
      <w:r>
        <w:t xml:space="preserve">Utility of the</w:t>
      </w:r>
      <w:r>
        <w:t xml:space="preserve"> </w:t>
      </w:r>
      <w:r>
        <w:t xml:space="preserve">LevelCheck</w:t>
      </w:r>
      <w:r>
        <w:t xml:space="preserve"> </w:t>
      </w:r>
      <w:r>
        <w:t xml:space="preserve">algorithm for decision support in vertebral localization,</w:t>
      </w:r>
      <w:r>
        <w:t xml:space="preserve"> </w:t>
      </w:r>
      <w:r>
        <w:t xml:space="preserve">Spine (Phila. Pa. 1976)</w:t>
      </w:r>
      <w:r>
        <w:t xml:space="preserve"> </w:t>
      </w:r>
      <w:r>
        <w:rPr>
          <w:b/>
          <w:bCs/>
        </w:rPr>
        <w:t xml:space="preserve">41</w:t>
      </w:r>
      <w:r>
        <w:t xml:space="preserve">, E1249–E1256 (2016),</w:t>
      </w:r>
      <w:r>
        <w:t xml:space="preserve"> </w:t>
      </w:r>
      <w:r>
        <w:t xml:space="preserve">doi:10.1097/BRS.0000000000001589.</w:t>
      </w:r>
    </w:p>
    <w:p>
      <w:pPr>
        <w:pStyle w:val="BodyText"/>
      </w:pPr>
      <w:r>
        <w:t xml:space="preserve">M. R. Zindrick et al.,</w:t>
      </w:r>
      <w:r>
        <w:t xml:space="preserve"> </w:t>
      </w:r>
      <w:r>
        <w:t xml:space="preserve">Analysis of the morphometric characteristics of the thoracic and lumbar pedicles,</w:t>
      </w:r>
      <w:r>
        <w:t xml:space="preserve"> </w:t>
      </w:r>
      <w:r>
        <w:t xml:space="preserve">Spine (Phila. Pa. 1976)</w:t>
      </w:r>
      <w:r>
        <w:t xml:space="preserve"> </w:t>
      </w:r>
      <w:r>
        <w:rPr>
          <w:b/>
          <w:bCs/>
        </w:rPr>
        <w:t xml:space="preserve">12</w:t>
      </w:r>
      <w:r>
        <w:t xml:space="preserve">, 160–166 (1987),</w:t>
      </w:r>
      <w:r>
        <w:t xml:space="preserve"> </w:t>
      </w:r>
      <w:r>
        <w:t xml:space="preserve">doi:10.1097/00007632-198703000-00012.</w:t>
      </w:r>
    </w:p>
    <w:p>
      <w:pPr>
        <w:pStyle w:val="BodyText"/>
      </w:pPr>
      <w:r>
        <w:t xml:space="preserve">M. M. Panjabi et al.,</w:t>
      </w:r>
      <w:r>
        <w:t xml:space="preserve"> </w:t>
      </w:r>
      <w:r>
        <w:t xml:space="preserve">Thoracic human vertebrae: quantitative three-dimensional anatomy,</w:t>
      </w:r>
      <w:r>
        <w:t xml:space="preserve"> </w:t>
      </w:r>
      <w:r>
        <w:t xml:space="preserve">Spine (Phila. Pa. 1976)</w:t>
      </w:r>
      <w:r>
        <w:t xml:space="preserve"> </w:t>
      </w:r>
      <w:r>
        <w:rPr>
          <w:b/>
          <w:bCs/>
        </w:rPr>
        <w:t xml:space="preserve">16</w:t>
      </w:r>
      <w:r>
        <w:t xml:space="preserve">, 888–901 (1991),</w:t>
      </w:r>
      <w:r>
        <w:t xml:space="preserve"> </w:t>
      </w:r>
      <w:r>
        <w:t xml:space="preserve">doi:10.1097/00007632-199108000-00006.</w:t>
      </w:r>
    </w:p>
    <w:p>
      <w:pPr>
        <w:pStyle w:val="BodyText"/>
      </w:pPr>
      <w:r>
        <w:t xml:space="preserve">M. M. Panjabi et al.,</w:t>
      </w:r>
      <w:r>
        <w:t xml:space="preserve"> </w:t>
      </w:r>
      <w:r>
        <w:t xml:space="preserve">Human lumbar vertebrae: quantitative three-dimensional anatomy,</w:t>
      </w:r>
      <w:r>
        <w:t xml:space="preserve"> </w:t>
      </w:r>
      <w:r>
        <w:t xml:space="preserve">Spine (Phila. Pa. 1976)</w:t>
      </w:r>
      <w:r>
        <w:t xml:space="preserve"> </w:t>
      </w:r>
      <w:r>
        <w:rPr>
          <w:b/>
          <w:bCs/>
        </w:rPr>
        <w:t xml:space="preserve">17</w:t>
      </w:r>
      <w:r>
        <w:t xml:space="preserve">, 299–306 (1992),</w:t>
      </w:r>
      <w:r>
        <w:t xml:space="preserve"> </w:t>
      </w:r>
      <w:r>
        <w:t xml:space="preserve">doi:10.1097/00007632-199203000-00010.</w:t>
      </w:r>
    </w:p>
    <w:p>
      <w:pPr>
        <w:pStyle w:val="BodyText"/>
      </w:pPr>
      <w:r>
        <w:t xml:space="preserve">E. C. Benzel,</w:t>
      </w:r>
      <w:r>
        <w:t xml:space="preserve"> </w:t>
      </w:r>
      <w:r>
        <w:t xml:space="preserve">,</w:t>
      </w:r>
      <w:r>
        <w:t xml:space="preserve"> </w:t>
      </w:r>
      <w:r>
        <w:t xml:space="preserve">Thieme, New York, 3rd edition, 2015.</w:t>
      </w:r>
    </w:p>
    <w:p>
      <w:pPr>
        <w:pStyle w:val="BodyText"/>
      </w:pPr>
      <w:r>
        <w:t xml:space="preserve">R. J. Hughes and A. Saifuddin,</w:t>
      </w:r>
      <w:r>
        <w:t xml:space="preserve"> </w:t>
      </w:r>
      <w:r>
        <w:t xml:space="preserve">Numbering of lumbosacral transitional vertebrae on</w:t>
      </w:r>
      <w:r>
        <w:t xml:space="preserve"> </w:t>
      </w:r>
      <w:r>
        <w:t xml:space="preserve">MRI</w:t>
      </w:r>
      <w:r>
        <w:t xml:space="preserve">: role of the iliolumbar ligaments,</w:t>
      </w:r>
      <w:r>
        <w:t xml:space="preserve"> </w:t>
      </w:r>
      <w:r>
        <w:t xml:space="preserve">AJR Am. J. Roentgenol.</w:t>
      </w:r>
      <w:r>
        <w:t xml:space="preserve"> </w:t>
      </w:r>
      <w:r>
        <w:rPr>
          <w:b/>
          <w:bCs/>
        </w:rPr>
        <w:t xml:space="preserve">187</w:t>
      </w:r>
      <w:r>
        <w:t xml:space="preserve">, W59–W65 (2006),</w:t>
      </w:r>
      <w:r>
        <w:t xml:space="preserve"> </w:t>
      </w:r>
      <w:r>
        <w:t xml:space="preserve">doi:10.2214/AJR.05.0415.</w:t>
      </w:r>
    </w:p>
    <w:p>
      <w:pPr>
        <w:pStyle w:val="BodyText"/>
      </w:pPr>
      <w:r>
        <w:t xml:space="preserve">L. Jin et al.,</w:t>
      </w:r>
      <w:r>
        <w:t xml:space="preserve"> </w:t>
      </w:r>
      <w:r>
        <w:t xml:space="preserve">v2: a large-scale benchmark for rib labeling and anatomical centerline extraction,</w:t>
      </w:r>
      <w:r>
        <w:t xml:space="preserve"> </w:t>
      </w:r>
      <w:r>
        <w:t xml:space="preserve">IEEE Trans. Med. Imaging</w:t>
      </w:r>
      <w:r>
        <w:t xml:space="preserve"> </w:t>
      </w:r>
      <w:r>
        <w:rPr>
          <w:b/>
          <w:bCs/>
        </w:rPr>
        <w:t xml:space="preserve">43</w:t>
      </w:r>
      <w:r>
        <w:t xml:space="preserve">, 570–581 (2024),</w:t>
      </w:r>
      <w:r>
        <w:t xml:space="preserve"> </w:t>
      </w:r>
      <w:r>
        <w:t xml:space="preserve">doi:10.1109/TMI.2023.3313627.</w:t>
      </w:r>
    </w:p>
    <w:p>
      <w:pPr>
        <w:pStyle w:val="BodyText"/>
      </w:pPr>
      <w:r>
        <w:t xml:space="preserve">K. Smith et al.,</w:t>
      </w:r>
      <w:r>
        <w:t xml:space="preserve"> </w:t>
      </w:r>
      <w:r>
        <w:t xml:space="preserve">Data from</w:t>
      </w:r>
      <w:r>
        <w:t xml:space="preserve"> </w:t>
      </w:r>
      <w:r>
        <w:t xml:space="preserve">CT COLONOGRAPHY</w:t>
      </w:r>
      <w:r>
        <w:t xml:space="preserve">,</w:t>
      </w:r>
      <w:r>
        <w:t xml:space="preserve"> </w:t>
      </w:r>
      <w:r>
        <w:t xml:space="preserve">The Cancer Imaging Archive, 2015,</w:t>
      </w:r>
      <w:r>
        <w:t xml:space="preserve"> </w:t>
      </w:r>
      <w:r>
        <w:t xml:space="preserve">doi:10.7937/K9/TCIA.2015.NWTESAY1.</w:t>
      </w:r>
    </w:p>
    <w:p>
      <w:pPr>
        <w:pStyle w:val="BodyText"/>
      </w:pPr>
      <w:r>
        <w:t xml:space="preserve">K. Clark et al.,</w:t>
      </w:r>
      <w:r>
        <w:t xml:space="preserve"> </w:t>
      </w:r>
      <w:r>
        <w:t xml:space="preserve">The</w:t>
      </w:r>
      <w:r>
        <w:t xml:space="preserve"> </w:t>
      </w:r>
      <w:r>
        <w:t xml:space="preserve">Cancer Imaging Archive</w:t>
      </w:r>
      <w:r>
        <w:t xml:space="preserve"> </w:t>
      </w:r>
      <w:r>
        <w:t xml:space="preserve">(</w:t>
      </w:r>
      <w:r>
        <w:t xml:space="preserve">TCIA</w:t>
      </w:r>
      <w:r>
        <w:t xml:space="preserve">): maintaining and operating a public information repository,</w:t>
      </w:r>
      <w:r>
        <w:t xml:space="preserve"> </w:t>
      </w:r>
      <w:r>
        <w:t xml:space="preserve">J. Digit. Imaging</w:t>
      </w:r>
      <w:r>
        <w:t xml:space="preserve"> </w:t>
      </w:r>
      <w:r>
        <w:rPr>
          <w:b/>
          <w:bCs/>
        </w:rPr>
        <w:t xml:space="preserve">26</w:t>
      </w:r>
      <w:r>
        <w:t xml:space="preserve">, 1045–1057 (2013),</w:t>
      </w:r>
      <w:r>
        <w:t xml:space="preserve"> </w:t>
      </w:r>
      <w:r>
        <w:t xml:space="preserve">doi:10.1007/s10278-013-9622-7.</w:t>
      </w:r>
    </w:p>
    <w:p>
      <w:pPr>
        <w:pStyle w:val="BodyText"/>
      </w:pPr>
      <w:r>
        <w:t xml:space="preserve">H. M</w:t>
      </w:r>
      <w:r>
        <w:t xml:space="preserve">ö</w:t>
      </w:r>
      <w:r>
        <w:t xml:space="preserve">ller et al.,</w:t>
      </w:r>
      <w:r>
        <w:t xml:space="preserve"> </w:t>
      </w:r>
      <w:r>
        <w:t xml:space="preserve">Automated thoracolumbar stump rib detection and analysis in a large</w:t>
      </w:r>
      <w:r>
        <w:t xml:space="preserve"> </w:t>
      </w:r>
      <w:r>
        <w:t xml:space="preserve">CT</w:t>
      </w:r>
      <w:r>
        <w:t xml:space="preserve"> </w:t>
      </w:r>
      <w:r>
        <w:t xml:space="preserve">cohort, 2025,</w:t>
      </w:r>
      <w:r>
        <w:t xml:space="preserve"> </w:t>
      </w:r>
      <w:r>
        <w:t xml:space="preserve">arXiv:2505.05004. doi:10.48550/arXiv.2505.05004.</w:t>
      </w:r>
    </w:p>
    <w:p>
      <w:pPr>
        <w:pStyle w:val="BodyText"/>
      </w:pPr>
      <w:r>
        <w:t xml:space="preserve">J. Wasserthal et al.,</w:t>
      </w:r>
      <w:r>
        <w:t xml:space="preserve"> </w:t>
      </w:r>
      <w:r>
        <w:t xml:space="preserve">: robust segmentation of 104 anatomic structures in</w:t>
      </w:r>
      <w:r>
        <w:t xml:space="preserve"> </w:t>
      </w:r>
      <w:r>
        <w:t xml:space="preserve">CT</w:t>
      </w:r>
      <w:r>
        <w:t xml:space="preserve"> </w:t>
      </w:r>
      <w:r>
        <w:t xml:space="preserve">images,</w:t>
      </w:r>
      <w:r>
        <w:t xml:space="preserve"> </w:t>
      </w:r>
      <w:r>
        <w:t xml:space="preserve">Radiol. Artif. Intell.</w:t>
      </w:r>
      <w:r>
        <w:t xml:space="preserve"> </w:t>
      </w:r>
      <w:r>
        <w:rPr>
          <w:b/>
          <w:bCs/>
        </w:rPr>
        <w:t xml:space="preserve">5</w:t>
      </w:r>
      <w:r>
        <w:t xml:space="preserve">, e230024 (2023),</w:t>
      </w:r>
      <w:r>
        <w:t xml:space="preserve"> </w:t>
      </w:r>
      <w:r>
        <w:t xml:space="preserve">doi:10.1148/ryai.230024.</w:t>
      </w:r>
    </w:p>
    <w:p>
      <w:pPr>
        <w:pStyle w:val="BodyText"/>
      </w:pPr>
      <w:r>
        <w:t xml:space="preserve">A. Schehr, J. Kim, and G. Schwing,</w:t>
      </w:r>
      <w:r>
        <w:t xml:space="preserve"> </w:t>
      </w:r>
      <w:r>
        <w:t xml:space="preserve">: an open-source framework for medical student engagement in computational spine imaging research,</w:t>
      </w:r>
      <w:r>
        <w:t xml:space="preserve"> </w:t>
      </w:r>
      <w:r>
        <w:t xml:space="preserve">Cureus (2026),</w:t>
      </w:r>
      <w:r>
        <w:t xml:space="preserve"> </w:t>
      </w:r>
      <w:r>
        <w:t xml:space="preserve">Published 14 July 2026. doi:10.7759/cureus.112661.</w:t>
      </w:r>
    </w:p>
    <w:p>
      <w:pPr>
        <w:pStyle w:val="BodyText"/>
      </w:pPr>
      <w:r>
        <w:t xml:space="preserve">F. Isensee, P. F. Jaeger, S. A. A. Kohl, J. Petersen, and K. H. Maier-Hein,</w:t>
      </w:r>
      <w:r>
        <w:t xml:space="preserve"> </w:t>
      </w:r>
      <w:r>
        <w:t xml:space="preserve">: a self-configuring method for deep learning-based biomedical image segmentation,</w:t>
      </w:r>
      <w:r>
        <w:t xml:space="preserve"> </w:t>
      </w:r>
      <w:r>
        <w:t xml:space="preserve">Nat. Methods</w:t>
      </w:r>
      <w:r>
        <w:t xml:space="preserve"> </w:t>
      </w:r>
      <w:r>
        <w:rPr>
          <w:b/>
          <w:bCs/>
        </w:rPr>
        <w:t xml:space="preserve">18</w:t>
      </w:r>
      <w:r>
        <w:t xml:space="preserve">, 203–211 (2021),</w:t>
      </w:r>
      <w:r>
        <w:t xml:space="preserve"> </w:t>
      </w:r>
      <w:r>
        <w:t xml:space="preserve">doi:10.1038/s41592-020-01008-z.</w:t>
      </w:r>
    </w:p>
    <w:p>
      <w:pPr>
        <w:pStyle w:val="BodyText"/>
      </w:pPr>
      <w:r>
        <w:t xml:space="preserve">R. Vialle, N. Levassor, L. Rillardon, A. Templier, W. Skalli, and P. Guigui,</w:t>
      </w:r>
      <w:r>
        <w:t xml:space="preserve"> </w:t>
      </w:r>
      <w:r>
        <w:t xml:space="preserve">Radiographic analysis of the sagittal alignment and balance of the spine in asymptomatic subjects,</w:t>
      </w:r>
      <w:r>
        <w:t xml:space="preserve"> </w:t>
      </w:r>
      <w:r>
        <w:t xml:space="preserve">J. Bone Joint Surg. Am.</w:t>
      </w:r>
      <w:r>
        <w:t xml:space="preserve"> </w:t>
      </w:r>
      <w:r>
        <w:rPr>
          <w:b/>
          <w:bCs/>
        </w:rPr>
        <w:t xml:space="preserve">87</w:t>
      </w:r>
      <w:r>
        <w:t xml:space="preserve">, 260–267 (2005),</w:t>
      </w:r>
      <w:r>
        <w:t xml:space="preserve"> </w:t>
      </w:r>
      <w:r>
        <w:t xml:space="preserve">doi:10.2106/JBJS.D.02043.</w:t>
      </w:r>
    </w:p>
    <w:p>
      <w:pPr>
        <w:pStyle w:val="BodyText"/>
      </w:pPr>
      <w:r>
        <w:t xml:space="preserve">A. E. Castellvi, L. A. Goldstein, and D. P. K. Chan,</w:t>
      </w:r>
      <w:r>
        <w:t xml:space="preserve"> </w:t>
      </w:r>
      <w:r>
        <w:t xml:space="preserve">Lumbosacral transitional vertebrae and their relationship with lumbar extradural defects,</w:t>
      </w:r>
      <w:r>
        <w:t xml:space="preserve"> </w:t>
      </w:r>
      <w:r>
        <w:t xml:space="preserve">Spine (Phila. Pa. 1976)</w:t>
      </w:r>
      <w:r>
        <w:t xml:space="preserve"> </w:t>
      </w:r>
      <w:r>
        <w:rPr>
          <w:b/>
          <w:bCs/>
        </w:rPr>
        <w:t xml:space="preserve">9</w:t>
      </w:r>
      <w:r>
        <w:t xml:space="preserve">, 493–495 (1984),</w:t>
      </w:r>
      <w:r>
        <w:t xml:space="preserve"> </w:t>
      </w:r>
      <w:r>
        <w:t xml:space="preserve">doi:10.1097/00007632-198407000-00014.</w:t>
      </w:r>
    </w:p>
    <w:p>
      <w:pPr>
        <w:pStyle w:val="BodyText"/>
      </w:pPr>
      <w:r>
        <w:t xml:space="preserve">P. J. Pickhardt, B. D. Pooler, T. Lauder, A. M. del Rio, R. J. Bruce, and N. Binkley,</w:t>
      </w:r>
      <w:r>
        <w:t xml:space="preserve"> </w:t>
      </w:r>
      <w:r>
        <w:t xml:space="preserve">Opportunistic screening for osteoporosis using abdominal computed tomography scans obtained for other indications,</w:t>
      </w:r>
      <w:r>
        <w:t xml:space="preserve"> </w:t>
      </w:r>
      <w:r>
        <w:t xml:space="preserve">Ann. Intern. Med.</w:t>
      </w:r>
      <w:r>
        <w:t xml:space="preserve"> </w:t>
      </w:r>
      <w:r>
        <w:rPr>
          <w:b/>
          <w:bCs/>
        </w:rPr>
        <w:t xml:space="preserve">158</w:t>
      </w:r>
      <w:r>
        <w:t xml:space="preserve">, 588–595 (2013),</w:t>
      </w:r>
      <w:r>
        <w:t xml:space="preserve"> </w:t>
      </w:r>
      <w:r>
        <w:t xml:space="preserve">doi:10.7326/0003-4819-158-8-201304160-00003.</w:t>
      </w:r>
    </w:p>
    <w:p>
      <w:pPr>
        <w:pStyle w:val="BodyText"/>
      </w:pPr>
      <w:r>
        <w:t xml:space="preserve">N. E. Epstein,</w:t>
      </w:r>
      <w:r>
        <w:t xml:space="preserve"> </w:t>
      </w:r>
      <w:r>
        <w:t xml:space="preserve">A perspective on wrong level, wrong side, and wrong site spine surgery,</w:t>
      </w:r>
      <w:r>
        <w:t xml:space="preserve"> </w:t>
      </w:r>
      <w:r>
        <w:t xml:space="preserve">Surg. Neurol. Int.</w:t>
      </w:r>
      <w:r>
        <w:t xml:space="preserve"> </w:t>
      </w:r>
      <w:r>
        <w:rPr>
          <w:b/>
          <w:bCs/>
        </w:rPr>
        <w:t xml:space="preserve">12</w:t>
      </w:r>
      <w:r>
        <w:t xml:space="preserve">, 286 (2021),</w:t>
      </w:r>
      <w:r>
        <w:t xml:space="preserve"> </w:t>
      </w:r>
      <w:r>
        <w:t xml:space="preserve">doi:10.25259/SNI_402_2021.</w:t>
      </w:r>
    </w:p>
    <w:p>
      <w:pPr>
        <w:pStyle w:val="BodyText"/>
      </w:pPr>
      <w:r>
        <w:t xml:space="preserve">E. Beaulieu et al.,</w:t>
      </w:r>
      <w:r>
        <w:t xml:space="preserve"> </w:t>
      </w:r>
      <w:r>
        <w:t xml:space="preserve">A review of finite element analysis in spine surgery decision-making,</w:t>
      </w:r>
      <w:r>
        <w:t xml:space="preserve"> </w:t>
      </w:r>
      <w:r>
        <w:t xml:space="preserve">J. Clin. Med.</w:t>
      </w:r>
      <w:r>
        <w:t xml:space="preserve"> </w:t>
      </w:r>
      <w:r>
        <w:rPr>
          <w:b/>
          <w:bCs/>
        </w:rPr>
        <w:t xml:space="preserve">15</w:t>
      </w:r>
      <w:r>
        <w:t xml:space="preserve">, 2584 (2026),</w:t>
      </w:r>
      <w:r>
        <w:t xml:space="preserve"> </w:t>
      </w:r>
      <w:r>
        <w:t xml:space="preserve">doi:10.3390/jcm15072584.</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df" /><Relationship Type="http://schemas.openxmlformats.org/officeDocument/2006/relationships/image" Id="rId36" Target="media/rId36.pdf" /><Relationship Type="http://schemas.openxmlformats.org/officeDocument/2006/relationships/image" Id="rId49" Target="media/rId49.pdf" /><Relationship Type="http://schemas.openxmlformats.org/officeDocument/2006/relationships/image" Id="rId28" Target="media/rId28.pdf" /><Relationship Type="http://schemas.openxmlformats.org/officeDocument/2006/relationships/image" Id="rId45" Target="media/rId45.pdf" /><Relationship Type="http://schemas.openxmlformats.org/officeDocument/2006/relationships/image" Id="rId40" Target="media/rId40.pdf" /><Relationship Type="http://schemas.openxmlformats.org/officeDocument/2006/relationships/hyperlink" Id="rId22" Target="https://huggingface.co/OpenSpineConsortium/spinopelvic-seg-checkpoints" TargetMode="External" /><Relationship Type="http://schemas.openxmlformats.org/officeDocument/2006/relationships/hyperlink" Id="rId21" Target="https://huggingface.co/anonymous-mlhc/spinopelvic-seg-checkpoints" TargetMode="External" /></Relationships>
</file>

<file path=word/_rels/footnotes.xml.rels><?xml version="1.0" encoding="UTF-8"?><Relationships xmlns="http://schemas.openxmlformats.org/package/2006/relationships"><Relationship Type="http://schemas.openxmlformats.org/officeDocument/2006/relationships/hyperlink" Id="rId22" Target="https://huggingface.co/OpenSpineConsortium/spinopelvic-seg-checkpoints" TargetMode="External" /><Relationship Type="http://schemas.openxmlformats.org/officeDocument/2006/relationships/hyperlink" Id="rId21" Target="https://huggingface.co/anonymous-mlhc/spinopelvic-seg-checkpoi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CTSpinoPelvic1K: spine, pelvis, ribs and femora in one coordinate frame, annotated for lumbosacral transitional anatomy</dc:title>
  <dc:creator>Gregory Schwing, MD, PhD; Ashley Schehr, BS; Annika Tekumulla, BS; Margret Khoushi, BS; Ryan Christian, BS; Dane Hubers, BS; Faris Mahjoub, BS; Hassan Saad, BS; Mia Sooch, BA; Sathya Siddapureddy, BS; Michael McLellan, BS; Jerick Kim, BS; Miraziz Ismoilov, MD; Nizar Alnabahneh, MD</dc:creator>
  <cp:keywords/>
  <dcterms:created xsi:type="dcterms:W3CDTF">2026-09-06T18:54:34Z</dcterms:created>
  <dcterms:modified xsi:type="dcterms:W3CDTF">2026-09-06T18:54:34Z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Purpose: For transitional anatomy the gold standard for numeration remains whole-spine imaging and counting caudally from C2 . Abdominal CT does not contain C2, and where a lumbosacral transitional vertebra (LSTV) alters the count the local anatomy is ambiguous: four rib-free lumbar vertebrae may mean an L1 bearing a lumbar rib or an L5 assimilated to the sacrum, and six may mean a sixth lumbar vertebra, a T12 whose ribs are aplastic, or an S1 lumbarized from the sacrum . CTSpinoPelvic1K is built so that this can be asked of the data: whether local morphology resolves them without counting from C2. It provides 802 CT records anchoring each lumbar level on the lowest rib-bearing vertebra above and the first sacral segment below, with radiologist-sourced spine and pelvic annotation on one frame, per-level ribs and femora. Classes for a sixth lumbar vertebra, a thirteenth thoracic vertebra, a separate first sacral segment and lumbar ribs cover the anomalies.Acquisition and Validation Methods: Records pair TCIA CT COLONOGRAPHY imaging with CTSpine1K  vertebral and CTPelvic1K  pelvic labels on the acquisition with highest bone coverage, under a VerSe-native scheme. Validation: geometric invariants (802/802 pass); rib–vertebra incidence across 5,749 evaluable ribs (2 offsets, 0.035%); and agreement of spinopelvic measures with published values.Data Format and Usage Notes: Gzipped NIfTI image/label pairs sharing one affine, canonicalized to PIR, with frozen patient-grouped LSTV-stratified five-fold splits and a reference loader; archived under a persistent identifier, .Potential Applications: Testing whether a network can classify a vertebra from local features alone; updating textbook morphometry drawn from small cadaveric series; spinopelvic assessment; variant studies; opportunistic screening. Limitations: thoracic ground truth is field-of-view limited; postural angles supine; no held-out test set; the rib layer is a triaged-review pseudolabel; Castellvi grades are a two-reader consensus.</vt:lpwstr>
  </property>
</Properties>
</file>