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50.pdf" ContentType="application/pdf"/>
  <Override PartName="/word/media/rId32.pdf" ContentType="application/pdf"/>
  <Override PartName="/word/media/rId46.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8"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without degrading segmentation at the</w:t>
      </w:r>
      <w:r>
        <w:t xml:space="preserve"> </w:t>
      </w:r>
      <w:r>
        <w:t xml:space="preserve">lumbosacral junction. A preliminary network was trained in five folds to pseudolabel the</w:t>
      </w:r>
      <w:r>
        <w:t xml:space="preserve"> </w:t>
      </w:r>
      <w:r>
        <w:t xml:space="preserve">missing pelvises of every volume in the cohort, excluding those with fused masks, using</w:t>
      </w:r>
      <w:r>
        <w:t xml:space="preserve"> </w:t>
      </w:r>
      <w:r>
        <w:t xml:space="preserve">out-of-fold inference so that no pelvis was pseudolabelled by a model that had seen it during</w:t>
      </w:r>
      <w:r>
        <w:t xml:space="preserve"> </w:t>
      </w:r>
      <w:r>
        <w:t xml:space="preserve">training. This detail is important because it permitted comparing the accuracy of the model</w:t>
      </w:r>
      <w:r>
        <w:t xml:space="preserve"> </w:t>
      </w:r>
      <w:r>
        <w:t xml:space="preserve">against the ground-truth radiologist-annotated pelvises: on the manual pelvic labels of each</w:t>
      </w:r>
      <w:r>
        <w:t xml:space="preserve"> </w:t>
      </w:r>
      <w:r>
        <w:t xml:space="preserve">held-out fold the model reaches a Dice of 0.980 for the sacrum and 0.97 for each hip</w:t>
      </w:r>
      <w:r>
        <w:t xml:space="preserve"> </w:t>
      </w:r>
      <w:r>
        <w:t xml:space="preserve">(Table </w:t>
      </w:r>
      <w:hyperlink w:anchor="tab:pseudodice">
        <w:r>
          <w:rPr>
            <w:rStyle w:val="Hyperlink"/>
          </w:rPr>
          <w:t xml:space="preserve">2</w:t>
        </w:r>
      </w:hyperlink>
      <w:r>
        <w:t xml:space="preserve">).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Those 440</w:t>
      </w:r>
      <w:r>
        <w:t xml:space="preserve"> </w:t>
      </w:r>
      <w:r>
        <w:t xml:space="preserve">pseudolabelled pelves are close to radiologist quality: a sacrum Dice of</w:t>
      </w:r>
      <w:r>
        <w:t xml:space="preserve"> </w:t>
      </w:r>
      <m:oMath>
        <m:r>
          <m:t>0.980</m:t>
        </m:r>
        <m:r>
          <m:rPr>
            <m:sty m:val="p"/>
          </m:rPr>
          <m:t>±</m:t>
        </m:r>
        <m:r>
          <m:t>0.003</m:t>
        </m:r>
      </m:oMath>
      <w:r>
        <w:t xml:space="preserve"> </w:t>
      </w:r>
      <w:r>
        <w:t xml:space="preserve">with no fold below 0.977, and hip Dice of</w:t>
      </w:r>
      <w:r>
        <w:t xml:space="preserve"> </w:t>
      </w:r>
      <m:oMath>
        <m:r>
          <m:t>0.970</m:t>
        </m:r>
        <m:r>
          <m:rPr>
            <m:sty m:val="p"/>
          </m:rPr>
          <m:t>±</m:t>
        </m:r>
        <m:r>
          <m:t>0.016</m:t>
        </m:r>
      </m:oMath>
      <w:r>
        <w:t xml:space="preserve"> </w:t>
      </w:r>
      <w:r>
        <w:t xml:space="preserve">and</w:t>
      </w:r>
      <w:r>
        <w:t xml:space="preserve"> </w:t>
      </w:r>
      <m:oMath>
        <m:r>
          <m:t>0.971</m:t>
        </m:r>
        <m:r>
          <m:rPr>
            <m:sty m:val="p"/>
          </m:rPr>
          <m:t>±</m:t>
        </m:r>
        <m:r>
          <m:t>0.015</m:t>
        </m:r>
      </m:oMath>
      <w:r>
        <w:t xml:space="preserve"> </w:t>
      </w:r>
      <w:r>
        <w:t xml:space="preserve">with no</w:t>
      </w:r>
      <w:r>
        <w:t xml:space="preserve"> </w:t>
      </w:r>
      <w:r>
        <w:t xml:space="preserve">fold below 0.953, mean the model and the radiologist agree on 97–98% of the voxels of</w:t>
      </w:r>
      <w:r>
        <w:t xml:space="preserve"> </w:t>
      </w:r>
      <w:r>
        <w:t xml:space="preserve">every pelvic bone on records the model never saw; the per-fold values are released with the</w:t>
      </w:r>
      <w:r>
        <w:t xml:space="preserve"> </w:t>
      </w:r>
      <w:r>
        <w:t xml:space="preserve">data (</w:t>
      </w:r>
      <w:r>
        <w:rPr>
          <w:rStyle w:val="VerbatimChar"/>
        </w:rPr>
        <w:t xml:space="preserve">results/pseudolabel_dice/</w:t>
      </w:r>
      <w:r>
        <w:t xml:space="preserve">). The direction is asymmetric because a pelvis</w:t>
      </w:r>
      <w:r>
        <w:t xml:space="preserve"> </w:t>
      </w:r>
      <w:r>
        <w:t xml:space="preserve">carries no enumeration to get wrong, whereas a pseudolabeled spine must commit to a count</w:t>
      </w:r>
      <w:r>
        <w:t xml:space="preserve"> </w:t>
      </w:r>
      <w:r>
        <w:t xml:space="preserve">and, on a transitional vertebra, commits to the commoner reading; the 20 pelvis-only spines</w:t>
      </w:r>
      <w:r>
        <w:t xml:space="preserve"> </w:t>
      </w:r>
      <w:r>
        <w:t xml:space="preserve">were corrected by hand. The pseudolabels also pass the release gates every structure passes</w:t>
      </w:r>
      <w:r>
        <w:t xml:space="preserve"> </w:t>
      </w:r>
      <w:r>
        <w:t xml:space="preserve">(Sec.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Start w:id="14" w:name="tab:pseudodice"/>
    <w:p>
      <w:pPr>
        <w:pStyle w:val="TableCaption"/>
      </w:pPr>
      <w:r>
        <w:t xml:space="preserve">Held-out fold Dice of the pelvic pseudolabeller against manual CTPelvic1K labels,</w:t>
      </w:r>
      <w:r>
        <w:t xml:space="preserve"> </w:t>
      </w:r>
      <w:r>
        <w:t xml:space="preserve">mean</w:t>
      </w:r>
      <w:r>
        <w:t xml:space="preserve"> </w:t>
      </w:r>
      <m:oMath>
        <m:r>
          <m:rPr>
            <m:sty m:val="p"/>
          </m:rPr>
          <m:t>±</m:t>
        </m:r>
      </m:oMath>
      <w:r>
        <w:t xml:space="preserve"> </w:t>
      </w:r>
      <w:r>
        <w:t xml:space="preserve">SD over the five folds at each fold’s selected checkpoint (nnU-Net validation</w:t>
      </w:r>
      <w:r>
        <w:t xml:space="preserve"> </w:t>
      </w:r>
      <w:r>
        <w:t xml:space="preserve">Dice, ignore regions excluded;</w:t>
      </w:r>
      <w:r>
        <w:t xml:space="preserve"> </w:t>
      </w:r>
      <w:r>
        <w:rPr>
          <w:rStyle w:val="VerbatimChar"/>
        </w:rPr>
        <w:t xml:space="preserve">results/pseudolabel_dice/</w:t>
      </w:r>
      <w:r>
        <w:t xml:space="preserve"> </w:t>
      </w:r>
      <w:r>
        <w:t xml:space="preserve">in the repository).</w:t>
      </w:r>
    </w:p>
    <w:tbl>
      <w:tblPr>
        <w:tblStyle w:val="Table"/>
        <w:tblW w:type="auto" w:w="0"/>
        <w:tblLook w:firstRow="1" w:lastRow="0" w:firstColumn="0" w:lastColumn="0" w:noHBand="0" w:noVBand="0" w:val="0020"/>
        <w:tblCaption w:val="Held-out fold Dice of the pelvic pseudolabeller against manual CTPelvic1K labels, mean \pm SD over the five folds at each fold’s selected checkpoint (nnU-Net validation Dice, ignore regions excluded; results/pseudolabel_dice/ in the repository)."/>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7"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of their union is a pseudolabel of all ribs in the volume. An extensive quality</w:t>
      </w:r>
      <w:r>
        <w:t xml:space="preserve"> </w:t>
      </w:r>
      <w:r>
        <w:t xml:space="preserve">control pipeline was used to triage possible errors rather than exhaustively reviewing all the</w:t>
      </w:r>
      <w:r>
        <w:t xml:space="preserve"> </w:t>
      </w:r>
      <w:r>
        <w:t xml:space="preserve">pseudolabels (Table </w:t>
      </w:r>
      <w:hyperlink w:anchor="tab:ribqc">
        <w:r>
          <w:rPr>
            <w:rStyle w:val="Hyperlink"/>
          </w:rPr>
          <w:t xml:space="preserve">3</w:t>
        </w:r>
      </w:hyperlink>
      <w:r>
        <w:t xml:space="preserve">). Two label-based checks gated the triage: a rib bone</w:t>
      </w:r>
      <w:r>
        <w:t xml:space="preserve"> </w:t>
      </w:r>
      <w:r>
        <w:t xml:space="preserve">carrying two identifiers, and a rib that never reaches the spine. They selected 152 records;</w:t>
      </w:r>
      <w:r>
        <w:t xml:space="preserve"> </w:t>
      </w:r>
      <w:r>
        <w:t xml:space="preserve">148 were reviewed and corrected, and four were not and are identified in the release.</w:t>
      </w:r>
      <w:r>
        <w:t xml:space="preserve"> </w:t>
      </w:r>
      <w:r>
        <w:t xml:space="preserve">Reviewers were medical students working through  </w:t>
      </w:r>
      <w:r>
        <w:t xml:space="preserve">, trained against a</w:t>
      </w:r>
      <w:r>
        <w:t xml:space="preserve"> </w:t>
      </w:r>
      <w:r>
        <w:t xml:space="preserve">written labeling protocol, with every correction attributed to its annotator, and a save was</w:t>
      </w:r>
      <w:r>
        <w:t xml:space="preserve"> </w:t>
      </w:r>
      <w:r>
        <w:t xml:space="preserve">refused until the review checks passed. Ribs are named for the vertebra they articulate with,</w:t>
      </w:r>
      <w:r>
        <w:t xml:space="preserve"> </w:t>
      </w:r>
      <w:r>
        <w:t xml:space="preserve">so after review the remaining whole-side shifts were renumbered against the vertebrae by rule;</w:t>
      </w:r>
      <w:r>
        <w:t xml:space="preserve"> </w:t>
      </w:r>
      <w:r>
        <w:t xml:space="preserve">the release-stage incidence is therefore a consistency check on that rule, and the two earlier</w:t>
      </w:r>
      <w:r>
        <w:t xml:space="preserve"> </w:t>
      </w:r>
      <w:r>
        <w:t xml:space="preserve">stages are the independent measure of the pseudolabel and of the reviewers.</w:t>
      </w:r>
    </w:p>
    <w:bookmarkStart w:id="16" w:name="tab:ribqc"/>
    <w:p>
      <w:pPr>
        <w:pStyle w:val="TableCaption"/>
      </w:pPr>
      <w:r>
        <w:t xml:space="preserve">Rib quality control: the checks, when each ran, and what it found. Gate, blocks a</w:t>
      </w:r>
      <w:r>
        <w:t xml:space="preserve"> </w:t>
      </w:r>
      <w:r>
        <w:t xml:space="preserve">review or a release; advisory, reported only. Incidence rows: raw pseudolabel</w:t>
      </w:r>
      <w:r>
        <w:t xml:space="preserve"> </w:t>
      </w:r>
      <m:oMath>
        <m:r>
          <m:rPr>
            <m:sty m:val="p"/>
          </m:rPr>
          <m:t>→</m:t>
        </m:r>
      </m:oMath>
      <w:r>
        <w:t xml:space="preserve"> </w:t>
      </w:r>
      <w:r>
        <w:t xml:space="preserve">after student correction</w:t>
      </w:r>
      <w:r>
        <w:t xml:space="preserve"> </w:t>
      </w:r>
      <m:oMath>
        <m:r>
          <m:rPr>
            <m:sty m:val="p"/>
          </m:rPr>
          <m:t>→</m:t>
        </m:r>
      </m:oMath>
      <w:r>
        <w:t xml:space="preserve"> </w:t>
      </w:r>
      <w:r>
        <w:t xml:space="preserve">release.</w:t>
      </w:r>
    </w:p>
    <w:tbl>
      <w:tblPr>
        <w:tblStyle w:val="Table"/>
        <w:tblW w:type="pct" w:w="2550"/>
        <w:tblLayout w:type="fixed"/>
        <w:tblLook w:firstRow="1" w:lastRow="0" w:firstColumn="0" w:lastColumn="0" w:noHBand="0" w:noVBand="0" w:val="0020"/>
        <w:tblCaption w:val="Rib quality control: the checks, when each ran, and what it found. Gate, blocks a review or a release; advisory, reported only. Incidence rows: raw pseudolabel \rightarrow after student correction \rightarrow release."/>
      </w:tblPr>
      <w:tblGrid>
        <w:gridCol w:w="0"/>
        <w:gridCol w:w="1584"/>
        <w:gridCol w:w="2455"/>
      </w:tblGrid>
      <w:tr>
        <w:trPr>
          <w:tblHeader w:val="on"/>
        </w:trPr>
        <w:tc>
          <w:tcPr/>
          <w:p>
            <w:pPr>
              <w:pStyle w:val="Compact"/>
              <w:jc w:val="left"/>
            </w:pPr>
            <w:r>
              <w:t xml:space="preserve">Check</w:t>
            </w:r>
          </w:p>
        </w:tc>
        <w:tc>
          <w:tcPr/>
          <w:p>
            <w:pPr>
              <w:pStyle w:val="Compact"/>
              <w:jc w:val="left"/>
            </w:pPr>
            <w:r>
              <w:t xml:space="preserve">Stage</w:t>
            </w:r>
          </w:p>
        </w:tc>
        <w:tc>
          <w:tcPr/>
          <w:p>
            <w:pPr>
              <w:pStyle w:val="Compact"/>
              <w:jc w:val="left"/>
            </w:pPr>
            <w:r>
              <w:t xml:space="preserve">Finding</w:t>
            </w:r>
          </w:p>
        </w:tc>
      </w:tr>
      <w:tr>
        <w:tc>
          <w:tcPr/>
          <w:p>
            <w:pPr>
              <w:pStyle w:val="Compact"/>
              <w:jc w:val="left"/>
            </w:pPr>
            <w:r>
              <w:t xml:space="preserve">One bone, one number</w:t>
            </w:r>
          </w:p>
        </w:tc>
        <w:tc>
          <w:tcPr/>
          <w:p>
            <w:pPr>
              <w:pStyle w:val="Compact"/>
              <w:jc w:val="left"/>
            </w:pPr>
            <w:r>
              <w:t xml:space="preserve">triage, gate</w:t>
            </w:r>
          </w:p>
        </w:tc>
        <w:tc>
          <w:tcPr/>
          <w:p>
            <w:pPr>
              <w:pStyle w:val="Compact"/>
              <w:jc w:val="left"/>
            </w:pPr>
            <w:r>
              <w:t xml:space="preserve">584 bones, 152 records</w:t>
            </w:r>
          </w:p>
        </w:tc>
      </w:tr>
      <w:tr>
        <w:tc>
          <w:tcPr/>
          <w:p>
            <w:pPr>
              <w:pStyle w:val="Compact"/>
              <w:jc w:val="left"/>
            </w:pPr>
            <w:r>
              <w:t xml:space="preserve">Rib reaches the spine</w:t>
            </w:r>
          </w:p>
        </w:tc>
        <w:tc>
          <w:tcPr/>
          <w:p>
            <w:pPr>
              <w:pStyle w:val="Compact"/>
              <w:jc w:val="left"/>
            </w:pPr>
            <w:r>
              <w:t xml:space="preserve">triage, gate</w:t>
            </w:r>
          </w:p>
        </w:tc>
        <w:tc>
          <w:tcPr/>
          <w:p>
            <w:pPr>
              <w:pStyle w:val="Compact"/>
              <w:jc w:val="left"/>
            </w:pPr>
            <w:r>
              <w:t xml:space="preserve">in the same 152</w:t>
            </w:r>
          </w:p>
        </w:tc>
      </w:tr>
      <w:tr>
        <w:tc>
          <w:tcPr/>
          <w:p>
            <w:pPr>
              <w:pStyle w:val="Compact"/>
              <w:jc w:val="left"/>
            </w:pPr>
            <w:r>
              <w:t xml:space="preserve">One piece per number</w:t>
            </w:r>
          </w:p>
        </w:tc>
        <w:tc>
          <w:tcPr/>
          <w:p>
            <w:pPr>
              <w:pStyle w:val="Compact"/>
              <w:jc w:val="left"/>
            </w:pPr>
            <w:r>
              <w:t xml:space="preserve">triage adv.; review gate</w:t>
            </w:r>
          </w:p>
        </w:tc>
        <w:tc>
          <w:tcPr/>
          <w:p>
            <w:pPr>
              <w:pStyle w:val="Compact"/>
              <w:jc w:val="left"/>
            </w:pPr>
            <w:r>
              <w:t xml:space="preserve">clipped ribs exempt</w:t>
            </w:r>
          </w:p>
        </w:tc>
      </w:tr>
      <w:tr>
        <w:tc>
          <w:tcPr/>
          <w:p>
            <w:pPr>
              <w:pStyle w:val="Compact"/>
              <w:jc w:val="left"/>
            </w:pPr>
            <w:r>
              <w:t xml:space="preserve">Consecutive per side</w:t>
            </w:r>
          </w:p>
        </w:tc>
        <w:tc>
          <w:tcPr/>
          <w:p>
            <w:pPr>
              <w:pStyle w:val="Compact"/>
              <w:jc w:val="left"/>
            </w:pPr>
            <w:r>
              <w:t xml:space="preserve">review, gate</w:t>
            </w:r>
          </w:p>
        </w:tc>
        <w:tc>
          <w:tcPr/>
          <w:p>
            <w:pPr>
              <w:pStyle w:val="Compact"/>
              <w:jc w:val="left"/>
            </w:pPr>
            <w:r>
              <w:t xml:space="preserve">no number missing</w:t>
            </w:r>
          </w:p>
        </w:tc>
      </w:tr>
      <w:tr>
        <w:tc>
          <w:tcPr/>
          <w:p>
            <w:pPr>
              <w:pStyle w:val="Compact"/>
              <w:jc w:val="left"/>
            </w:pPr>
            <w:r>
              <w:t xml:space="preserve">Rib</w:t>
            </w:r>
            <w:r>
              <w:t xml:space="preserve"> </w:t>
            </w:r>
            <m:oMath>
              <m:r>
                <m:t>N</m:t>
              </m:r>
            </m:oMath>
            <w:r>
              <w:t xml:space="preserve"> </w:t>
            </w:r>
            <w:r>
              <w:t xml:space="preserve">on T</w:t>
            </w:r>
            <m:oMath>
              <m:r>
                <m:t>N</m:t>
              </m:r>
            </m:oMath>
          </w:p>
        </w:tc>
        <w:tc>
          <w:tcPr/>
          <w:p>
            <w:pPr>
              <w:pStyle w:val="Compact"/>
              <w:jc w:val="left"/>
            </w:pPr>
            <w:r>
              <w:t xml:space="preserve">triage adv.; review gate</w:t>
            </w:r>
          </w:p>
        </w:tc>
        <w:tc>
          <w:tcPr/>
          <w:p>
            <w:pPr>
              <w:pStyle w:val="Compact"/>
              <w:jc w:val="left"/>
            </w:pPr>
            <w:r>
              <w:t xml:space="preserve">within 10 mm, where T</w:t>
            </w:r>
            <m:oMath>
              <m:r>
                <m:t>N</m:t>
              </m:r>
            </m:oMath>
            <w:r>
              <w:t xml:space="preserve"> </w:t>
            </w:r>
            <w:r>
              <w:t xml:space="preserve">labeled</w:t>
            </w:r>
          </w:p>
        </w:tc>
      </w:tr>
      <w:tr>
        <w:tc>
          <w:tcPr/>
          <w:p>
            <w:pPr>
              <w:pStyle w:val="Compact"/>
              <w:jc w:val="left"/>
            </w:pPr>
            <w:r>
              <w:t xml:space="preserve">Spine untouched</w:t>
            </w:r>
          </w:p>
        </w:tc>
        <w:tc>
          <w:tcPr/>
          <w:p>
            <w:pPr>
              <w:pStyle w:val="Compact"/>
              <w:jc w:val="left"/>
            </w:pPr>
            <w:r>
              <w:t xml:space="preserve">review, gate</w:t>
            </w:r>
          </w:p>
        </w:tc>
        <w:tc>
          <w:tcPr/>
          <w:p>
            <w:pPr>
              <w:pStyle w:val="Compact"/>
              <w:jc w:val="left"/>
            </w:pPr>
            <w:r>
              <w:t xml:space="preserve">no vertebra altered</w:t>
            </w:r>
          </w:p>
        </w:tc>
      </w:tr>
      <w:tr>
        <w:tc>
          <w:tcPr/>
          <w:p>
            <w:pPr>
              <w:pStyle w:val="Compact"/>
              <w:jc w:val="left"/>
            </w:pPr>
            <w:r>
              <w:t xml:space="preserve">Unlabeled vertebra in view</w:t>
            </w:r>
          </w:p>
        </w:tc>
        <w:tc>
          <w:tcPr/>
          <w:p>
            <w:pPr>
              <w:pStyle w:val="Compact"/>
              <w:jc w:val="left"/>
            </w:pPr>
            <w:r>
              <w:t xml:space="preserve">triage, report</w:t>
            </w:r>
          </w:p>
        </w:tc>
        <w:tc>
          <w:tcPr/>
          <w:p>
            <w:pPr>
              <w:pStyle w:val="Compact"/>
              <w:jc w:val="left"/>
            </w:pPr>
            <w:r>
              <w:t xml:space="preserve">interior gap; rib above top label</w:t>
            </w:r>
          </w:p>
        </w:tc>
      </w:tr>
      <w:tr>
        <w:tc>
          <w:tcPr/>
          <w:p>
            <w:pPr>
              <w:pStyle w:val="Compact"/>
              <w:jc w:val="left"/>
            </w:pPr>
            <w:r>
              <w:t xml:space="preserve">Lumbar rib</w:t>
            </w:r>
            <w:r>
              <w:t xml:space="preserve"> </w:t>
            </w:r>
            <m:oMath>
              <m:r>
                <m:rPr>
                  <m:sty m:val="p"/>
                </m:rPr>
                <m:t>→</m:t>
              </m:r>
            </m:oMath>
            <w:r>
              <w:t xml:space="preserve"> </w:t>
            </w:r>
            <w:r>
              <w:t xml:space="preserve">60/61</w:t>
            </w:r>
          </w:p>
        </w:tc>
        <w:tc>
          <w:tcPr/>
          <w:p>
            <w:pPr>
              <w:pStyle w:val="Compact"/>
              <w:jc w:val="left"/>
            </w:pPr>
            <w:r>
              <w:t xml:space="preserve">post-review rule</w:t>
            </w:r>
          </w:p>
        </w:tc>
        <w:tc>
          <w:tcPr/>
          <w:p>
            <w:pPr>
              <w:pStyle w:val="Compact"/>
              <w:jc w:val="left"/>
            </w:pPr>
            <w:r>
              <w:t xml:space="preserve">16 records</w:t>
            </w:r>
          </w:p>
        </w:tc>
      </w:tr>
      <w:tr>
        <w:tc>
          <w:tcPr/>
          <w:p>
            <w:pPr>
              <w:pStyle w:val="Compact"/>
              <w:jc w:val="left"/>
            </w:pPr>
            <w:r>
              <w:t xml:space="preserve">Whole-cage shift</w:t>
            </w:r>
          </w:p>
        </w:tc>
        <w:tc>
          <w:tcPr/>
          <w:p>
            <w:pPr>
              <w:pStyle w:val="Compact"/>
              <w:jc w:val="left"/>
            </w:pPr>
            <w:r>
              <w:t xml:space="preserve">post-review rule</w:t>
            </w:r>
          </w:p>
        </w:tc>
        <w:tc>
          <w:tcPr/>
          <w:p>
            <w:pPr>
              <w:pStyle w:val="Compact"/>
              <w:jc w:val="left"/>
            </w:pPr>
            <w:r>
              <w:t xml:space="preserve">11 of 27 cases; rest decided by hand</w:t>
            </w:r>
          </w:p>
        </w:tc>
      </w:tr>
      <w:tr>
        <w:tc>
          <w:tcPr/>
          <w:p>
            <w:pPr>
              <w:pStyle w:val="Compact"/>
              <w:jc w:val="left"/>
            </w:pPr>
            <w:r>
              <w:t xml:space="preserve">Anchor, count outward</w:t>
            </w:r>
          </w:p>
        </w:tc>
        <w:tc>
          <w:tcPr/>
          <w:p>
            <w:pPr>
              <w:pStyle w:val="Compact"/>
              <w:jc w:val="left"/>
            </w:pPr>
            <w:r>
              <w:t xml:space="preserve">post-review rule</w:t>
            </w:r>
          </w:p>
        </w:tc>
        <w:tc>
          <w:tcPr/>
          <w:p>
            <w:pPr>
              <w:pStyle w:val="Compact"/>
              <w:jc w:val="left"/>
            </w:pPr>
            <w:r>
              <w:t xml:space="preserve">left checked against right</w:t>
            </w:r>
          </w:p>
        </w:tc>
      </w:tr>
      <w:tr>
        <w:tc>
          <w:tcPr/>
          <w:p>
            <w:pPr>
              <w:pStyle w:val="Compact"/>
              <w:jc w:val="left"/>
            </w:pPr>
            <w:r>
              <w:t xml:space="preserve">Geometry, ids, sides</w:t>
            </w:r>
          </w:p>
        </w:tc>
        <w:tc>
          <w:tcPr/>
          <w:p>
            <w:pPr>
              <w:pStyle w:val="Compact"/>
              <w:jc w:val="left"/>
            </w:pPr>
            <w:r>
              <w:t xml:space="preserve">release, gate</w:t>
            </w:r>
          </w:p>
        </w:tc>
        <w:tc>
          <w:tcPr/>
          <w:p>
            <w:pPr>
              <w:pStyle w:val="Compact"/>
              <w:jc w:val="left"/>
            </w:pPr>
            <w:r>
              <w:t xml:space="preserve">802/802</w:t>
            </w:r>
          </w:p>
        </w:tc>
      </w:tr>
      <w:tr>
        <w:tc>
          <w:tcPr/>
          <w:p>
            <w:pPr>
              <w:pStyle w:val="Compact"/>
              <w:jc w:val="left"/>
            </w:pPr>
            <w:r>
              <w:t xml:space="preserve">Rib–vertebra incidence</w:t>
            </w:r>
          </w:p>
        </w:tc>
        <w:tc>
          <w:tcPr/>
          <w:p>
            <w:pPr>
              <w:pStyle w:val="Compact"/>
              <w:jc w:val="left"/>
            </w:pPr>
            <w:r>
              <w:t xml:space="preserve">every stage</w:t>
            </w:r>
          </w:p>
        </w:tc>
        <w:tc>
          <w:tcPr/>
          <w:p>
            <w:pPr>
              <w:pStyle w:val="Compact"/>
              <w:jc w:val="left"/>
            </w:pPr>
            <w:r>
              <w:t xml:space="preserve">offset 3.1%</w:t>
            </w:r>
            <w:r>
              <w:t xml:space="preserve"> </w:t>
            </w:r>
            <m:oMath>
              <m:r>
                <m:rPr>
                  <m:sty m:val="p"/>
                </m:rPr>
                <m:t>→</m:t>
              </m:r>
            </m:oMath>
            <w:r>
              <w:t xml:space="preserve"> </w:t>
            </w:r>
            <w:r>
              <w:t xml:space="preserve">1.9%</w:t>
            </w:r>
            <w:r>
              <w:t xml:space="preserve"> </w:t>
            </w:r>
            <m:oMath>
              <m:r>
                <m:rPr>
                  <m:sty m:val="p"/>
                </m:rPr>
                <m:t>→</m:t>
              </m:r>
            </m:oMath>
            <w:r>
              <w:t xml:space="preserve"> </w:t>
            </w:r>
            <w:r>
              <w:t xml:space="preserve">0.035%; misnumbered records 24</w:t>
            </w:r>
            <w:r>
              <w:t xml:space="preserve"> </w:t>
            </w:r>
            <m:oMath>
              <m:r>
                <m:rPr>
                  <m:sty m:val="p"/>
                </m:rPr>
                <m:t>→</m:t>
              </m:r>
            </m:oMath>
            <w:r>
              <w:t xml:space="preserve"> </w:t>
            </w:r>
            <w:r>
              <w:t xml:space="preserve">16</w:t>
            </w:r>
            <w:r>
              <w:t xml:space="preserve"> </w:t>
            </w:r>
            <m:oMath>
              <m:r>
                <m:rPr>
                  <m:sty m:val="p"/>
                </m:rPr>
                <m:t>→</m:t>
              </m:r>
            </m:oMath>
            <w:r>
              <w:t xml:space="preserve"> </w:t>
            </w:r>
            <w:r>
              <w:t xml:space="preserve">0; evaluable 5</w:t>
            </w:r>
            <w:r>
              <w:t xml:space="preserve">,</w:t>
            </w:r>
            <w:r>
              <w:t xml:space="preserve">560 / 5</w:t>
            </w:r>
            <w:r>
              <w:t xml:space="preserve">,</w:t>
            </w:r>
            <w:r>
              <w:t xml:space="preserve">670 / 5</w:t>
            </w:r>
            <w:r>
              <w:t xml:space="preserve">,</w:t>
            </w:r>
            <w:r>
              <w:t xml:space="preserve">749</w:t>
            </w:r>
          </w:p>
        </w:tc>
      </w:tr>
      <w:tr>
        <w:tc>
          <w:tcPr/>
          <w:p>
            <w:pPr>
              <w:pStyle w:val="Compact"/>
              <w:jc w:val="left"/>
            </w:pPr>
            <w:r>
              <w:t xml:space="preserve">Physiological envelope</w:t>
            </w:r>
          </w:p>
        </w:tc>
        <w:tc>
          <w:tcPr/>
          <w:p>
            <w:pPr>
              <w:pStyle w:val="Compact"/>
              <w:jc w:val="left"/>
            </w:pPr>
            <w:r>
              <w:t xml:space="preserve">release, report</w:t>
            </w:r>
          </w:p>
        </w:tc>
        <w:tc>
          <w:tcPr/>
          <w:p>
            <w:pPr>
              <w:pStyle w:val="Compact"/>
              <w:jc w:val="left"/>
            </w:pPr>
            <w:r>
              <w:t xml:space="preserve">391 of</w:t>
            </w:r>
            <w:r>
              <w:t xml:space="preserve"> </w:t>
            </w:r>
            <m:oMath>
              <m:r>
                <m:rPr>
                  <m:sty m:val="p"/>
                </m:rPr>
                <m:t>∼</m:t>
              </m:r>
            </m:oMath>
            <w:r>
              <w:t xml:space="preserve">75</w:t>
            </w:r>
            <w:r>
              <w:t xml:space="preserve">,</w:t>
            </w:r>
            <w:r>
              <w:t xml:space="preserve">000 values</w:t>
            </w:r>
          </w:p>
        </w:tc>
      </w:tr>
    </w:tbl>
    <w:bookmarkEnd w:id="16"/>
    <w:bookmarkEnd w:id="17"/>
    <w:bookmarkStart w:id="22"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1" w:name="fig:anchors"/>
    <w:p>
      <w:pPr>
        <w:pStyle w:val="CaptionedFigure"/>
      </w:pPr>
      <w:r>
        <w:drawing>
          <wp:inline>
            <wp:extent cx="5334000" cy="1345176"/>
            <wp:effectExtent b="0" l="0" r="0" t="0"/>
            <wp:docPr descr="" title="" id="19" name="Picture"/>
            <a:graphic>
              <a:graphicData uri="http://schemas.openxmlformats.org/drawingml/2006/picture">
                <pic:pic>
                  <pic:nvPicPr>
                    <pic:cNvPr descr="figures/fig_anchors.pdf" id="20" name="Picture"/>
                    <pic:cNvPicPr>
                      <a:picLocks noChangeArrowheads="1" noChangeAspect="1"/>
                    </pic:cNvPicPr>
                  </pic:nvPicPr>
                  <pic:blipFill>
                    <a:blip r:embed="rId18"/>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1"/>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2"/>
    <w:bookmarkStart w:id="26"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3">
        <w:r>
          <w:rPr>
            <w:rStyle w:val="Hyperlink"/>
          </w:rPr>
          <w:t xml:space="preserve">https://huggingface.co/OpenSpineConsortium/spinopelvic-seg-checkpoints</w:t>
        </w:r>
      </w:hyperlink>
      <w:r>
        <w:t xml:space="preserve">, trained with</w:t>
      </w:r>
      <w:r>
        <w:t xml:space="preserve"> </w:t>
      </w:r>
      <w:hyperlink r:id="rId24">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5">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6"/>
    <w:bookmarkStart w:id="27"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7"/>
    <w:bookmarkStart w:id="29"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8"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8"/>
    <w:bookmarkEnd w:id="29"/>
    <w:bookmarkStart w:id="37"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30"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1"/>
    <w:bookmarkStart w:id="36"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5" w:name="fig:hardware"/>
    <w:p>
      <w:pPr>
        <w:pStyle w:val="CaptionedFigure"/>
      </w:pPr>
      <w:r>
        <w:drawing>
          <wp:inline>
            <wp:extent cx="5334000" cy="1144542"/>
            <wp:effectExtent b="0" l="0" r="0" t="0"/>
            <wp:docPr descr="" title="" id="33" name="Picture"/>
            <a:graphic>
              <a:graphicData uri="http://schemas.openxmlformats.org/drawingml/2006/picture">
                <pic:pic>
                  <pic:nvPicPr>
                    <pic:cNvPr descr="figures/fig_hardware.pdf" id="34" name="Picture"/>
                    <pic:cNvPicPr>
                      <a:picLocks noChangeArrowheads="1" noChangeAspect="1"/>
                    </pic:cNvPicPr>
                  </pic:nvPicPr>
                  <pic:blipFill>
                    <a:blip r:embed="rId32"/>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5"/>
    <w:bookmarkEnd w:id="36"/>
    <w:bookmarkEnd w:id="37"/>
    <w:bookmarkEnd w:id="38"/>
    <w:bookmarkStart w:id="40"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9"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9"/>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40"/>
    <w:bookmarkStart w:id="45"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4</w:t>
        </w:r>
      </w:hyperlink>
      <w:r>
        <w:t xml:space="preserve"> </w:t>
      </w:r>
      <w:r>
        <w:t xml:space="preserve">places against two series.</w:t>
      </w:r>
    </w:p>
    <w:bookmarkStart w:id="44" w:name="fig:validation"/>
    <w:p>
      <w:pPr>
        <w:pStyle w:val="CaptionedFigure"/>
      </w:pPr>
      <w:r>
        <w:drawing>
          <wp:inline>
            <wp:extent cx="5334000" cy="1104674"/>
            <wp:effectExtent b="0" l="0" r="0" t="0"/>
            <wp:docPr descr="" title="" id="42" name="Picture"/>
            <a:graphic>
              <a:graphicData uri="http://schemas.openxmlformats.org/drawingml/2006/picture">
                <pic:pic>
                  <pic:nvPicPr>
                    <pic:cNvPr descr="figures/fig_validation.pdf" id="43" name="Picture"/>
                    <pic:cNvPicPr>
                      <a:picLocks noChangeArrowheads="1" noChangeAspect="1"/>
                    </pic:cNvPicPr>
                  </pic:nvPicPr>
                  <pic:blipFill>
                    <a:blip r:embed="rId41"/>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4"/>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5"/>
    <w:bookmarkStart w:id="56"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5"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9" w:name="fig:levelatlas"/>
    <w:p>
      <w:pPr>
        <w:pStyle w:val="CaptionedFigure"/>
      </w:pPr>
      <w:r>
        <w:drawing>
          <wp:inline>
            <wp:extent cx="5334000" cy="1190055"/>
            <wp:effectExtent b="0" l="0" r="0" t="0"/>
            <wp:docPr descr="" title="" id="47" name="Picture"/>
            <a:graphic>
              <a:graphicData uri="http://schemas.openxmlformats.org/drawingml/2006/picture">
                <pic:pic>
                  <pic:nvPicPr>
                    <pic:cNvPr descr="figures/fig_levelatlas.pdf" id="48" name="Picture"/>
                    <pic:cNvPicPr>
                      <a:picLocks noChangeArrowheads="1" noChangeAspect="1"/>
                    </pic:cNvPicPr>
                  </pic:nvPicPr>
                  <pic:blipFill>
                    <a:blip r:embed="rId46"/>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9"/>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3" w:name="fig:fov"/>
    <w:p>
      <w:pPr>
        <w:pStyle w:val="CaptionedFigure"/>
      </w:pPr>
      <w:r>
        <w:drawing>
          <wp:inline>
            <wp:extent cx="2895600" cy="927100"/>
            <wp:effectExtent b="0" l="0" r="0" t="0"/>
            <wp:docPr descr="" title="" id="51" name="Picture"/>
            <a:graphic>
              <a:graphicData uri="http://schemas.openxmlformats.org/drawingml/2006/picture">
                <pic:pic>
                  <pic:nvPicPr>
                    <pic:cNvPr descr="figures/fig_fov.pdf" id="52" name="Picture"/>
                    <pic:cNvPicPr>
                      <a:picLocks noChangeArrowheads="1" noChangeAspect="1"/>
                    </pic:cNvPicPr>
                  </pic:nvPicPr>
                  <pic:blipFill>
                    <a:blip r:embed="rId50"/>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3"/>
    <w:p>
      <w:pPr>
        <w:pStyle w:val="BodyText"/>
      </w:pPr>
      <w:r>
        <w:rPr>
          <w:i/>
          <w:iCs/>
        </w:rPr>
        <w:t xml:space="preserve">Limitations: coverage and cohort.</w:t>
      </w:r>
      <w:bookmarkStart w:id="54" w:name="sec:limitations"/>
      <w:bookmarkEnd w:id="54"/>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5"/>
    <w:bookmarkEnd w:id="56"/>
    <w:bookmarkStart w:id="57"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7"/>
    <w:bookmarkStart w:id="58"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8"/>
    <w:bookmarkStart w:id="61"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9">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60">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5">
        <w:r>
          <w:rPr>
            <w:rStyle w:val="Hyperlink"/>
          </w:rPr>
          <w:t xml:space="preserve">https://github.com/OpenSpineConsortium/OpenSpineToolkit</w:t>
        </w:r>
      </w:hyperlink>
      <w:r>
        <w:t xml:space="preserve">.</w:t>
      </w:r>
    </w:p>
    <w:bookmarkEnd w:id="61"/>
    <w:bookmarkStart w:id="62"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2"/>
    <w:bookmarkStart w:id="63" w:name="conflict-of-interest"/>
    <w:p>
      <w:pPr>
        <w:pStyle w:val="Heading1"/>
      </w:pPr>
      <w:r>
        <w:t xml:space="preserve">Conflict of Interest</w:t>
      </w:r>
    </w:p>
    <w:p>
      <w:pPr>
        <w:pStyle w:val="FirstParagraph"/>
      </w:pPr>
      <w:r>
        <w:t xml:space="preserve">The authors have no relevant conflicts of interest to disclose.</w:t>
      </w:r>
    </w:p>
    <w:bookmarkEnd w:id="63"/>
    <w:bookmarkStart w:id="67"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4">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5">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6">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7"/>
    <w:bookmarkStart w:id="68"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50" Target="media/rId50.pdf" /><Relationship Type="http://schemas.openxmlformats.org/officeDocument/2006/relationships/image" Id="rId32" Target="media/rId32.pdf" /><Relationship Type="http://schemas.openxmlformats.org/officeDocument/2006/relationships/image" Id="rId46" Target="media/rId46.pdf" /><Relationship Type="http://schemas.openxmlformats.org/officeDocument/2006/relationships/image" Id="rId41" Target="media/rId41.pdf" /><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2026-09-13T16:36:07Z</dcterms:created>
  <dcterms:modified xsi:type="dcterms:W3CDTF">2026-09-13T16:36:07Z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