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df" ContentType="application/pdf"/>
  <Override PartName="/word/media/rId50.pdf" ContentType="application/pdf"/>
  <Override PartName="/word/media/rId32.pdf" ContentType="application/pdf"/>
  <Override PartName="/word/media/rId46.pdf" ContentType="application/pdf"/>
  <Override PartName="/word/media/rId4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The gold standard for naming a vertebra at the lumbosacral junction is counting caudally from C2 on whole-spine imaging. In practice, a lumbar surgical case is planned on lumbar-only imaging (T12 to S1) without C2, making the gold standard method impossible.</w:t>
      </w:r>
      <w:r>
        <w:t xml:space="preserve"> </w:t>
      </w:r>
      <w:r>
        <w:t xml:space="preserve">Abdominopelvic computed tomography (CT) holds the lumbar-only imaging span plus the lowest ribs and pelvis,</w:t>
      </w:r>
      <w:r>
        <w:t xml:space="preserve"> </w:t>
      </w:r>
      <w:r>
        <w:t xml:space="preserve">making it a reasonable substitute for the preoperative view. When a</w:t>
      </w:r>
      <w:r>
        <w:t xml:space="preserve"> </w:t>
      </w:r>
      <w:r>
        <w:t xml:space="preserve">lumbosacral transitional vertebra (LSTV) alters the count, however, the local anatomy is much more ambiguous. A person who has four rib-free lumbar vertebrae may have an L1 with a lumbar rib or an</w:t>
      </w:r>
      <w:r>
        <w:t xml:space="preserve"> </w:t>
      </w:r>
      <w:r>
        <w:t xml:space="preserve">L5 assimilated to the sacrum, and a person who has six rib-free lumbar vertebrae may have an L6, a T12 with aplastic</w:t>
      </w:r>
      <w:r>
        <w:t xml:space="preserve"> </w:t>
      </w:r>
      <w:r>
        <w:t xml:space="preserve">ribs, or a lumbarized S1. CTSpinoPelvic1K permits asking whether local morphology</w:t>
      </w:r>
      <w:r>
        <w:t xml:space="preserve"> </w:t>
      </w:r>
      <w:r>
        <w:t xml:space="preserve">can resolve that ambiguity without counting caudally from C2. Two public label sets already covered this imaging, CTSpine1K’s vertebrae and CTPelvic1K’s pelvis, on the same colonography</w:t>
      </w:r>
      <w:r>
        <w:t xml:space="preserve"> </w:t>
      </w:r>
      <w:r>
        <w:t xml:space="preserve">patients. This release joins them in one dataset of 802 CT records and adds ribs, femora and surgical hardware. It also introduces classes for L6, T13</w:t>
      </w:r>
      <w:r>
        <w:t xml:space="preserve"> </w:t>
      </w:r>
      <w:r>
        <w:t xml:space="preserve">and lumbar ribs, a class vocabulary that describes more of the anomalies at this junction than any existing public CT collection.</w:t>
      </w:r>
    </w:p>
    <w:p>
      <w:pPr>
        <w:pStyle w:val="Abstract"/>
      </w:pPr>
      <w:r>
        <w:rPr>
          <w:b/>
          <w:bCs/>
        </w:rPr>
        <w:t xml:space="preserve">Acquisition and Validation Methods:</w:t>
      </w:r>
      <w:r>
        <w:t xml:space="preserve"> </w:t>
      </w:r>
      <w:r>
        <w:t xml:space="preserve">Records pair CTSpine1K and CTPelvic1K masks on each patient’s bone-richest TCIA acquisition, and the release carries the series keys that map every mask to its volume.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imaging-based prevalence of anatomical variants in an asymptomatic cohort; and spinopelvic biomechanical modelling from patient-matched prone and supine acquisitions.</w:t>
      </w:r>
      <w:r>
        <w:t xml:space="preserve"> </w:t>
      </w:r>
      <w:r>
        <w:rPr>
          <w:i/>
          <w:iCs/>
        </w:rPr>
        <w:t xml:space="preserve">Limitations:</w:t>
      </w:r>
      <w:r>
        <w:t xml:space="preserve"> </w:t>
      </w:r>
      <w:r>
        <w:t xml:space="preserve">thoracic ground truth is field-of-view limited; postural</w:t>
      </w:r>
      <w:r>
        <w:t xml:space="preserve"> </w:t>
      </w:r>
      <w:r>
        <w:t xml:space="preserve">angles are non-standing;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typically has seven cervical, twelve thoracic, and five lumbar vertebrae. A</w:t>
      </w:r>
      <w:r>
        <w:t xml:space="preserve"> </w:t>
      </w:r>
      <w:r>
        <w:t xml:space="preserve">vertebra is classified by where it falls in that sequence. Transitional variants sit at the</w:t>
      </w:r>
      <w:r>
        <w:t xml:space="preserve"> </w:t>
      </w:r>
      <w:r>
        <w:t xml:space="preserve">two ends of the lumbar column, with the thoracolumbar transitional vertebra (TLTV) above and the</w:t>
      </w:r>
      <w:r>
        <w:t xml:space="preserve"> </w:t>
      </w:r>
      <w:r>
        <w:t xml:space="preserve">lumbosacral transitional vertebra (LSTV) below. Both transitional variants disturb identification by changing what the border vertebra</w:t>
      </w:r>
      <w:r>
        <w:t xml:space="preserve"> </w:t>
      </w:r>
      <w:r>
        <w:t xml:space="preserve">and its ribs</w:t>
      </w:r>
      <w:r>
        <w:t xml:space="preserve"> </w:t>
      </w:r>
      <w:r>
        <w:rPr>
          <w:i/>
          <w:iCs/>
        </w:rPr>
        <w:t xml:space="preserve">look like</w:t>
      </w:r>
      <w:r>
        <w:t xml:space="preserve">. For example,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separated from it (</w:t>
      </w:r>
      <w:r>
        <w:rPr>
          <w:i/>
          <w:iCs/>
        </w:rPr>
        <w:t xml:space="preserve">lumbarization</w:t>
      </w:r>
      <w:r>
        <w:t xml:space="preserve">), with a</w:t>
      </w:r>
      <w:r>
        <w:t xml:space="preserve"> </w:t>
      </w:r>
      <w:r>
        <w:t xml:space="preserve">squared body, lumbar-type facets and a full-height disc </w:t>
      </w:r>
      <w:r>
        <w:t xml:space="preserve">. In addition, they</w:t>
      </w:r>
      <w:r>
        <w:t xml:space="preserve"> </w:t>
      </w:r>
      <w:r>
        <w:t xml:space="preserve">change how many vertebrae each region holds: eleven or thirteen rib-bearing thoracic and four or six rib-free lumbar vertebrae.</w:t>
      </w:r>
    </w:p>
    <w:p>
      <w:pPr>
        <w:pStyle w:val="BodyText"/>
      </w:pPr>
      <w:r>
        <w:t xml:space="preserve">Together, these transitional variants leave the vertebra at each border without a definitive name. The one formal nomenclature at the lumbosacral junction, Castellvi’s, grades the morphology of the transverse process and says nothing about whether the segment is L5 or S1 </w:t>
      </w:r>
      <w:r>
        <w:t xml:space="preserve">; every imaging landmark proposed for numbering has proved unreliable in transitional cases </w:t>
      </w:r>
      <w:r>
        <w:t xml:space="preserve">; and even a count from C2 yields a position, which a convention then converts to a name. Each of the readings above yields the same count (Fig. </w:t>
      </w:r>
      <w:hyperlink w:anchor="fig:anchors">
        <w:r>
          <w:rPr>
            <w:rStyle w:val="Hyperlink"/>
          </w:rPr>
          <w:t xml:space="preserve">2</w:t>
        </w:r>
      </w:hyperlink>
      <w:r>
        <w:t xml:space="preserve">), and the morphology that would</w:t>
      </w:r>
      <w:r>
        <w:t xml:space="preserve"> </w:t>
      </w:r>
      <w:r>
        <w:t xml:space="preserve">separate them is not always decisive to human readers. Whether it differs</w:t>
      </w:r>
      <w:r>
        <w:t xml:space="preserve"> </w:t>
      </w:r>
      <w:r>
        <w:t xml:space="preserve">enough for a trained classifier to separate them, or at least to assign each reading a probable classification,</w:t>
      </w:r>
      <w:r>
        <w:t xml:space="preserve"> </w:t>
      </w:r>
      <w:r>
        <w:t xml:space="preserve">is the question this release aims to answer. The gold standard for numeration in</w:t>
      </w:r>
      <w:r>
        <w:t xml:space="preserve"> </w:t>
      </w:r>
      <w:r>
        <w:t xml:space="preserve">transitional anatomy is whole-spine imaging, counting caudally from C2 </w:t>
      </w:r>
      <w:r>
        <w:t xml:space="preserve">,</w:t>
      </w:r>
      <w:r>
        <w:t xml:space="preserve"> </w:t>
      </w:r>
      <w:r>
        <w:t xml:space="preserve">which determines how many vertebrae and how many rib pairs the column holds.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Prior spine datasets omit the pelvis and pelvic datasets do not number</w:t>
      </w:r>
      <w:r>
        <w:t xml:space="preserve"> </w:t>
      </w:r>
      <w:r>
        <w:t xml:space="preserve">the vertebrae. TotalSegmentator </w:t>
      </w:r>
      <w:r>
        <w:t xml:space="preserve"> </w:t>
      </w:r>
      <w:r>
        <w:t xml:space="preserve">has no class for a sixth lumbar vertebra or for a rib on a</w:t>
      </w:r>
      <w:r>
        <w:t xml:space="preserve"> </w:t>
      </w:r>
      <w:r>
        <w:t xml:space="preserve">lumbar vertebra, and VerSe </w:t>
      </w:r>
      <w:r>
        <w:t xml:space="preserve">, the one collection with an L6 class, stops at the sacrum and</w:t>
      </w:r>
      <w:r>
        <w:t xml:space="preserve"> </w:t>
      </w:r>
      <w:r>
        <w:t xml:space="preserve">carries no ribs. As such, none of these collections can record a spine with six lumbar vertebrae together with both of its</w:t>
      </w:r>
      <w:r>
        <w:t xml:space="preserve"> </w:t>
      </w:r>
      <w:r>
        <w:t xml:space="preserve">borders, and a segmenter trained on them must shift the</w:t>
      </w:r>
      <w:r>
        <w:t xml:space="preserve"> </w:t>
      </w:r>
      <w:r>
        <w:t xml:space="preserve">whole column by a level or absorb a vertebra into its neighbor when it encounters an enumeration anomaly. This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When considering the intraoperative side, LevelCheck registers the intraoperative</w:t>
      </w:r>
      <w:r>
        <w:t xml:space="preserve"> </w:t>
      </w:r>
      <w:r>
        <w:t xml:space="preserve">radiograph to the preoperative CT and projects the CT’s vertebral labels onto</w:t>
      </w:r>
      <w:r>
        <w:t xml:space="preserve"> </w:t>
      </w:r>
      <w:r>
        <w:t xml:space="preserve">it </w:t>
      </w:r>
      <w:r>
        <w:t xml:space="preserve">. Those labels, however, are placed by hand and verified by</w:t>
      </w:r>
      <w:r>
        <w:t xml:space="preserve"> </w:t>
      </w:r>
      <w:r>
        <w:t xml:space="preserve">the surgeon </w:t>
      </w:r>
      <w:r>
        <w:t xml:space="preserve">, so the method assumes a correctly labeled CT and does not supply</w:t>
      </w:r>
      <w:r>
        <w:t xml:space="preserve"> </w:t>
      </w:r>
      <w:r>
        <w:t xml:space="preserve">one itself. As such, a dataset carrying the anomaly classes is vital for automating that step.</w:t>
      </w:r>
    </w:p>
    <w:p>
      <w:pPr>
        <w:pStyle w:val="BodyText"/>
      </w:pPr>
      <w:r>
        <w:t xml:space="preserve">CTSpinoPelvic1K places the spine, pelvis, ribs and femora in one coordinate frame and classifies each structure an enumeration anomaly produces, including a sixth lumbar vertebra and lumbar ribs. A scheme without those classes is unable to adequately describe anatomic anomalies.</w:t>
      </w:r>
    </w:p>
    <w:p>
      <w:pPr>
        <w:pStyle w:val="BodyText"/>
      </w:pPr>
      <w:r>
        <w:t xml:space="preserve">The project began with the question whether a vertebra can be named from the anatomy on the images a lumbar surgical case is actually planned on. By guideline those images are lumbar-only </w:t>
      </w:r>
      <w:r>
        <w:t xml:space="preserve"> </w:t>
      </w:r>
      <w:r>
        <w:t xml:space="preserve">and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from the diaphragm to the pelvic floor, so it captures</w:t>
      </w:r>
      <w:r>
        <w:t xml:space="preserve"> </w:t>
      </w:r>
      <w:r>
        <w:t xml:space="preserve">that span with the lowest ribs and the whole pelvis, while lacking C2.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 for this study fixed, scanner effects on a model become measurable rather than confounded. The downside is the restriction to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 </w:t>
      </w:r>
      <w:r>
        <w:t xml:space="preserve">each annotated the COLONOG</w:t>
      </w:r>
      <w:r>
        <w:t xml:space="preserve"> </w:t>
      </w:r>
      <w:r>
        <w:t xml:space="preserve">collection under radiologist supervision for the same patients, with one annotating the pelvis and the other annotating the vertebrae. The two had remained separate, although joining them needs no new imaging and no new radiologist. It was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merge yielded a combined spine-and-pelvis frame</w:t>
      </w:r>
      <w:r>
        <w:t xml:space="preserve"> </w:t>
      </w:r>
      <w:r>
        <w:t xml:space="preserve">for 802 patients, and the bones neither set had, ribs, femora and hardware, could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dataset contains C2, so the gold standard</w:t>
      </w:r>
      <w:r>
        <w:t xml:space="preserve"> </w:t>
      </w:r>
      <w:r>
        <w:t xml:space="preserve">conventional count cannot be performed. This is a property of abdominal imaging rather than of the</w:t>
      </w:r>
      <w:r>
        <w:t xml:space="preserve"> </w:t>
      </w:r>
      <w:r>
        <w:t xml:space="preserve">annotation itself. A thirteenth thoracic vertebra and an L1 with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vertebra positioned above five lumbar vertebrae, so the column has 25 presacral vertebrae. The second</w:t>
      </w:r>
      <w:r>
        <w:t xml:space="preserve"> </w:t>
      </w:r>
      <w:r>
        <w:t xml:space="preserve">is a rudimentary rib on a lumbar-type L1 in a column with the standard 24 presacral vertebrae. Neither is separable by counting from the last rib-bearing vertebra or from the sacrum because four rib-free vertebrae can fit a lumbar rib, a cranially</w:t>
      </w:r>
      <w:r>
        <w:t xml:space="preserve"> </w:t>
      </w:r>
      <w:r>
        <w:t xml:space="preserve">shifted T13 or an L5 assimilated to the sacrum, and six rib-free vertebrae can fit an aplastic twelfth rib or a</w:t>
      </w:r>
      <w:r>
        <w:t xml:space="preserve"> </w:t>
      </w:r>
      <w:r>
        <w:t xml:space="preserve">sixth lumbar vertebra. A</w:t>
      </w:r>
      <w:r>
        <w:t xml:space="preserve"> </w:t>
      </w:r>
      <w:r>
        <w:rPr>
          <w:i/>
          <w:iCs/>
        </w:rPr>
        <w:t xml:space="preserve">stump rib</w:t>
      </w:r>
      <w:r>
        <w:t xml:space="preserve"> </w:t>
      </w:r>
      <w:r>
        <w:t xml:space="preserve">is a hypoplastic rib that is a key indicator of a</w:t>
      </w:r>
      <w:r>
        <w:t xml:space="preserve"> </w:t>
      </w:r>
      <w:r>
        <w:t xml:space="preserve">thoracolumbar transitional vertebra. On whole-spine CT scans, rib anomalies travel with the lumbosacral border and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as the ground truth, corrected where the source was wrong. In addition, every released measurement is expressed against the two landmarks</w:t>
      </w:r>
      <w:r>
        <w:t xml:space="preserve"> </w:t>
      </w:r>
      <w:r>
        <w:t xml:space="preserve">present in essentially every abdominal CT scan: the sacrum inferiorly and the lowest rib-bearing</w:t>
      </w:r>
      <w:r>
        <w:t xml:space="preserve"> </w:t>
      </w:r>
      <w:r>
        <w:t xml:space="preserve">vertebra superiorly. This makes the measurements positional rather than nominal, with a vertebra being classified by how many rib-free</w:t>
      </w:r>
      <w:r>
        <w:t xml:space="preserve"> </w:t>
      </w:r>
      <w:r>
        <w:t xml:space="preserve">vertebrae separate it from the sacrum, a lowest rib by its length as a fraction of the rib</w:t>
      </w:r>
      <w:r>
        <w:t xml:space="preserve"> </w:t>
      </w:r>
      <w:r>
        <w:t xml:space="preserve">above it, and a transverse process by its span and its distance from the ala. None of these</w:t>
      </w:r>
      <w:r>
        <w:t xml:space="preserve"> </w:t>
      </w:r>
      <w:r>
        <w:t xml:space="preserve">values shift with the name a reader gives the junction, meaning that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in the literature: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the</w:t>
      </w:r>
      <w:r>
        <w:t xml:space="preserve"> </w:t>
      </w:r>
      <w:r>
        <w:t xml:space="preserve">phenotype is decidable locally, and on this dataset it is. Separating T12 from L1 on shape</w:t>
      </w:r>
      <w:r>
        <w:t xml:space="preserve"> </w:t>
      </w:r>
      <w:r>
        <w:t xml:space="preserve">alone gives an area under the curve of 0.990 and 97.3% accuracy over 1485 vertebrae. This was calculated using a</w:t>
      </w:r>
      <w:r>
        <w:t xml:space="preserve"> </w:t>
      </w:r>
      <w:r>
        <w:t xml:space="preserve">logistic regression on five released per-level measures and six ratios between them. Each</w:t>
      </w:r>
      <w:r>
        <w:t xml:space="preserve"> </w:t>
      </w:r>
      <w:r>
        <w:t xml:space="preserve">measure was divided by the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8"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CTSpine1K’s 1</w:t>
      </w:r>
      <w:r>
        <w:t xml:space="preserve">,</w:t>
      </w:r>
      <w:r>
        <w:t xml:space="preserve">005 volumes and CTPelvic1K’s 1</w:t>
      </w:r>
      <w:r>
        <w:t xml:space="preserve">,</w:t>
      </w:r>
      <w:r>
        <w:t xml:space="preserve">184 come from four and seven collections of</w:t>
      </w:r>
      <w:r>
        <w:t xml:space="preserve"> </w:t>
      </w:r>
      <w:r>
        <w:t xml:space="preserve">CT obtained for different indications. Only the Cancer Imaging Archive (TCIA) CT colonography</w:t>
      </w:r>
      <w:r>
        <w:t xml:space="preserve"> </w:t>
      </w:r>
      <w:r>
        <w:t xml:space="preserve">collection (COLONOG) </w:t>
      </w:r>
      <w:r>
        <w:t xml:space="preserve"> </w:t>
      </w:r>
      <w:r>
        <w:t xml:space="preserve">is common to both, and it is the largest in each: a</w:t>
      </w:r>
      <w:r>
        <w:t xml:space="preserve"> </w:t>
      </w:r>
      <w:r>
        <w:t xml:space="preserve">subset of a prospective screening trial of asymptomatic patients aged fifty and over, acquired</w:t>
      </w:r>
      <w:r>
        <w:t xml:space="preserve"> </w:t>
      </w:r>
      <w:r>
        <w:t xml:space="preserve">under one protocol. Every COLONOG patient was scanned prone and supine at a minimum, with 12</w:t>
      </w:r>
      <w:r>
        <w:t xml:space="preserve"> </w:t>
      </w:r>
      <w:r>
        <w:t xml:space="preserve">exceptions among the 825 patients the sources drew on. CTSpine1K states that one position was</w:t>
      </w:r>
      <w:r>
        <w:t xml:space="preserve"> </w:t>
      </w:r>
      <w:r>
        <w:t xml:space="preserve">chosen at random by a released script; that script, since deleted but preserved in the</w:t>
      </w:r>
      <w:r>
        <w:t xml:space="preserve"> </w:t>
      </w:r>
      <w:r>
        <w:t xml:space="preserve">repository’s history, writes every series holding twelve or more files to the same filename,</w:t>
      </w:r>
      <w:r>
        <w:t xml:space="preserve"> </w:t>
      </w:r>
      <w:r>
        <w:t xml:space="preserve">so the volume retained is whichever series the directory walk reached last. No code was</w:t>
      </w:r>
      <w:r>
        <w:t xml:space="preserve"> </w:t>
      </w:r>
      <w:r>
        <w:t xml:space="preserve">released with CTPelvic1K. Consistent with two independent choices, the sources annotated the</w:t>
      </w:r>
      <w:r>
        <w:t xml:space="preserve"> </w:t>
      </w:r>
      <w:r>
        <w:t xml:space="preserve">same series for 342 of the 693 patients both annotated (49.4%), and the released records mix</w:t>
      </w:r>
      <w:r>
        <w:t xml:space="preserve"> </w:t>
      </w:r>
      <w:r>
        <w:t xml:space="preserve">positions and reconstructions accordingly: 422 supine, 377 prone, three decubitus; 562 at</w:t>
      </w:r>
      <w:r>
        <w:t xml:space="preserve"> </w:t>
      </w:r>
      <w:r>
        <w:t xml:space="preserve">1.0 mm, 232 at 1.25 mm and eight at other slice thicknesses.</w:t>
      </w:r>
    </w:p>
    <w:p>
      <w:pPr>
        <w:pStyle w:val="BodyText"/>
      </w:pPr>
      <w:r>
        <w:t xml:space="preserve">Recovering the archived series each annotation was drawn on is nontrivial because the DICOM</w:t>
      </w:r>
      <w:r>
        <w:t xml:space="preserve"> </w:t>
      </w:r>
      <w:r>
        <w:t xml:space="preserve">attributes that identify an acquisition, the patient, study and series instance identifiers</w:t>
      </w:r>
      <w:r>
        <w:t xml:space="preserve"> </w:t>
      </w:r>
      <w:r>
        <w:t xml:space="preserve">and the patient position,</w:t>
      </w:r>
      <w:r>
        <w:t xml:space="preserve"> </w:t>
      </w:r>
      <w:r>
        <w:t xml:space="preserve">have no counterpart in the NIfTI-1</w:t>
      </w:r>
      <w:r>
        <w:t xml:space="preserve"> </w:t>
      </w:r>
      <w:r>
        <w:t xml:space="preserve">header</w:t>
      </w:r>
      <w:r>
        <w:t xml:space="preserve"> </w:t>
      </w:r>
      <w:r>
        <w:t xml:space="preserve">and are discarded on conversion.</w:t>
      </w:r>
      <w:r>
        <w:t xml:space="preserve"> </w:t>
      </w:r>
      <w:r>
        <w:t xml:space="preserve">CTSpine1K’s</w:t>
      </w:r>
      <w:r>
        <w:t xml:space="preserve"> </w:t>
      </w:r>
      <w:r>
        <w:rPr>
          <w:rStyle w:val="VerbatimChar"/>
        </w:rPr>
        <w:t xml:space="preserve">Path.csv</w:t>
      </w:r>
      <w:r>
        <w:t xml:space="preserve"> </w:t>
      </w:r>
      <w:r>
        <w:t xml:space="preserve">names the TCIA directory each label was converted from, but it carries no</w:t>
      </w:r>
      <w:r>
        <w:t xml:space="preserve"> </w:t>
      </w:r>
      <w:r>
        <w:t xml:space="preserve">series identifier, names no position for 217 of the 782 annotated records, and for seven</w:t>
      </w:r>
      <w:r>
        <w:t xml:space="preserve"> </w:t>
      </w:r>
      <w:r>
        <w:t xml:space="preserve">indicates an acquisition other than the one whose bone the label overlaps best.</w:t>
      </w:r>
      <w:r>
        <w:t xml:space="preserve"> </w:t>
      </w:r>
      <w:r>
        <w:t xml:space="preserve">CTPelvic1K released no imaging and encoded the mapping in its mask filenames,</w:t>
      </w:r>
      <w:r>
        <w:t xml:space="preserve"> </w:t>
      </w:r>
      <w:r>
        <w:rPr>
          <w:rStyle w:val="VerbatimChar"/>
        </w:rPr>
        <w:t xml:space="preserve">dataset2_PatientID_SeriesNumber_ undocumented_mask_4label.nii.gz</w:t>
      </w:r>
      <w:r>
        <w:t xml:space="preserve">. One of the 714 masks names a</w:t>
      </w:r>
      <w:r>
        <w:t xml:space="preserve"> </w:t>
      </w:r>
      <w:r>
        <w:t xml:space="preserve">patient with no archived series; of the other 713, the first two fields resolve 702 to the</w:t>
      </w:r>
      <w:r>
        <w:t xml:space="preserve"> </w:t>
      </w:r>
      <w:r>
        <w:t xml:space="preserve">series selected here by bone overlap, five to a</w:t>
      </w:r>
      <w:r>
        <w:t xml:space="preserve"> </w:t>
      </w:r>
      <w:r>
        <w:rPr>
          <w:rStyle w:val="VerbatimChar"/>
        </w:rPr>
        <w:t xml:space="preserve">SeriesNumber</w:t>
      </w:r>
      <w:r>
        <w:t xml:space="preserve"> </w:t>
      </w:r>
      <w:r>
        <w:t xml:space="preserve">two series share, and six</w:t>
      </w:r>
      <w:r>
        <w:t xml:space="preserve"> </w:t>
      </w:r>
      <w:r>
        <w:t xml:space="preserve">to one no series carries. The third field matches nothing, and the fourth, on 32 masks, mixes</w:t>
      </w:r>
      <w:r>
        <w:t xml:space="preserve"> </w:t>
      </w:r>
      <w:r>
        <w:t xml:space="preserve">phenotype (</w:t>
      </w:r>
      <w:r>
        <w:rPr>
          <w:rStyle w:val="VerbatimChar"/>
        </w:rPr>
        <w:t xml:space="preserve">sacralization</w:t>
      </w:r>
      <w:r>
        <w:t xml:space="preserve"> </w:t>
      </w:r>
      <w:r>
        <w:t xml:space="preserve">7,</w:t>
      </w:r>
      <w:r>
        <w:t xml:space="preserve"> </w:t>
      </w:r>
      <w:r>
        <w:rPr>
          <w:rStyle w:val="VerbatimChar"/>
        </w:rPr>
        <w:t xml:space="preserve">semisacralization</w:t>
      </w:r>
      <w:r>
        <w:t xml:space="preserve"> </w:t>
      </w:r>
      <w:r>
        <w:t xml:space="preserve">2,</w:t>
      </w:r>
      <w:r>
        <w:t xml:space="preserve"> </w:t>
      </w:r>
      <w:r>
        <w:rPr>
          <w:rStyle w:val="VerbatimChar"/>
        </w:rPr>
        <w:t xml:space="preserve">hard_sacralization</w:t>
      </w:r>
      <w:r>
        <w:t xml:space="preserve"> </w:t>
      </w:r>
      <w:r>
        <w:t xml:space="preserve">1), difficulty (</w:t>
      </w:r>
      <w:r>
        <w:rPr>
          <w:rStyle w:val="VerbatimChar"/>
        </w:rPr>
        <w:t xml:space="preserve">hard</w:t>
      </w:r>
      <w:r>
        <w:t xml:space="preserve"> </w:t>
      </w:r>
      <w:r>
        <w:t xml:space="preserve">8,</w:t>
      </w:r>
      <w:r>
        <w:t xml:space="preserve"> </w:t>
      </w:r>
      <w:r>
        <w:rPr>
          <w:rStyle w:val="VerbatimChar"/>
        </w:rPr>
        <w:t xml:space="preserve">veryhard</w:t>
      </w:r>
      <w:r>
        <w:t xml:space="preserve"> </w:t>
      </w:r>
      <w:r>
        <w:t xml:space="preserve">2), image</w:t>
      </w:r>
      <w:r>
        <w:t xml:space="preserve"> </w:t>
      </w:r>
      <w:r>
        <w:t xml:space="preserve">condition (</w:t>
      </w:r>
      <w:r>
        <w:rPr>
          <w:rStyle w:val="VerbatimChar"/>
        </w:rPr>
        <w:t xml:space="preserve">lowdose</w:t>
      </w:r>
      <w:r>
        <w:t xml:space="preserve"> </w:t>
      </w:r>
      <w:r>
        <w:t xml:space="preserve">6;</w:t>
      </w:r>
      <w:r>
        <w:t xml:space="preserve"> </w:t>
      </w:r>
      <w:r>
        <w:rPr>
          <w:rStyle w:val="VerbatimChar"/>
        </w:rPr>
        <w:t xml:space="preserve">metal</w:t>
      </w:r>
      <w:r>
        <w:t xml:space="preserve">,</w:t>
      </w:r>
      <w:r>
        <w:t xml:space="preserve"> </w:t>
      </w:r>
      <w:r>
        <w:rPr>
          <w:rStyle w:val="VerbatimChar"/>
        </w:rPr>
        <w:t xml:space="preserve">crop</w:t>
      </w:r>
      <w:r>
        <w:t xml:space="preserve">,</w:t>
      </w:r>
      <w:r>
        <w:t xml:space="preserve"> </w:t>
      </w:r>
      <w:r>
        <w:rPr>
          <w:rStyle w:val="VerbatimChar"/>
        </w:rPr>
        <w:t xml:space="preserve">IntestinalCalculus</w:t>
      </w:r>
      <w:r>
        <w:t xml:space="preserve"> </w:t>
      </w:r>
      <w:r>
        <w:t xml:space="preserve">once</w:t>
      </w:r>
      <w:r>
        <w:t xml:space="preserve"> </w:t>
      </w:r>
      <w:r>
        <w:t xml:space="preserve">each) and two unexplained tags (</w:t>
      </w:r>
      <w:r>
        <w:rPr>
          <w:rStyle w:val="VerbatimChar"/>
        </w:rPr>
        <w:t xml:space="preserve">dqjoint</w:t>
      </w:r>
      <w:r>
        <w:t xml:space="preserve"> </w:t>
      </w:r>
      <w:r>
        <w:t xml:space="preserve">2,</w:t>
      </w:r>
      <w:r>
        <w:t xml:space="preserve"> </w:t>
      </w:r>
      <w:r>
        <w:rPr>
          <w:rStyle w:val="VerbatimChar"/>
        </w:rPr>
        <w:t xml:space="preserve">ydjoint</w:t>
      </w:r>
      <w:r>
        <w:t xml:space="preserve"> </w:t>
      </w:r>
      <w:r>
        <w:t xml:space="preserve">1) in one string.</w:t>
      </w:r>
    </w:p>
    <w:p>
      <w:pPr>
        <w:pStyle w:val="BodyText"/>
      </w:pPr>
      <w:r>
        <w:t xml:space="preserve">The crosswalk (Fig. </w:t>
      </w:r>
      <w:hyperlink w:anchor="fig:pipeline">
        <w:r>
          <w:rPr>
            <w:rStyle w:val="Hyperlink"/>
          </w:rPr>
          <w:t xml:space="preserve">1</w:t>
        </w:r>
      </w:hyperlink>
      <w:r>
        <w:t xml:space="preserve">) therefore resolved every annotation, not only the</w:t>
      </w:r>
      <w:r>
        <w:t xml:space="preserve"> </w:t>
      </w:r>
      <w:r>
        <w:t xml:space="preserve">27.7% with no stated position, by thresholding each of the patient’s volumes at bone</w:t>
      </w:r>
      <w:r>
        <w:t xml:space="preserve"> </w:t>
      </w:r>
      <w:r>
        <w:t xml:space="preserve">attenuation and keeping the series the mask overlaps most; where a source did name a series,</w:t>
      </w:r>
      <w:r>
        <w:t xml:space="preserve"> </w:t>
      </w:r>
      <w:r>
        <w:t xml:space="preserve">558 of the 565 CTSpine1K records naming a position and 702 of the 713 CTPelvic1K masks naming</w:t>
      </w:r>
      <w:r>
        <w:t xml:space="preserve"> </w:t>
      </w:r>
      <w:r>
        <w:t xml:space="preserve">an archived patient agree with it. The result is 342 records whose spine and pelvic labels</w:t>
      </w:r>
      <w:r>
        <w:t xml:space="preserve"> </w:t>
      </w:r>
      <w:r>
        <w:t xml:space="preserve">land on the same series (</w:t>
      </w:r>
      <w:r>
        <w:rPr>
          <w:i/>
          <w:iCs/>
        </w:rPr>
        <w:t xml:space="preserve">fused</w:t>
      </w:r>
      <w:r>
        <w:t xml:space="preserve">), 351 whose labels land on different series of one</w:t>
      </w:r>
      <w:r>
        <w:t xml:space="preserve"> </w:t>
      </w:r>
      <w:r>
        <w:t xml:space="preserve">patient (</w:t>
      </w:r>
      <w:r>
        <w:rPr>
          <w:i/>
          <w:iCs/>
        </w:rPr>
        <w:t xml:space="preserve">separate</w:t>
      </w:r>
      <w:r>
        <w:t xml:space="preserve">), 89 with a spine label only and 20 with a pelvic label only. Turning</w:t>
      </w:r>
      <w:r>
        <w:t xml:space="preserve"> </w:t>
      </w:r>
      <w:r>
        <w:t xml:space="preserve">a patient between prone and supine alters lumbar alignment and the seating of the pelvis</w:t>
      </w:r>
      <w:r>
        <w:t xml:space="preserve"> </w:t>
      </w:r>
      <w:r>
        <w:t xml:space="preserve">against it </w:t>
      </w:r>
      <w:r>
        <w:t xml:space="preserve">, so a mask drawn on one series does not transfer rigidly to the</w:t>
      </w:r>
      <w:r>
        <w:t xml:space="preserve"> </w:t>
      </w:r>
      <w:r>
        <w:t xml:space="preserve">other, and while a patient’s two annotations lie on different scans no spinopelvic measurement</w:t>
      </w:r>
      <w:r>
        <w:t xml:space="preserve"> </w:t>
      </w:r>
      <w:r>
        <w:t xml:space="preserve">can be taken across them.</w:t>
      </w:r>
    </w:p>
    <w:bookmarkEnd w:id="13"/>
    <w:bookmarkStart w:id="15" w:name="densification-and-why-it-is-asymmetric"/>
    <w:p>
      <w:pPr>
        <w:pStyle w:val="Heading2"/>
      </w:pPr>
      <w:r>
        <w:t xml:space="preserve">Densification, and why it is asymmetric</w:t>
      </w:r>
    </w:p>
    <w:p>
      <w:pPr>
        <w:pStyle w:val="FirstParagraph"/>
      </w:pPr>
      <w:r>
        <w:t xml:space="preserve">A rigid cross-registration of each pelvic mask onto the patient’s other acquisition was</w:t>
      </w:r>
      <w:r>
        <w:t xml:space="preserve"> </w:t>
      </w:r>
      <w:r>
        <w:t xml:space="preserve">attempted, and is released in the code base, but was found wanting. The current</w:t>
      </w:r>
      <w:r>
        <w:t xml:space="preserve"> </w:t>
      </w:r>
      <w:r>
        <w:t xml:space="preserve">nnU-Net </w:t>
      </w:r>
      <w:r>
        <w:t xml:space="preserve"> </w:t>
      </w:r>
      <w:r>
        <w:t xml:space="preserve">framework has an</w:t>
      </w:r>
      <w:r>
        <w:t xml:space="preserve"> </w:t>
      </w:r>
      <w:r>
        <w:rPr>
          <w:rStyle w:val="VerbatimChar"/>
        </w:rPr>
        <w:t xml:space="preserve">ignore</w:t>
      </w:r>
      <w:r>
        <w:t xml:space="preserve"> </w:t>
      </w:r>
      <w:r>
        <w:t xml:space="preserve">label that permitted training on</w:t>
      </w:r>
      <w:r>
        <w:t xml:space="preserve"> </w:t>
      </w:r>
      <w:r>
        <w:t xml:space="preserve">pelvis-only, spine-only and fused masks together without degrading segmentation at the</w:t>
      </w:r>
      <w:r>
        <w:t xml:space="preserve"> </w:t>
      </w:r>
      <w:r>
        <w:t xml:space="preserve">lumbosacral junction. A preliminary network was trained in five folds to pseudolabel the</w:t>
      </w:r>
      <w:r>
        <w:t xml:space="preserve"> </w:t>
      </w:r>
      <w:r>
        <w:t xml:space="preserve">missing pelvises of every volume in the cohort, excluding those with fused masks, using</w:t>
      </w:r>
      <w:r>
        <w:t xml:space="preserve"> </w:t>
      </w:r>
      <w:r>
        <w:t xml:space="preserve">out-of-fold inference so that no pelvis was pseudolabelled by a model that had seen it during</w:t>
      </w:r>
      <w:r>
        <w:t xml:space="preserve"> </w:t>
      </w:r>
      <w:r>
        <w:t xml:space="preserve">training. This detail is important because it permitted comparing the accuracy of the model</w:t>
      </w:r>
      <w:r>
        <w:t xml:space="preserve"> </w:t>
      </w:r>
      <w:r>
        <w:t xml:space="preserve">against the ground-truth radiologist-annotated pelvises: on the manual pelvic labels of each</w:t>
      </w:r>
      <w:r>
        <w:t xml:space="preserve"> </w:t>
      </w:r>
      <w:r>
        <w:t xml:space="preserve">held-out fold the model reaches a Dice of 0.980 for the sacrum and 0.97 for each hip</w:t>
      </w:r>
      <w:r>
        <w:t xml:space="preserve"> </w:t>
      </w:r>
      <w:r>
        <w:t xml:space="preserve">(Table </w:t>
      </w:r>
      <w:hyperlink w:anchor="tab:pseudodice">
        <w:r>
          <w:rPr>
            <w:rStyle w:val="Hyperlink"/>
          </w:rPr>
          <w:t xml:space="preserve">2</w:t>
        </w:r>
      </w:hyperlink>
      <w:r>
        <w:t xml:space="preserve">). The pelvis is thus radiologist-derived on the 362 fused and</w:t>
      </w:r>
      <w:r>
        <w:t xml:space="preserve"> </w:t>
      </w:r>
      <w:r>
        <w:t xml:space="preserve">pelvis-only records and pseudolabeled on the other 440 (Fig. </w:t>
      </w:r>
      <w:hyperlink w:anchor="fig:pipeline">
        <w:r>
          <w:rPr>
            <w:rStyle w:val="Hyperlink"/>
          </w:rPr>
          <w:t xml:space="preserve">1</w:t>
        </w:r>
      </w:hyperlink>
      <w:r>
        <w:t xml:space="preserve">). Those 440</w:t>
      </w:r>
      <w:r>
        <w:t xml:space="preserve"> </w:t>
      </w:r>
      <w:r>
        <w:t xml:space="preserve">pseudolabelled pelves are close to radiologist quality: a sacrum Dice of</w:t>
      </w:r>
      <w:r>
        <w:t xml:space="preserve"> </w:t>
      </w:r>
      <m:oMath>
        <m:r>
          <m:t>0.980</m:t>
        </m:r>
        <m:r>
          <m:rPr>
            <m:sty m:val="p"/>
          </m:rPr>
          <m:t>±</m:t>
        </m:r>
        <m:r>
          <m:t>0.003</m:t>
        </m:r>
      </m:oMath>
      <w:r>
        <w:t xml:space="preserve"> </w:t>
      </w:r>
      <w:r>
        <w:t xml:space="preserve">with no fold below 0.977, and hip Dice of</w:t>
      </w:r>
      <w:r>
        <w:t xml:space="preserve"> </w:t>
      </w:r>
      <m:oMath>
        <m:r>
          <m:t>0.970</m:t>
        </m:r>
        <m:r>
          <m:rPr>
            <m:sty m:val="p"/>
          </m:rPr>
          <m:t>±</m:t>
        </m:r>
        <m:r>
          <m:t>0.016</m:t>
        </m:r>
      </m:oMath>
      <w:r>
        <w:t xml:space="preserve"> </w:t>
      </w:r>
      <w:r>
        <w:t xml:space="preserve">and</w:t>
      </w:r>
      <w:r>
        <w:t xml:space="preserve"> </w:t>
      </w:r>
      <m:oMath>
        <m:r>
          <m:t>0.971</m:t>
        </m:r>
        <m:r>
          <m:rPr>
            <m:sty m:val="p"/>
          </m:rPr>
          <m:t>±</m:t>
        </m:r>
        <m:r>
          <m:t>0.015</m:t>
        </m:r>
      </m:oMath>
      <w:r>
        <w:t xml:space="preserve"> </w:t>
      </w:r>
      <w:r>
        <w:t xml:space="preserve">with no</w:t>
      </w:r>
      <w:r>
        <w:t xml:space="preserve"> </w:t>
      </w:r>
      <w:r>
        <w:t xml:space="preserve">fold below 0.953, mean the model and the radiologist agree on 97–98% of the voxels of</w:t>
      </w:r>
      <w:r>
        <w:t xml:space="preserve"> </w:t>
      </w:r>
      <w:r>
        <w:t xml:space="preserve">every pelvic bone on records the model never saw; the per-fold values are released with the</w:t>
      </w:r>
      <w:r>
        <w:t xml:space="preserve"> </w:t>
      </w:r>
      <w:r>
        <w:t xml:space="preserve">data (</w:t>
      </w:r>
      <w:r>
        <w:rPr>
          <w:rStyle w:val="VerbatimChar"/>
        </w:rPr>
        <w:t xml:space="preserve">results/pseudolabel_dice/</w:t>
      </w:r>
      <w:r>
        <w:t xml:space="preserve">). The direction is asymmetric because a pelvis</w:t>
      </w:r>
      <w:r>
        <w:t xml:space="preserve"> </w:t>
      </w:r>
      <w:r>
        <w:t xml:space="preserve">carries no enumeration to get wrong, whereas a pseudolabeled spine must commit to a count</w:t>
      </w:r>
      <w:r>
        <w:t xml:space="preserve"> </w:t>
      </w:r>
      <w:r>
        <w:t xml:space="preserve">and, on a transitional vertebra, commits to the commoner reading; the 20 pelvis-only spines</w:t>
      </w:r>
      <w:r>
        <w:t xml:space="preserve"> </w:t>
      </w:r>
      <w:r>
        <w:t xml:space="preserve">were corrected by hand. The pseudolabels also pass the release gates every structure passes</w:t>
      </w:r>
      <w:r>
        <w:t xml:space="preserve"> </w:t>
      </w:r>
      <w:r>
        <w:t xml:space="preserve">(Sec. </w:t>
      </w:r>
      <w:hyperlink w:anchor="sec:validation">
        <w:r>
          <w:rPr>
            <w:rStyle w:val="Hyperlink"/>
          </w:rPr>
          <w:t xml:space="preserve">2.6</w:t>
        </w:r>
      </w:hyperlink>
      <w:r>
        <w:t xml:space="preserve">), and the spinopelvic measures that depend on them agree with</w:t>
      </w:r>
      <w:r>
        <w:t xml:space="preserve"> </w:t>
      </w:r>
      <w:r>
        <w:t xml:space="preserve">published supine values.</w:t>
      </w:r>
    </w:p>
    <w:bookmarkStart w:id="14" w:name="tab:pseudodice"/>
    <w:p>
      <w:pPr>
        <w:pStyle w:val="TableCaption"/>
      </w:pPr>
      <w:r>
        <w:t xml:space="preserve">Held-out fold Dice of the pelvic pseudolabeller against manual CTPelvic1K labels,</w:t>
      </w:r>
      <w:r>
        <w:t xml:space="preserve"> </w:t>
      </w:r>
      <w:r>
        <w:t xml:space="preserve">mean</w:t>
      </w:r>
      <w:r>
        <w:t xml:space="preserve"> </w:t>
      </w:r>
      <m:oMath>
        <m:r>
          <m:rPr>
            <m:sty m:val="p"/>
          </m:rPr>
          <m:t>±</m:t>
        </m:r>
      </m:oMath>
      <w:r>
        <w:t xml:space="preserve"> </w:t>
      </w:r>
      <w:r>
        <w:t xml:space="preserve">SD over the five folds at each fold’s selected checkpoint (nnU-Net validation</w:t>
      </w:r>
      <w:r>
        <w:t xml:space="preserve"> </w:t>
      </w:r>
      <w:r>
        <w:t xml:space="preserve">Dice, ignore regions excluded;</w:t>
      </w:r>
      <w:r>
        <w:t xml:space="preserve"> </w:t>
      </w:r>
      <w:r>
        <w:rPr>
          <w:rStyle w:val="VerbatimChar"/>
        </w:rPr>
        <w:t xml:space="preserve">results/pseudolabel_dice/</w:t>
      </w:r>
      <w:r>
        <w:t xml:space="preserve"> </w:t>
      </w:r>
      <w:r>
        <w:t xml:space="preserve">in the repository).</w:t>
      </w:r>
    </w:p>
    <w:tbl>
      <w:tblPr>
        <w:tblStyle w:val="Table"/>
        <w:tblW w:type="auto" w:w="0"/>
        <w:tblLook w:firstRow="1" w:lastRow="0" w:firstColumn="0" w:lastColumn="0" w:noHBand="0" w:noVBand="0" w:val="0020"/>
        <w:tblCaption w:val="Held-out fold Dice of the pelvic pseudolabeller against manual CTPelvic1K labels, mean \pm SD over the five folds at each fold’s selected checkpoint (nnU-Net validation Dice, ignore regions excluded; results/pseudolabel_dice/ in the repository)."/>
      </w:tblPr>
      <w:tblGrid>
        <w:gridCol w:w="3960"/>
        <w:gridCol w:w="3960"/>
      </w:tblGrid>
      <w:tr>
        <w:trPr>
          <w:tblHeader w:val="on"/>
        </w:trPr>
        <w:tc>
          <w:tcPr/>
          <w:p>
            <w:pPr>
              <w:pStyle w:val="Compact"/>
              <w:jc w:val="left"/>
            </w:pPr>
            <w:r>
              <w:t xml:space="preserve">Structure</w:t>
            </w:r>
          </w:p>
        </w:tc>
        <w:tc>
          <w:tcPr/>
          <w:p>
            <w:pPr>
              <w:pStyle w:val="Compact"/>
              <w:jc w:val="center"/>
            </w:pPr>
            <w:r>
              <w:t xml:space="preserve">Dice</w:t>
            </w:r>
          </w:p>
        </w:tc>
      </w:tr>
      <w:tr>
        <w:tc>
          <w:tcPr/>
          <w:p>
            <w:pPr>
              <w:pStyle w:val="Compact"/>
              <w:jc w:val="left"/>
            </w:pPr>
            <w:r>
              <w:t xml:space="preserve">Sacrum</w:t>
            </w:r>
          </w:p>
        </w:tc>
        <w:tc>
          <w:tcPr/>
          <w:p>
            <w:pPr>
              <w:pStyle w:val="Compact"/>
              <w:jc w:val="center"/>
            </w:pPr>
            <w:r>
              <w:t xml:space="preserve">0.980</w:t>
            </w:r>
            <w:r>
              <w:t xml:space="preserve"> </w:t>
            </w:r>
            <m:oMath>
              <m:r>
                <m:rPr>
                  <m:sty m:val="p"/>
                </m:rPr>
                <m:t>±</m:t>
              </m:r>
            </m:oMath>
            <w:r>
              <w:t xml:space="preserve"> </w:t>
            </w:r>
            <w:r>
              <w:t xml:space="preserve">0.003</w:t>
            </w:r>
          </w:p>
        </w:tc>
      </w:tr>
      <w:tr>
        <w:tc>
          <w:tcPr/>
          <w:p>
            <w:pPr>
              <w:pStyle w:val="Compact"/>
              <w:jc w:val="left"/>
            </w:pPr>
            <w:r>
              <w:t xml:space="preserve">Left hip</w:t>
            </w:r>
          </w:p>
        </w:tc>
        <w:tc>
          <w:tcPr/>
          <w:p>
            <w:pPr>
              <w:pStyle w:val="Compact"/>
              <w:jc w:val="center"/>
            </w:pPr>
            <w:r>
              <w:t xml:space="preserve">0.970</w:t>
            </w:r>
            <w:r>
              <w:t xml:space="preserve"> </w:t>
            </w:r>
            <m:oMath>
              <m:r>
                <m:rPr>
                  <m:sty m:val="p"/>
                </m:rPr>
                <m:t>±</m:t>
              </m:r>
            </m:oMath>
            <w:r>
              <w:t xml:space="preserve"> </w:t>
            </w:r>
            <w:r>
              <w:t xml:space="preserve">0.016</w:t>
            </w:r>
          </w:p>
        </w:tc>
      </w:tr>
      <w:tr>
        <w:tc>
          <w:tcPr/>
          <w:p>
            <w:pPr>
              <w:pStyle w:val="Compact"/>
              <w:jc w:val="left"/>
            </w:pPr>
            <w:r>
              <w:t xml:space="preserve">Right hip</w:t>
            </w:r>
          </w:p>
        </w:tc>
        <w:tc>
          <w:tcPr/>
          <w:p>
            <w:pPr>
              <w:pStyle w:val="Compact"/>
              <w:jc w:val="center"/>
            </w:pPr>
            <w:r>
              <w:t xml:space="preserve">0.971</w:t>
            </w:r>
            <w:r>
              <w:t xml:space="preserve"> </w:t>
            </w:r>
            <m:oMath>
              <m:r>
                <m:rPr>
                  <m:sty m:val="p"/>
                </m:rPr>
                <m:t>±</m:t>
              </m:r>
            </m:oMath>
            <w:r>
              <w:t xml:space="preserve"> </w:t>
            </w:r>
            <w:r>
              <w:t xml:space="preserve">0.015</w:t>
            </w:r>
          </w:p>
        </w:tc>
      </w:tr>
    </w:tbl>
    <w:bookmarkEnd w:id="14"/>
    <w:bookmarkEnd w:id="15"/>
    <w:bookmarkStart w:id="17"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of their union is a pseudolabel of all ribs in the volume. An extensive quality</w:t>
      </w:r>
      <w:r>
        <w:t xml:space="preserve"> </w:t>
      </w:r>
      <w:r>
        <w:t xml:space="preserve">control pipeline was used to triage possible errors rather than exhaustively reviewing all the</w:t>
      </w:r>
      <w:r>
        <w:t xml:space="preserve"> </w:t>
      </w:r>
      <w:r>
        <w:t xml:space="preserve">pseudolabels. A label-based rule flagged every record in which one rib bone carried more than</w:t>
      </w:r>
      <w:r>
        <w:t xml:space="preserve"> </w:t>
      </w:r>
      <w:r>
        <w:t xml:space="preserve">one identifier, or in which a rib failed to reach the vertebra it articulates with, since a</w:t>
      </w:r>
      <w:r>
        <w:t xml:space="preserve"> </w:t>
      </w:r>
      <w:r>
        <w:t xml:space="preserve">single bone carrying two numbers is a numbering error whatever the anatomy. On the raw union</w:t>
      </w:r>
      <w:r>
        <w:t xml:space="preserve"> </w:t>
      </w:r>
      <w:r>
        <w:t xml:space="preserve">the rule selected 152 records, with 584 rib bones carrying two identifiers among them; 148</w:t>
      </w:r>
      <w:r>
        <w:t xml:space="preserve"> </w:t>
      </w:r>
      <w:r>
        <w:t xml:space="preserve">were reviewed and corrected, and four were not and are identified in the release. Reviewers</w:t>
      </w:r>
      <w:r>
        <w:t xml:space="preserve"> </w:t>
      </w:r>
      <w:r>
        <w:t xml:space="preserve">were medical students working through  </w:t>
      </w:r>
      <w:r>
        <w:t xml:space="preserve">, trained against a written</w:t>
      </w:r>
      <w:r>
        <w:t xml:space="preserve"> </w:t>
      </w:r>
      <w:r>
        <w:t xml:space="preserve">labeling protocol, with every correction attributed to its annotator. Records passing the rule</w:t>
      </w:r>
      <w:r>
        <w:t xml:space="preserve"> </w:t>
      </w:r>
      <w:r>
        <w:t xml:space="preserve">were not individually inspected; the rib–vertebra incidence check of</w:t>
      </w:r>
      <w:r>
        <w:t xml:space="preserve"> </w:t>
      </w:r>
      <w:r>
        <w:t xml:space="preserve">Sec. </w:t>
      </w:r>
      <w:hyperlink w:anchor="sec:validation">
        <w:r>
          <w:rPr>
            <w:rStyle w:val="Hyperlink"/>
          </w:rPr>
          <w:t xml:space="preserve">2.6</w:t>
        </w:r>
      </w:hyperlink>
      <w:r>
        <w:t xml:space="preserve">, run at each stage, is the independent measure of what the rule and</w:t>
      </w:r>
      <w:r>
        <w:t xml:space="preserve"> </w:t>
      </w:r>
      <w:r>
        <w:t xml:space="preserve">the reviewers missed (Table </w:t>
      </w:r>
      <w:hyperlink w:anchor="tab:ribqc">
        <w:r>
          <w:rPr>
            <w:rStyle w:val="Hyperlink"/>
          </w:rPr>
          <w:t xml:space="preserve">3</w:t>
        </w:r>
      </w:hyperlink>
      <w:r>
        <w:t xml:space="preserve">). On the raw pseudolabel 3.1% of the evaluable</w:t>
      </w:r>
      <w:r>
        <w:t xml:space="preserve"> </w:t>
      </w:r>
      <w:r>
        <w:t xml:space="preserve">ribs sat one or two levels from the vertebra their number implies and 24 records carried a</w:t>
      </w:r>
      <w:r>
        <w:t xml:space="preserve"> </w:t>
      </w:r>
      <w:r>
        <w:t xml:space="preserve">misnumbered cage; the students’ corrections cut both by a third (1.9%, 16 records). What</w:t>
      </w:r>
      <w:r>
        <w:t xml:space="preserve"> </w:t>
      </w:r>
      <w:r>
        <w:t xml:space="preserve">remained were whole-side shifts that no reviewer had been asked to look for: once a rib on a</w:t>
      </w:r>
      <w:r>
        <w:t xml:space="preserve"> </w:t>
      </w:r>
      <w:r>
        <w:t xml:space="preserve">lumbar body received its own class, each side could be anchored on its most confident</w:t>
      </w:r>
      <w:r>
        <w:t xml:space="preserve"> </w:t>
      </w:r>
      <w:r>
        <w:t xml:space="preserve">articulation and renumbered by counting, which left two offset ribs in 5</w:t>
      </w:r>
      <w:r>
        <w:t xml:space="preserve">,</w:t>
      </w:r>
      <w:r>
        <w:t xml:space="preserve">749 and no</w:t>
      </w:r>
      <w:r>
        <w:t xml:space="preserve"> </w:t>
      </w:r>
      <w:r>
        <w:t xml:space="preserve">misnumbered record.</w:t>
      </w:r>
    </w:p>
    <w:bookmarkStart w:id="16" w:name="tab:ribqc"/>
    <w:p>
      <w:pPr>
        <w:pStyle w:val="TableCaption"/>
      </w:pPr>
      <w:r>
        <w:t xml:space="preserve">Rib–vertebra incidence at three stages: the raw union pseudolabel, after the</w:t>
      </w:r>
      <w:r>
        <w:t xml:space="preserve"> </w:t>
      </w:r>
      <w:r>
        <w:t xml:space="preserve">students corrected the 148 triaged records, and the release after the lumbar-rib class and</w:t>
      </w:r>
      <w:r>
        <w:t xml:space="preserve"> </w:t>
      </w:r>
      <w:r>
        <w:t xml:space="preserve">rule-based renumbering. Evaluable ribs are those whose expected vertebra lies in the field of</w:t>
      </w:r>
      <w:r>
        <w:t xml:space="preserve"> </w:t>
      </w:r>
      <w:r>
        <w:t xml:space="preserve">view; a record is misnumbered when its ribs are consistently offset.</w:t>
      </w:r>
    </w:p>
    <w:tbl>
      <w:tblPr>
        <w:tblStyle w:val="Table"/>
        <w:tblW w:type="auto" w:w="0"/>
        <w:tblLook w:firstRow="1" w:lastRow="0" w:firstColumn="0" w:lastColumn="0" w:noHBand="0" w:noVBand="0" w:val="0020"/>
        <w:tblCaption w:val="Rib–vertebra incidence at three stages: the raw union pseudolabel, after the students corrected the 148 triaged records, and the release after the lumbar-rib class and rule-based renumbering. Evaluable ribs are those whose expected vertebra lies in the field of view; a record is misnumbered when its ribs are consistently offset."/>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Evaluable ribs</w:t>
            </w:r>
          </w:p>
        </w:tc>
        <w:tc>
          <w:tcPr/>
          <w:p>
            <w:pPr>
              <w:pStyle w:val="Compact"/>
              <w:jc w:val="right"/>
            </w:pPr>
            <w:r>
              <w:t xml:space="preserve">On own vertebra</w:t>
            </w:r>
          </w:p>
        </w:tc>
        <w:tc>
          <w:tcPr/>
          <w:p>
            <w:pPr>
              <w:pStyle w:val="Compact"/>
              <w:jc w:val="right"/>
            </w:pPr>
            <w:r>
              <w:t xml:space="preserve">Offset</w:t>
            </w:r>
          </w:p>
        </w:tc>
        <w:tc>
          <w:tcPr/>
          <w:p>
            <w:pPr>
              <w:pStyle w:val="Compact"/>
              <w:jc w:val="right"/>
            </w:pPr>
            <w:r>
              <w:t xml:space="preserve">Misnumbered records</w:t>
            </w:r>
          </w:p>
        </w:tc>
      </w:tr>
      <w:tr>
        <w:tc>
          <w:tcPr/>
          <w:p>
            <w:pPr>
              <w:pStyle w:val="Compact"/>
              <w:jc w:val="left"/>
            </w:pPr>
            <w:r>
              <w:t xml:space="preserve">Raw pseudolabel</w:t>
            </w:r>
          </w:p>
        </w:tc>
        <w:tc>
          <w:tcPr/>
          <w:p>
            <w:pPr>
              <w:pStyle w:val="Compact"/>
              <w:jc w:val="right"/>
            </w:pPr>
            <w:r>
              <w:t xml:space="preserve">5</w:t>
            </w:r>
            <w:r>
              <w:t xml:space="preserve">,</w:t>
            </w:r>
            <w:r>
              <w:t xml:space="preserve">560</w:t>
            </w:r>
          </w:p>
        </w:tc>
        <w:tc>
          <w:tcPr/>
          <w:p>
            <w:pPr>
              <w:pStyle w:val="Compact"/>
              <w:jc w:val="right"/>
            </w:pPr>
            <w:r>
              <w:t xml:space="preserve">96.6%</w:t>
            </w:r>
          </w:p>
        </w:tc>
        <w:tc>
          <w:tcPr/>
          <w:p>
            <w:pPr>
              <w:pStyle w:val="Compact"/>
              <w:jc w:val="right"/>
            </w:pPr>
            <w:r>
              <w:t xml:space="preserve">170 (3.1%)</w:t>
            </w:r>
          </w:p>
        </w:tc>
        <w:tc>
          <w:tcPr/>
          <w:p>
            <w:pPr>
              <w:pStyle w:val="Compact"/>
              <w:jc w:val="right"/>
            </w:pPr>
            <w:r>
              <w:t xml:space="preserve">24</w:t>
            </w:r>
          </w:p>
        </w:tc>
      </w:tr>
      <w:tr>
        <w:tc>
          <w:tcPr/>
          <w:p>
            <w:pPr>
              <w:pStyle w:val="Compact"/>
              <w:jc w:val="left"/>
            </w:pPr>
            <w:r>
              <w:t xml:space="preserve">After student correction</w:t>
            </w:r>
          </w:p>
        </w:tc>
        <w:tc>
          <w:tcPr/>
          <w:p>
            <w:pPr>
              <w:pStyle w:val="Compact"/>
              <w:jc w:val="right"/>
            </w:pPr>
            <w:r>
              <w:t xml:space="preserve">5</w:t>
            </w:r>
            <w:r>
              <w:t xml:space="preserve">,</w:t>
            </w:r>
            <w:r>
              <w:t xml:space="preserve">670</w:t>
            </w:r>
          </w:p>
        </w:tc>
        <w:tc>
          <w:tcPr/>
          <w:p>
            <w:pPr>
              <w:pStyle w:val="Compact"/>
              <w:jc w:val="right"/>
            </w:pPr>
            <w:r>
              <w:t xml:space="preserve">97.6%</w:t>
            </w:r>
          </w:p>
        </w:tc>
        <w:tc>
          <w:tcPr/>
          <w:p>
            <w:pPr>
              <w:pStyle w:val="Compact"/>
              <w:jc w:val="right"/>
            </w:pPr>
            <w:r>
              <w:t xml:space="preserve">109 (1.9%)</w:t>
            </w:r>
          </w:p>
        </w:tc>
        <w:tc>
          <w:tcPr/>
          <w:p>
            <w:pPr>
              <w:pStyle w:val="Compact"/>
              <w:jc w:val="right"/>
            </w:pPr>
            <w:r>
              <w:t xml:space="preserve">16</w:t>
            </w:r>
          </w:p>
        </w:tc>
      </w:tr>
      <w:tr>
        <w:tc>
          <w:tcPr/>
          <w:p>
            <w:pPr>
              <w:pStyle w:val="Compact"/>
              <w:jc w:val="left"/>
            </w:pPr>
            <w:r>
              <w:t xml:space="preserve">Release</w:t>
            </w:r>
          </w:p>
        </w:tc>
        <w:tc>
          <w:tcPr/>
          <w:p>
            <w:pPr>
              <w:pStyle w:val="Compact"/>
              <w:jc w:val="right"/>
            </w:pPr>
            <w:r>
              <w:t xml:space="preserve">5</w:t>
            </w:r>
            <w:r>
              <w:t xml:space="preserve">,</w:t>
            </w:r>
            <w:r>
              <w:t xml:space="preserve">749</w:t>
            </w:r>
          </w:p>
        </w:tc>
        <w:tc>
          <w:tcPr/>
          <w:p>
            <w:pPr>
              <w:pStyle w:val="Compact"/>
              <w:jc w:val="right"/>
            </w:pPr>
            <w:r>
              <w:t xml:space="preserve">99.97%</w:t>
            </w:r>
          </w:p>
        </w:tc>
        <w:tc>
          <w:tcPr/>
          <w:p>
            <w:pPr>
              <w:pStyle w:val="Compact"/>
              <w:jc w:val="right"/>
            </w:pPr>
            <w:r>
              <w:t xml:space="preserve">2 (0.035%)</w:t>
            </w:r>
          </w:p>
        </w:tc>
        <w:tc>
          <w:tcPr/>
          <w:p>
            <w:pPr>
              <w:pStyle w:val="Compact"/>
              <w:jc w:val="right"/>
            </w:pPr>
            <w:r>
              <w:t xml:space="preserve">0</w:t>
            </w:r>
          </w:p>
        </w:tc>
      </w:tr>
    </w:tbl>
    <w:bookmarkEnd w:id="16"/>
    <w:bookmarkEnd w:id="17"/>
    <w:bookmarkStart w:id="22"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21" w:name="fig:anchors"/>
    <w:p>
      <w:pPr>
        <w:pStyle w:val="CaptionedFigure"/>
      </w:pPr>
      <w:r>
        <w:drawing>
          <wp:inline>
            <wp:extent cx="5334000" cy="1345176"/>
            <wp:effectExtent b="0" l="0" r="0" t="0"/>
            <wp:docPr descr="" title="" id="19" name="Picture"/>
            <a:graphic>
              <a:graphicData uri="http://schemas.openxmlformats.org/drawingml/2006/picture">
                <pic:pic>
                  <pic:nvPicPr>
                    <pic:cNvPr descr="figures/fig_anchors.pdf" id="20" name="Picture"/>
                    <pic:cNvPicPr>
                      <a:picLocks noChangeArrowheads="1" noChangeAspect="1"/>
                    </pic:cNvPicPr>
                  </pic:nvPicPr>
                  <pic:blipFill>
                    <a:blip r:embed="rId18"/>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aligned on the sacrum. Red, lowest rib-bearing vertebra and its rib; blue, sacrum;</w:t>
      </w:r>
      <w:r>
        <w:t xml:space="preserve"> </w:t>
      </w:r>
      <w:r>
        <w:t xml:space="preserve">yellow, rib-free vertebrae between. Cases 0704, 0428, 0094, 0005, chosen by rule. (b) and (c) share one upper border, a short rib pair under a full pair; (b) has no LSTV; (c) is Castellvi IIIb, its fifth lumbar segment fused to the sacrum.</w:t>
      </w:r>
    </w:p>
    <w:bookmarkEnd w:id="21"/>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 Panels (b) and (c) present the same upper border, a rib pair of about 40 mm beneath a full pair, above four rib-free vertebrae; the source readers named it a lumbar rib on L1 in (b) and stump twelfth ribs on T12 in (c). Nothing in the rib decided that. Across the release the sixteen ribs labeled lumbar are a median 45 mm and 0.32 of the rib above them, and the 98 labeled stump twelfth ribs 38 mm and 0.28. What decided it was the lower border, no transitional vertebra in (b) and a fifth lumbar segment fused to the sacrum in (c) (Castellvi IIIb), together with the convention of five lumbar vertebrae, which leaves one place for the anomaly in each. The count cannot separate the two; the rib length and the lumbosacral junction, both labeled here, can.</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2"/>
    <w:bookmarkStart w:id="26"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3">
        <w:r>
          <w:rPr>
            <w:rStyle w:val="Hyperlink"/>
          </w:rPr>
          <w:t xml:space="preserve">https://huggingface.co/OpenSpineConsortium/spinopelvic-seg-checkpoints</w:t>
        </w:r>
      </w:hyperlink>
      <w:r>
        <w:t xml:space="preserve">, trained with</w:t>
      </w:r>
      <w:r>
        <w:t xml:space="preserve"> </w:t>
      </w:r>
      <w:hyperlink r:id="rId24">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5">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writing the analysis and</w:t>
      </w:r>
      <w:r>
        <w:t xml:space="preserve"> </w:t>
      </w:r>
      <w:r>
        <w:t xml:space="preserve">figure code and manuscript refinement after initial drafting. It was not used to generate, annotate or interpret</w:t>
      </w:r>
      <w:r>
        <w:t xml:space="preserve"> </w:t>
      </w:r>
      <w:r>
        <w:t xml:space="preserve">imaging data; every number reported here is computed by the released code from the</w:t>
      </w:r>
      <w:r>
        <w:t xml:space="preserve"> </w:t>
      </w:r>
      <w:r>
        <w:t xml:space="preserve">released volumes. All content was independently reviewed, verified, and interpreted by the authors.</w:t>
      </w:r>
    </w:p>
    <w:bookmarkEnd w:id="26"/>
    <w:bookmarkStart w:id="27"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7"/>
    <w:bookmarkStart w:id="29"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8"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8"/>
    <w:bookmarkEnd w:id="29"/>
    <w:bookmarkStart w:id="37"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30"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31"/>
    <w:bookmarkStart w:id="36"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5" w:name="fig:hardware"/>
    <w:p>
      <w:pPr>
        <w:pStyle w:val="CaptionedFigure"/>
      </w:pPr>
      <w:r>
        <w:drawing>
          <wp:inline>
            <wp:extent cx="5334000" cy="1144542"/>
            <wp:effectExtent b="0" l="0" r="0" t="0"/>
            <wp:docPr descr="" title="" id="33" name="Picture"/>
            <a:graphic>
              <a:graphicData uri="http://schemas.openxmlformats.org/drawingml/2006/picture">
                <pic:pic>
                  <pic:nvPicPr>
                    <pic:cNvPr descr="figures/fig_hardware.pdf" id="34" name="Picture"/>
                    <pic:cNvPicPr>
                      <a:picLocks noChangeArrowheads="1" noChangeAspect="1"/>
                    </pic:cNvPicPr>
                  </pic:nvPicPr>
                  <pic:blipFill>
                    <a:blip r:embed="rId32"/>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5"/>
    <w:bookmarkEnd w:id="36"/>
    <w:bookmarkEnd w:id="37"/>
    <w:bookmarkEnd w:id="38"/>
    <w:bookmarkStart w:id="40"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9"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9"/>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40"/>
    <w:bookmarkStart w:id="45"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4</w:t>
        </w:r>
      </w:hyperlink>
      <w:r>
        <w:t xml:space="preserve"> </w:t>
      </w:r>
      <w:r>
        <w:t xml:space="preserve">places against two series.</w:t>
      </w:r>
    </w:p>
    <w:bookmarkStart w:id="44" w:name="fig:validation"/>
    <w:p>
      <w:pPr>
        <w:pStyle w:val="CaptionedFigure"/>
      </w:pPr>
      <w:r>
        <w:drawing>
          <wp:inline>
            <wp:extent cx="5334000" cy="1104674"/>
            <wp:effectExtent b="0" l="0" r="0" t="0"/>
            <wp:docPr descr="" title="" id="42" name="Picture"/>
            <a:graphic>
              <a:graphicData uri="http://schemas.openxmlformats.org/drawingml/2006/picture">
                <pic:pic>
                  <pic:nvPicPr>
                    <pic:cNvPr descr="figures/fig_validation.pdf" id="43" name="Picture"/>
                    <pic:cNvPicPr>
                      <a:picLocks noChangeArrowheads="1" noChangeAspect="1"/>
                    </pic:cNvPicPr>
                  </pic:nvPicPr>
                  <pic:blipFill>
                    <a:blip r:embed="rId41"/>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4"/>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5"/>
    <w:bookmarkStart w:id="56"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5"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9" w:name="fig:levelatlas"/>
    <w:p>
      <w:pPr>
        <w:pStyle w:val="CaptionedFigure"/>
      </w:pPr>
      <w:r>
        <w:drawing>
          <wp:inline>
            <wp:extent cx="5334000" cy="1190055"/>
            <wp:effectExtent b="0" l="0" r="0" t="0"/>
            <wp:docPr descr="" title="" id="47" name="Picture"/>
            <a:graphic>
              <a:graphicData uri="http://schemas.openxmlformats.org/drawingml/2006/picture">
                <pic:pic>
                  <pic:nvPicPr>
                    <pic:cNvPr descr="figures/fig_levelatlas.pdf" id="48" name="Picture"/>
                    <pic:cNvPicPr>
                      <a:picLocks noChangeArrowheads="1" noChangeAspect="1"/>
                    </pic:cNvPicPr>
                  </pic:nvPicPr>
                  <pic:blipFill>
                    <a:blip r:embed="rId46"/>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9"/>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3" w:name="fig:fov"/>
    <w:p>
      <w:pPr>
        <w:pStyle w:val="CaptionedFigure"/>
      </w:pPr>
      <w:r>
        <w:drawing>
          <wp:inline>
            <wp:extent cx="2895600" cy="927100"/>
            <wp:effectExtent b="0" l="0" r="0" t="0"/>
            <wp:docPr descr="" title="" id="51" name="Picture"/>
            <a:graphic>
              <a:graphicData uri="http://schemas.openxmlformats.org/drawingml/2006/picture">
                <pic:pic>
                  <pic:nvPicPr>
                    <pic:cNvPr descr="figures/fig_fov.pdf" id="52" name="Picture"/>
                    <pic:cNvPicPr>
                      <a:picLocks noChangeArrowheads="1" noChangeAspect="1"/>
                    </pic:cNvPicPr>
                  </pic:nvPicPr>
                  <pic:blipFill>
                    <a:blip r:embed="rId50"/>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3"/>
    <w:p>
      <w:pPr>
        <w:pStyle w:val="BodyText"/>
      </w:pPr>
      <w:r>
        <w:rPr>
          <w:i/>
          <w:iCs/>
        </w:rPr>
        <w:t xml:space="preserve">Limitations: coverage and cohort.</w:t>
      </w:r>
      <w:bookmarkStart w:id="54" w:name="sec:limitations"/>
      <w:bookmarkEnd w:id="54"/>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5"/>
    <w:bookmarkEnd w:id="56"/>
    <w:bookmarkStart w:id="57"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to this dataset, but carries no</w:t>
      </w:r>
      <w:r>
        <w:t xml:space="preserve"> </w:t>
      </w:r>
      <w:r>
        <w:t xml:space="preserve">sacral mask for the structure a Castellvi grade describes, which this release segments as L6</w:t>
      </w:r>
      <w:r>
        <w:t xml:space="preserve"> </w:t>
      </w:r>
      <w:r>
        <w:t xml:space="preserve">or as sacrum, and has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for anatomical anomalies, not necessarily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class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7"/>
    <w:bookmarkStart w:id="58" w:name="conclusion"/>
    <w:p>
      <w:pPr>
        <w:pStyle w:val="Heading1"/>
      </w:pPr>
      <w:r>
        <w:t xml:space="preserve">Conclusion</w:t>
      </w:r>
    </w:p>
    <w:p>
      <w:pPr>
        <w:pStyle w:val="FirstParagraph"/>
      </w:pPr>
      <w:r>
        <w:t xml:space="preserve">CTSpinoPelvic1K places the radiologist-derived spine, the pelvis, radiologist-derived where</w:t>
      </w:r>
      <w:r>
        <w:t xml:space="preserve"> </w:t>
      </w:r>
      <w:r>
        <w:t xml:space="preserve">the sources annotated the same series and pseudolabeled elsewhere, and pseudolabeled per-level</w:t>
      </w:r>
      <w:r>
        <w:t xml:space="preserve"> </w:t>
      </w:r>
      <w:r>
        <w:t xml:space="preserve">ribs and femora on one validated coordinate frame in 802 records, and gives the anatomical</w:t>
      </w:r>
      <w:r>
        <w:t xml:space="preserve"> </w:t>
      </w:r>
      <w:r>
        <w:t xml:space="preserve">anomalies that make lumbar numbering ambiguous classes of their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8"/>
    <w:bookmarkStart w:id="61"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9">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60">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5">
        <w:r>
          <w:rPr>
            <w:rStyle w:val="Hyperlink"/>
          </w:rPr>
          <w:t xml:space="preserve">https://github.com/OpenSpineConsortium/OpenSpineToolkit</w:t>
        </w:r>
      </w:hyperlink>
      <w:r>
        <w:t xml:space="preserve">.</w:t>
      </w:r>
    </w:p>
    <w:bookmarkEnd w:id="61"/>
    <w:bookmarkStart w:id="62"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2"/>
    <w:bookmarkStart w:id="63" w:name="conflict-of-interest"/>
    <w:p>
      <w:pPr>
        <w:pStyle w:val="Heading1"/>
      </w:pPr>
      <w:r>
        <w:t xml:space="preserve">Conflict of Interest</w:t>
      </w:r>
    </w:p>
    <w:p>
      <w:pPr>
        <w:pStyle w:val="FirstParagraph"/>
      </w:pPr>
      <w:r>
        <w:t xml:space="preserve">The authors have no relevant conflicts of interest to disclose.</w:t>
      </w:r>
    </w:p>
    <w:bookmarkEnd w:id="63"/>
    <w:bookmarkStart w:id="67"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A. E. Castellvi, L. A. Goldstein, and D. P.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J. A. Carrino, P. D. Campbell, D. C. Lin, W. B. Morrison, M. E. Schweitzer, A. E. Flanders, J. Eng, and A. R. Vaccaro,</w:t>
      </w:r>
      <w:r>
        <w:t xml:space="preserve"> </w:t>
      </w:r>
      <w:r>
        <w:t xml:space="preserve">Effect of spinal segment variants on numbering vertebral levels at lumbar</w:t>
      </w:r>
      <w:r>
        <w:t xml:space="preserve"> </w:t>
      </w:r>
      <w:r>
        <w:t xml:space="preserve">MR</w:t>
      </w:r>
      <w:r>
        <w:t xml:space="preserve"> </w:t>
      </w:r>
      <w:r>
        <w:t xml:space="preserve">imaging,</w:t>
      </w:r>
      <w:r>
        <w:t xml:space="preserve"> </w:t>
      </w:r>
      <w:r>
        <w:t xml:space="preserve">Radiology</w:t>
      </w:r>
      <w:r>
        <w:t xml:space="preserve"> </w:t>
      </w:r>
      <w:r>
        <w:rPr>
          <w:b/>
          <w:bCs/>
        </w:rPr>
        <w:t xml:space="preserve">259</w:t>
      </w:r>
      <w:r>
        <w:t xml:space="preserve">, 196–202 (2011).</w:t>
      </w:r>
    </w:p>
    <w:p>
      <w:pPr>
        <w:pStyle w:val="BodyText"/>
      </w:pPr>
      <w:r>
        <w:t xml:space="preserve">N. A. Farshad-Amacker, B. Lurie, R. J. Herzog, and M. Farshad,</w:t>
      </w:r>
      <w:r>
        <w:t xml:space="preserve"> </w:t>
      </w:r>
      <w:r>
        <w:t xml:space="preserve">Merits of different anatomical landmarks for correct numbering of the lumbar vertebrae in lumbosacral transitional anomalies,</w:t>
      </w:r>
      <w:r>
        <w:t xml:space="preserve"> </w:t>
      </w:r>
      <w:r>
        <w:t xml:space="preserve">Eur. Spine J.</w:t>
      </w:r>
      <w:r>
        <w:t xml:space="preserve"> </w:t>
      </w:r>
      <w:r>
        <w:rPr>
          <w:b/>
          <w:bCs/>
        </w:rPr>
        <w:t xml:space="preserve">24</w:t>
      </w:r>
      <w:r>
        <w:t xml:space="preserve">, 600–608 (2015).</w:t>
      </w:r>
    </w:p>
    <w:p>
      <w:pPr>
        <w:pStyle w:val="BodyText"/>
      </w:pPr>
      <w:r>
        <w:t xml:space="preserve">D. Tureli, G. Ekinci, and F. Baltacioglu,</w:t>
      </w:r>
      <w:r>
        <w:t xml:space="preserve"> </w:t>
      </w:r>
      <w:r>
        <w:t xml:space="preserve">Is any landmark reliable in vertebral enumeration?</w:t>
      </w:r>
      <w:r>
        <w:t xml:space="preserve"> </w:t>
      </w:r>
      <w:r>
        <w:t xml:space="preserve">A</w:t>
      </w:r>
      <w:r>
        <w:t xml:space="preserve"> </w:t>
      </w:r>
      <w:r>
        <w:t xml:space="preserve">study of 3.0-</w:t>
      </w:r>
      <w:r>
        <w:t xml:space="preserve">Tesla</w:t>
      </w:r>
      <w:r>
        <w:t xml:space="preserve"> </w:t>
      </w:r>
      <w:r>
        <w:t xml:space="preserve">lumbar</w:t>
      </w:r>
      <w:r>
        <w:t xml:space="preserve"> </w:t>
      </w:r>
      <w:r>
        <w:t xml:space="preserve">MRI</w:t>
      </w:r>
      <w:r>
        <w:t xml:space="preserve"> </w:t>
      </w:r>
      <w:r>
        <w:t xml:space="preserve">comparing skeletal, neural, and vascular markers,</w:t>
      </w:r>
      <w:r>
        <w:t xml:space="preserve"> </w:t>
      </w:r>
      <w:r>
        <w:t xml:space="preserve">Clin. Imaging</w:t>
      </w:r>
      <w:r>
        <w:t xml:space="preserve"> </w:t>
      </w:r>
      <w:r>
        <w:rPr>
          <w:b/>
          <w:bCs/>
        </w:rPr>
        <w:t xml:space="preserve">38</w:t>
      </w:r>
      <w:r>
        <w:t xml:space="preserve">, 792–796 (2014).</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J. Hanhivaara, J. H. M</w:t>
      </w:r>
      <w:r>
        <w:t xml:space="preserve">ä</w:t>
      </w:r>
      <w:r>
        <w:t xml:space="preserve">ä</w:t>
      </w:r>
      <w:r>
        <w:t xml:space="preserve">tt</w:t>
      </w:r>
      <w:r>
        <w:t xml:space="preserve">ä</w:t>
      </w:r>
      <w:r>
        <w:t xml:space="preserve">, J. Karppinen, J. Niinim</w:t>
      </w:r>
      <w:r>
        <w:t xml:space="preserve">ä</w:t>
      </w:r>
      <w:r>
        <w:t xml:space="preserve">ki, and M. T. Nevalainen,</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Radiology</w:t>
      </w:r>
      <w:r>
        <w:t xml:space="preserve">,</w:t>
      </w:r>
      <w:r>
        <w:t xml:space="preserve"> </w:t>
      </w:r>
      <w:r>
        <w:t xml:space="preserve">–</w:t>
      </w:r>
      <w:r>
        <w:t xml:space="preserve">ASNR</w:t>
      </w:r>
      <w:r>
        <w:t xml:space="preserve">–</w:t>
      </w:r>
      <w:r>
        <w:t xml:space="preserve">ASSR</w:t>
      </w:r>
      <w:r>
        <w:t xml:space="preserve">–</w:t>
      </w:r>
      <w:r>
        <w:t xml:space="preserve">SPR</w:t>
      </w:r>
      <w:r>
        <w:t xml:space="preserve"> </w:t>
      </w:r>
      <w:r>
        <w:t xml:space="preserve">practice parameter for the performance of computed tomography (</w:t>
      </w:r>
      <w:r>
        <w:t xml:space="preserve">CT</w:t>
      </w:r>
      <w:r>
        <w:t xml:space="preserve">) of the spine, revised 2022 (</w:t>
      </w:r>
      <w:r>
        <w:t xml:space="preserve">Resolution</w:t>
      </w:r>
      <w:r>
        <w:t xml:space="preserve"> </w:t>
      </w:r>
      <w:r>
        <w:t xml:space="preserve">23),</w:t>
      </w:r>
      <w:r>
        <w:t xml:space="preserve"> </w:t>
      </w:r>
      <w:r>
        <w:t xml:space="preserve">American College of Radiology, Reston, VA.</w:t>
      </w:r>
      <w:r>
        <w:t xml:space="preserve"> </w:t>
      </w:r>
      <w:hyperlink r:id="rId64">
        <w:r>
          <w:rPr>
            <w:rStyle w:val="Hyperlink"/>
          </w:rPr>
          <w:t xml:space="preserve">https://www.asnr.org/wp-content/uploads/2019/06/CT-Spine-1.pdf</w:t>
        </w:r>
      </w:hyperlink>
      <w:r>
        <w:t xml:space="preserve">, 2022.</w:t>
      </w:r>
    </w:p>
    <w:p>
      <w:pPr>
        <w:pStyle w:val="BodyText"/>
      </w:pPr>
      <w:r>
        <w:t xml:space="preserve">American College of Radiology</w:t>
      </w:r>
      <w:r>
        <w:t xml:space="preserve">,</w:t>
      </w:r>
      <w:r>
        <w:t xml:space="preserve"> </w:t>
      </w:r>
      <w:r>
        <w:t xml:space="preserve">–</w:t>
      </w:r>
      <w:r>
        <w:t xml:space="preserve">ASNR</w:t>
      </w:r>
      <w:r>
        <w:t xml:space="preserve">–</w:t>
      </w:r>
      <w:r>
        <w:t xml:space="preserve">SABI</w:t>
      </w:r>
      <w:r>
        <w:t xml:space="preserve">–</w:t>
      </w:r>
      <w:r>
        <w:t xml:space="preserve">SSR</w:t>
      </w:r>
      <w:r>
        <w:t xml:space="preserve"> </w:t>
      </w:r>
      <w:r>
        <w:t xml:space="preserve">practice parameter for the performance of magnetic resonance imaging (</w:t>
      </w:r>
      <w:r>
        <w:t xml:space="preserve">MRI</w:t>
      </w:r>
      <w:r>
        <w:t xml:space="preserve">) of the adult spine, revised 2023 (</w:t>
      </w:r>
      <w:r>
        <w:t xml:space="preserve">Resolution</w:t>
      </w:r>
      <w:r>
        <w:t xml:space="preserve"> </w:t>
      </w:r>
      <w:r>
        <w:t xml:space="preserve">6),</w:t>
      </w:r>
      <w:r>
        <w:t xml:space="preserve"> </w:t>
      </w:r>
      <w:r>
        <w:t xml:space="preserve">American College of Radiology, Reston, VA.</w:t>
      </w:r>
      <w:r>
        <w:t xml:space="preserve"> </w:t>
      </w:r>
      <w:hyperlink r:id="rId65">
        <w:r>
          <w:rPr>
            <w:rStyle w:val="Hyperlink"/>
          </w:rPr>
          <w:t xml:space="preserve">https://www.asnr.org/wp-content/uploads/2019/06/MR-Adult-Spine.pdf</w:t>
        </w:r>
      </w:hyperlink>
      <w:r>
        <w:t xml:space="preserve">, 2023.</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6">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Q. Wessels, A. V. Schoor, and N. Keough,</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J. M. Moran, W. S. Berg, and A. D. Steffee,</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National Electrical Manufacturers Association</w:t>
      </w:r>
      <w:r>
        <w:t xml:space="preserve">,</w:t>
      </w:r>
      <w:r>
        <w:t xml:space="preserve"> </w:t>
      </w:r>
      <w:r>
        <w:t xml:space="preserve">Digital Imaging and Communications in Medicine (</w:t>
      </w:r>
      <w:r>
        <w:t xml:space="preserve">DICOM</w:t>
      </w:r>
      <w:r>
        <w:t xml:space="preserve">) Standard, Part 3: Information Object Definitions,</w:t>
      </w:r>
      <w:r>
        <w:t xml:space="preserve"> </w:t>
      </w:r>
      <w:r>
        <w:t xml:space="preserve">Technical Report PS3.3, NEMA, Rosslyn, VA, 2024,</w:t>
      </w:r>
      <w:r>
        <w:t xml:space="preserve"> </w:t>
      </w:r>
      <w:r>
        <w:t xml:space="preserve">Attributes (0010,0020), (0020,000D), (0020,000E), (0018,5100).</w:t>
      </w:r>
    </w:p>
    <w:p>
      <w:pPr>
        <w:pStyle w:val="BodyText"/>
      </w:pPr>
      <w:r>
        <w:t xml:space="preserve">R. W. Cox, J. Ashburner, H. Breman, K. Fissell, C. Haselgrove, C. J. Holmes, J. L. Lancaster, D. E. Rex, S. M. Smith, J. B. Woodward, and S. C. Strother,</w:t>
      </w:r>
      <w:r>
        <w:t xml:space="preserve"> </w:t>
      </w:r>
      <w:r>
        <w:t xml:space="preserve">A (sort of) new image data format standard:</w:t>
      </w:r>
      <w:r>
        <w:t xml:space="preserve"> </w:t>
      </w:r>
      <w:r>
        <w:t xml:space="preserve">NIfTI-1</w:t>
      </w:r>
      <w:r>
        <w:t xml:space="preserve">,</w:t>
      </w:r>
      <w:r>
        <w:t xml:space="preserve"> </w:t>
      </w:r>
      <w:r>
        <w:t xml:space="preserve">NeuroImage</w:t>
      </w:r>
      <w:r>
        <w:t xml:space="preserve"> </w:t>
      </w:r>
      <w:r>
        <w:rPr>
          <w:b/>
          <w:bCs/>
        </w:rPr>
        <w:t xml:space="preserve">22</w:t>
      </w:r>
      <w:r>
        <w:t xml:space="preserve">, e1440 (2004),</w:t>
      </w:r>
      <w:r>
        <w:t xml:space="preserve"> </w:t>
      </w:r>
      <w:r>
        <w:t xml:space="preserve">10th Annual Meeting of the Organization for Human Brain Mapping, Budapest.</w:t>
      </w:r>
    </w:p>
    <w:p>
      <w:pPr>
        <w:pStyle w:val="BodyText"/>
      </w:pPr>
      <w:r>
        <w:t xml:space="preserve">X. Li, P. S. Morgan, J. Ashburner, J. Smith, and C. Rorden,</w:t>
      </w:r>
      <w:r>
        <w:t xml:space="preserve"> </w:t>
      </w:r>
      <w:r>
        <w:t xml:space="preserve">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t xml:space="preserve">J. Neurosci. Methods</w:t>
      </w:r>
      <w:r>
        <w:t xml:space="preserve"> </w:t>
      </w:r>
      <w:r>
        <w:rPr>
          <w:b/>
          <w:bCs/>
        </w:rPr>
        <w:t xml:space="preserve">264</w:t>
      </w:r>
      <w:r>
        <w:t xml:space="preserve">, 47–56 (2016).</w:t>
      </w:r>
    </w:p>
    <w:p>
      <w:pPr>
        <w:pStyle w:val="BodyText"/>
      </w:pPr>
      <w:r>
        <w:t xml:space="preserve">K. Hasegawa, M. Okamoto, S. Hatsushikano, G. Caseiro, and K. Watanabe,</w:t>
      </w:r>
      <w:r>
        <w:t xml:space="preserve"> </w:t>
      </w:r>
      <w:r>
        <w:t xml:space="preserve">Difference in whole spinal alignment between supine and standing positions in patients with adult spinal deformity,</w:t>
      </w:r>
      <w:r>
        <w:t xml:space="preserve"> </w:t>
      </w:r>
      <w:r>
        <w:t xml:space="preserve">BMC Musculoskelet. Disord.</w:t>
      </w:r>
      <w:r>
        <w:t xml:space="preserve"> </w:t>
      </w:r>
      <w:r>
        <w:rPr>
          <w:b/>
          <w:bCs/>
        </w:rPr>
        <w:t xml:space="preserve">19</w:t>
      </w:r>
      <w:r>
        <w:t xml:space="preserve">, 437 (2018).</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N. J. Veilleux, N. V. Kalore, J. A. Vossen, and J. S. Wayne,</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C. M. Lee and R. W. Liu,</w:t>
      </w:r>
      <w:r>
        <w:t xml:space="preserve"> </w:t>
      </w:r>
      <w:r>
        <w:t xml:space="preserve">Comparison of pelvic incidence measurement using lateral x-ray, standard</w:t>
      </w:r>
      <w:r>
        <w:t xml:space="preserve"> </w:t>
      </w:r>
      <w:r>
        <w:t xml:space="preserve">CT</w:t>
      </w:r>
      <w:r>
        <w:t xml:space="preserve"> </w:t>
      </w:r>
      <w:r>
        <w:t xml:space="preserve">versus</w:t>
      </w:r>
      <w:r>
        <w:t xml:space="preserve"> </w:t>
      </w:r>
      <w:r>
        <w:t xml:space="preserve">CT</w:t>
      </w:r>
      <w:r>
        <w:t xml:space="preserve"> </w:t>
      </w:r>
      <w:r>
        <w:t xml:space="preserve">with</w:t>
      </w:r>
      <w:r>
        <w:t xml:space="preserve"> </w:t>
      </w:r>
      <w:r>
        <w:t xml:space="preserve">3D</w:t>
      </w:r>
      <w:r>
        <w:t xml:space="preserve"> </w:t>
      </w:r>
      <w:r>
        <w:t xml:space="preserve">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A. Nourbakhsh, D. L. Stahl, M. Gibbs, M. Alfawareh, and K. J. Garges,</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r>
        <w:t xml:space="preserve"> </w:t>
      </w:r>
      <w:r>
        <w:t xml:space="preserve">ISBN 978-1-60406-924-2.</w:t>
      </w:r>
    </w:p>
    <w:p>
      <w:pPr>
        <w:pStyle w:val="BodyText"/>
      </w:pPr>
      <w:r>
        <w:t xml:space="preserve">G. J. Hahn, W. Q. Meeker, and L. A. Escobar,</w:t>
      </w:r>
      <w:r>
        <w:t xml:space="preserve"> </w:t>
      </w:r>
      <w:r>
        <w:t xml:space="preserve">,</w:t>
      </w:r>
      <w:r>
        <w:t xml:space="preserve"> </w:t>
      </w:r>
      <w:r>
        <w:t xml:space="preserve">Wiley, Hoboken, NJ, 2nd edition, 2017.</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7"/>
    <w:bookmarkStart w:id="68"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aligned on the sacrum. Red, lowest rib-bearing vertebra and its rib; blue, sacrum; yellow, rib-free vertebrae between. Cases 0704, 0428, 0094, 0005, chosen by rule. (b) and (c) share one upper border, a short rib pair under a full pair; (b) has no LSTV; (c) is Castellvi IIIb, its fifth lumbar segment fused to the sacrum.</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5.</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6.</w:t>
      </w:r>
      <w:r>
        <w:t xml:space="preserve"> </w:t>
      </w:r>
      <w:r>
        <w:t xml:space="preserve">Records carrying each vertebral level, cranial to caudal. Counts per identifier in Table S1.</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df" /><Relationship Type="http://schemas.openxmlformats.org/officeDocument/2006/relationships/image" Id="rId50" Target="media/rId50.pdf" /><Relationship Type="http://schemas.openxmlformats.org/officeDocument/2006/relationships/image" Id="rId32" Target="media/rId32.pdf" /><Relationship Type="http://schemas.openxmlformats.org/officeDocument/2006/relationships/image" Id="rId46" Target="media/rId46.pdf" /><Relationship Type="http://schemas.openxmlformats.org/officeDocument/2006/relationships/image" Id="rId41" Target="media/rId41.pdf" /><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Gregory-Schwing-MD-PhD/spinesurg-ct-nnunet" TargetMode="External" /><Relationship Type="http://schemas.openxmlformats.org/officeDocument/2006/relationships/hyperlink" Id="rId59" Target="https://github.com/OpenSpineConsortium/CTSpinoPelvic1K" TargetMode="External" /><Relationship Type="http://schemas.openxmlformats.org/officeDocument/2006/relationships/hyperlink" Id="rId25" Target="https://github.com/OpenSpineConsortium/OpenSpineToolkit" TargetMode="External" /><Relationship Type="http://schemas.openxmlformats.org/officeDocument/2006/relationships/hyperlink" Id="rId23" Target="https://huggingface.co/OpenSpineConsortium/spinopelvic-seg-checkpoints" TargetMode="External" /><Relationship Type="http://schemas.openxmlformats.org/officeDocument/2006/relationships/hyperlink" Id="rId60" Target="https://huggingface.co/datasets/OpenSpineConsortium/CTSpinoPelvic1K" TargetMode="External" /><Relationship Type="http://schemas.openxmlformats.org/officeDocument/2006/relationships/hyperlink" Id="rId64" Target="https://www.asnr.org/wp-content/uploads/2019/06/CT-Spine-1.pdf" TargetMode="External" /><Relationship Type="http://schemas.openxmlformats.org/officeDocument/2006/relationships/hyperlink" Id="rId65" Target="https://www.asnr.org/wp-content/uploads/2019/06/MR-Adult-Spine.pdf" TargetMode="External" /><Relationship Type="http://schemas.openxmlformats.org/officeDocument/2006/relationships/hyperlink" Id="rId66"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2026-09-13T16:18:16Z</dcterms:created>
  <dcterms:modified xsi:type="dcterms:W3CDTF">2026-09-13T16:18:16Z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The gold standard for naming a vertebra at the lumbosacral junction is counting caudally from C2 on whole-spine imaging. In practice, a lumbar surgical case is planned on lumbar-only imaging (T12 to S1) without C2, making the gold standard method impossible. Abdominopelvic computed tomography (CT) holds the lumbar-only imaging span plus the lowest ribs and pelvis, making it a reasonable substitute for the preoperative view. When a lumbosacral transitional vertebra (LSTV) alters the count, however, the local anatomy is much more ambiguous. A person who has four rib-free lumbar vertebrae may have an L1 with a lumbar rib or an L5 assimilated to the sacrum, and a person who has six rib-free lumbar vertebrae may have an L6, a T12 with aplastic ribs, or a lumbarized S1. CTSpinoPelvic1K permits asking whether local morphology can resolve that ambiguity without counting caudally from C2. Two public label sets already covered this imaging, CTSpine1K’s vertebrae and CTPelvic1K’s pelvis, on the same colonography patients. This release joins them in one dataset of 802 CT records and adds ribs, femora and surgical hardware. It also introduces classes for L6, T13 and lumbar ribs, a class vocabulary that describes more of the anomalies at this junction than any existing public CT collection.Acquisition and Validation Methods: Records pair CTSpine1K and CTPelvic1K masks on each patient’s bone-richest TCIA acquisition, and the release carries the series keys that map every mask to its volume.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imaging-based prevalence of anatomical variants in an asymptomatic cohort; and spinopelvic biomechanical modelling from patient-matched prone and supine acquisitions. Limitations: thoracic ground truth is field-of-view limited; postural angles are non-standing; no held-out test set; ribs are triaged-review pseudolabels; Castellvi grades are two-reader consensus on 33 records.</vt:lpwstr>
  </property>
  <property fmtid="{D5CDD505-2E9C-101B-9397-08002B2CF9AE}" pid="3" name="date">
    <vt:lpwstr>2026-09-13</vt:lpwstr>
  </property>
</Properties>
</file>