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For transitional anatomy the gold standard for numeration remains</w:t>
      </w:r>
      <w:r>
        <w:t xml:space="preserve"> </w:t>
      </w:r>
      <w:r>
        <w:t xml:space="preserve">whole-spine imaging and counting caudally from C2 </w:t>
      </w:r>
      <w:r>
        <w:t xml:space="preserve">. Abdominal CT does not</w:t>
      </w:r>
      <w:r>
        <w:t xml:space="preserve"> </w:t>
      </w:r>
      <w:r>
        <w:t xml:space="preserve">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abdominal and spine-limited images a surgeon actually</w:t>
      </w:r>
      <w:r>
        <w:t xml:space="preserve"> </w:t>
      </w:r>
      <w:r>
        <w:t xml:space="preserve">has, in the patients where counting fails.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w:t>
      </w:r>
      <w:r>
        <w:t xml:space="preserve"> </w:t>
      </w:r>
      <w:r>
        <w:t xml:space="preserve">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2026-09-06T19:06:58Z</dcterms:created>
  <dcterms:modified xsi:type="dcterms:W3CDTF">2026-09-06T19:06:58Z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For transitional anatomy the gold standard for numeration remains whole-spine imaging and counting caudally from C2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