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</w:rPr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273050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"/>
      </w:pP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ru-RU"/>
        </w:rPr>
        <w:t xml:space="preserve">   </w:t>
      </w: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22-534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Баранова Александра</w:t>
      </w: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2</w:t>
      </w:r>
      <w:r>
        <w:rPr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178.92</w:t>
            </w: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70.15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860.30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13.36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5.89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3.66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5.14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30.58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C2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F3+D4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F4+D5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246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F5+D6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F6+D7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F7+D8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F8+D9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282512</wp:posOffset>
            </wp:positionV>
            <wp:extent cx="5936616" cy="3541560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541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282001</wp:posOffset>
            </wp:positionV>
            <wp:extent cx="5936616" cy="4295116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295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174.12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175.28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183.73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182.57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181.98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693.83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730.50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1100.22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1037.24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1006.86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-8.95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-8.69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-5.24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-6.00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2.79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31.83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-0.58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180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-32.99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240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2167.94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541.99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0.67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-9.01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2.27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до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∞</m:t>
              </m:r>
            </m:oMath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0.21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164.82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172.32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172.32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186.96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186.96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194.45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194.45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288862</wp:posOffset>
            </wp:positionV>
            <wp:extent cx="5936616" cy="4166800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166800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9.07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337.89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4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color w:val="000000"/>
                <w:sz w:val="24"/>
                <w:shd w:val="clear" w:color="auto" w:fill="ffffff"/>
              </w:rPr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</w:rPr>
              <w:t>критерий</w:t>
            </w:r>
            <w:r>
              <w:rPr>
                <w:rtl w:val="0"/>
                <w:lang w:val="en-US"/>
              </w:rPr>
              <w:t xml:space="preserve">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tl w:val="0"/>
                <w:lang w:val="ru-RU"/>
              </w:rPr>
              <w:t xml:space="preserve"> не отвергает гипотезу о нормальности распределения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но критерий Харке</w:t>
            </w:r>
            <w:r>
              <w:rPr>
                <w:rtl w:val="0"/>
              </w:rPr>
              <w:t>-</w:t>
            </w:r>
            <w:r>
              <w:rPr>
                <w:rtl w:val="0"/>
                <w:lang w:val="ru-RU"/>
              </w:rPr>
              <w:t>Бера отвергает её</w:t>
            </w:r>
            <w:r>
              <w:rPr>
                <w:rtl w:val="0"/>
              </w:rPr>
              <w:t>.</w:t>
            </w:r>
          </w:p>
          <w:p>
            <w:pPr>
              <w:pStyle w:val="Body"/>
              <w:rPr>
                <w:shd w:val="clear" w:color="auto" w:fill="ffffff"/>
              </w:rPr>
            </w:pPr>
          </w:p>
          <w:p>
            <w:pPr>
              <w:pStyle w:val="Body"/>
              <w:rPr>
                <w:color w:val="000000"/>
                <w:sz w:val="24"/>
              </w:rPr>
            </w:pP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Так как для этих данных критерий Харке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-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Бера более чувствителен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</w:rPr>
              <w:t xml:space="preserve">чем критерий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то можно сделать вывод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 xml:space="preserve">что выборка </w:t>
            </w:r>
            <w:r>
              <w:rPr>
                <w:rFonts w:cs="Arial Unicode MS" w:eastAsia="Arial Unicode MS"/>
                <w:shd w:val="clear" w:color="auto" w:fill="ffffff"/>
                <w:rtl w:val="0"/>
                <w:lang w:val="en-US"/>
              </w:rPr>
              <w:t xml:space="preserve">B7 (Weight (lbs))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не имеет нормального распределения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-12.72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4.92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29.51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148.10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288862</wp:posOffset>
            </wp:positionV>
            <wp:extent cx="5936616" cy="4326105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326105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113.71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82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выборки </w:t>
            </w:r>
            <w:r>
              <w:rPr>
                <w:shd w:val="nil" w:color="auto" w:fill="auto"/>
                <w:rtl w:val="0"/>
                <w:lang w:val="en-US"/>
              </w:rPr>
              <w:t xml:space="preserve">B11 </w:t>
            </w:r>
            <w:r>
              <w:rPr>
                <w:rtl w:val="0"/>
                <w:lang w:val="en-US"/>
              </w:rPr>
              <w:t>(Abdomen circumference (cm))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en-US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shd w:val="clear" w:color="auto" w:fill="ffffff"/>
                <w:rtl w:val="0"/>
                <w:lang w:val="ru-RU"/>
              </w:rPr>
              <w:t xml:space="preserve">и </w:t>
            </w:r>
            <w:r>
              <w:rPr>
                <w:shd w:val="clear" w:color="auto" w:fill="ffffff"/>
                <w:rtl w:val="0"/>
                <w:lang w:val="en-US"/>
              </w:rPr>
              <w:t>B12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ru-RU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rtl w:val="0"/>
                <w:lang w:val="en-US"/>
              </w:rPr>
              <w:t xml:space="preserve">(Hip circumference (cm)) </w:t>
            </w:r>
            <w:r>
              <w:rPr>
                <w:rtl w:val="0"/>
                <w:lang w:val="ru-RU"/>
              </w:rPr>
              <w:t>неоднородны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B3 (Body fat)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B5 (Sex)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sSub>
                        <m:e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e>
                        <m:sub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b>
              </m:sSub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10"/>
        <w:gridCol w:w="2501"/>
        <w:gridCol w:w="402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4097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наблюдения случайного вектора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случайные величины дискретного типа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варианты признака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варианты признака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выборочная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теоретическая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 условии истинности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429966</wp:posOffset>
                </wp:positionV>
                <wp:extent cx="1200699" cy="367854"/>
                <wp:effectExtent l="0" t="0" r="0" b="0"/>
                <wp:wrapNone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1pt;margin-top:33.9pt;width:94.5pt;height:29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7"/>
        <w:gridCol w:w="2480"/>
        <w:gridCol w:w="2481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148568</wp:posOffset>
                </wp:positionV>
                <wp:extent cx="1200699" cy="367854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1pt;margin-top:11.7pt;width:94.5pt;height:29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2"/>
        <w:gridCol w:w="2479"/>
        <w:gridCol w:w="2488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44,29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75,71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14,39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24,61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34,32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58,68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shd w:val="nil" w:color="auto" w:fill="auto"/>
                <w:rtl w:val="0"/>
                <w:lang w:val="ru-RU"/>
              </w:rPr>
              <w:t xml:space="preserve">между факторным признаком </w:t>
            </w:r>
            <w:r>
              <w:rPr>
                <w:shd w:val="nil" w:color="auto" w:fill="auto"/>
                <w:rtl w:val="0"/>
                <w:lang w:val="ru-RU"/>
              </w:rPr>
              <w:t>B3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и результативным признаком </w:t>
            </w:r>
            <w:r>
              <w:rPr>
                <w:shd w:val="nil" w:color="auto" w:fill="auto"/>
                <w:rtl w:val="0"/>
                <w:lang w:val="en-US"/>
              </w:rPr>
              <w:t>B5</w:t>
            </w:r>
            <w:r>
              <w:rPr>
                <w:shd w:val="nil" w:color="auto" w:fill="auto"/>
                <w:rtl w:val="0"/>
                <w:lang w:val="ru-RU"/>
              </w:rPr>
              <w:t xml:space="preserve"> присутствует статистическая связь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Под действием </w:t>
            </w:r>
            <w:r>
              <w:rPr>
                <w:shd w:val="nil" w:color="auto" w:fill="auto"/>
                <w:rtl w:val="0"/>
                <w:lang w:val="en-US"/>
              </w:rPr>
              <w:t xml:space="preserve">B3 </w:t>
            </w:r>
            <w:r>
              <w:rPr>
                <w:shd w:val="nil" w:color="auto" w:fill="auto"/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shd w:val="nil" w:color="auto" w:fill="auto"/>
                <w:rtl w:val="0"/>
                <w:lang w:val="en-US"/>
              </w:rPr>
              <w:t>B5.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B6 (Town)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 (Body density determined from underwater weighing)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Число вариантов факторного признака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4</m:t>
        </m:r>
      </m:oMath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8"/>
        <w:gridCol w:w="2700"/>
        <w:gridCol w:w="1793"/>
        <w:gridCol w:w="1806"/>
        <w:gridCol w:w="198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Arlington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Norwood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Revere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Somerville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8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4386"/>
        <w:gridCol w:w="1088"/>
        <w:gridCol w:w="162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179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внутр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p>
                <m:e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</m:ba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групповая дисперсия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248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251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644"/>
        <w:gridCol w:w="1620"/>
        <w:gridCol w:w="1620"/>
        <w:gridCol w:w="2160"/>
      </w:tblGrid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внутр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η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η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s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˜</m:t>
                            </m:r>
                          </m:lim>
                        </m:limUpp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межгр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 шкале Чеддока наблюдается слабая степень статистической связи между факторным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B6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B1.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внутр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групп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1.34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0.26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 xml:space="preserve">между факторным признаком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6</w:t>
            </w:r>
            <w:r>
              <w:rPr>
                <w:rtl w:val="0"/>
                <w:lang w:val="ru-RU"/>
              </w:rPr>
              <w:t xml:space="preserve"> и результативным признаком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>отсутствует</w:t>
            </w:r>
            <w:r>
              <w:rPr>
                <w:rtl w:val="0"/>
              </w:rPr>
              <w:t xml:space="preserve"> статистическая связь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6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 xml:space="preserve">не </w:t>
            </w:r>
            <w:r>
              <w:rPr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5328"/>
        <w:gridCol w:w="1137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1308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c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o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v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limUpp>
                          <m:e>
                            <m:limLow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∑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lim>
                            </m:limLow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lim>
                        </m:limUp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⋅</m:t>
                        </m:r>
                        <m:limUpp>
                          <m:e>
                            <m:limLow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∑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lim>
                            </m:limLow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lim>
                        </m:limUp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0.87</w:t>
            </w:r>
          </w:p>
        </w:tc>
      </w:tr>
      <w:tr>
        <w:tblPrEx>
          <w:shd w:val="clear" w:color="auto" w:fill="cdd4e9"/>
        </w:tblPrEx>
        <w:trPr>
          <w:trHeight w:val="224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S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ранги для выборок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соответственно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Можно показать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что </w:t>
            </w:r>
            <m:oMath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6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0.85</w:t>
            </w:r>
          </w:p>
        </w:tc>
      </w:tr>
      <w:tr>
        <w:tblPrEx>
          <w:shd w:val="clear" w:color="auto" w:fill="cdd4e9"/>
        </w:tblPrEx>
        <w:trPr>
          <w:trHeight w:val="384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τ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</m:sub>
                  </m:sSub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/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количество пар точек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таких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соответственно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Другой вариант расчёта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  </w:t>
            </w: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τ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[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инверсий в выборке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предварительно отсортированной по возрастанию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0.66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Для небольших объёмов выборок</w:t>
      </w:r>
      <w:r>
        <w:rPr>
          <w:rtl w:val="0"/>
          <w:lang w:val="ru-RU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500</m:t>
        </m:r>
      </m:oMath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ln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ln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 гипотезы</w:t>
            </w:r>
          </w:p>
        </w:tc>
      </w:tr>
      <w:tr>
        <w:tblPrEx>
          <w:shd w:val="clear" w:color="auto" w:fill="cdd4e9"/>
        </w:tblPrEx>
        <w:trPr>
          <w:trHeight w:val="942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sSubSup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ρ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096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Sup>
                                  <m:e>
                                    <m:limUpp>
                                      <m:e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ρ</m:t>
                                        </m:r>
                                      </m:e>
                                      <m:lim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˜</m:t>
                                        </m:r>
                                      </m:lim>
                                    </m:limUpp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s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p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)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tbl>
      <w:tblPr>
        <w:tblW w:w="94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61"/>
        <w:gridCol w:w="1404"/>
        <w:gridCol w:w="1632"/>
        <w:gridCol w:w="1002"/>
        <w:gridCol w:w="1879"/>
        <w:gridCol w:w="1632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28.45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89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25.00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15.71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424798</wp:posOffset>
                </wp:positionV>
                <wp:extent cx="2026029" cy="482351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6029" cy="48235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1pt;margin-top:33.4pt;width:159.5pt;height:38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549" w:right="0" w:hanging="549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B9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 xml:space="preserve">для ранговых коэффициентов корреляции по Кендаллу 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</m:eqArr>
      </m:oMath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146912</wp:posOffset>
                </wp:positionV>
                <wp:extent cx="2026029" cy="482351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6029" cy="48235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1pt;margin-top:11.6pt;width:159.5pt;height:38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549" w:right="0" w:hanging="549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B9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575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4"/>
                <w:shd w:val="nil" w:color="auto" w:fill="auto"/>
                <w:rtl w:val="0"/>
              </w:rPr>
            </w:pPr>
            <m:oMath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˜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sSup>
                <m:e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</m:dPr>
                    <m:e>
                      <m:limUpp>
                        <m:e>
                          <m:limLow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∑</m:t>
                              </m:r>
                            </m:e>
                            <m:li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j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lim>
                          </m:limLow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lim>
                      </m:limUpp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r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j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+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)</m:t>
                          </m:r>
                        </m:num>
                        <m:den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rPr>
                <w:color w:val="000000"/>
                <w:sz w:val="24"/>
                <w:shd w:val="nil" w:color="auto" w:fill="auto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— ранг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oMath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ого объекта в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oMath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ой выборке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color w:val="000000"/>
                <w:sz w:val="24"/>
                <w:shd w:val="nil" w:color="auto" w:fill="auto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 количество выборок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—объём выборок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Статистический критерий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</m:eqArr>
      </m:oMath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7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W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˜</m:t>
                  </m:r>
                </m:lim>
              </m:limUpp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точечная оценка коэффициента конкордации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выборок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каждой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351.65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7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между признаками </w:t>
            </w:r>
            <w:r>
              <w:rPr>
                <w:shd w:val="nil" w:color="auto" w:fill="auto"/>
                <w:rtl w:val="0"/>
                <w:lang w:val="en-US"/>
              </w:rPr>
              <w:t xml:space="preserve">B11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 xml:space="preserve">B12 </w:t>
            </w:r>
            <w:r>
              <w:rPr>
                <w:shd w:val="nil" w:color="auto" w:fill="auto"/>
                <w:rtl w:val="0"/>
                <w:lang w:val="ru-RU"/>
              </w:rPr>
              <w:t>существует сильная положительная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первую очередь линейная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Между признаками</w:t>
            </w:r>
            <w:r>
              <w:rPr>
                <w:shd w:val="nil" w:color="auto" w:fill="auto"/>
                <w:rtl w:val="0"/>
                <w:lang w:val="en-US"/>
              </w:rPr>
              <w:t xml:space="preserve"> B7, B8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 xml:space="preserve">B9 </w:t>
            </w:r>
            <w:r>
              <w:rPr>
                <w:shd w:val="nil" w:color="auto" w:fill="auto"/>
                <w:rtl w:val="0"/>
                <w:lang w:val="ru-RU"/>
              </w:rPr>
              <w:t>также наблюдается положительная монотонная корреляционная связь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 xml:space="preserve">B7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 xml:space="preserve">B9 </w:t>
            </w:r>
            <w:r>
              <w:rPr>
                <w:shd w:val="nil" w:color="auto" w:fill="auto"/>
                <w:rtl w:val="0"/>
                <w:lang w:val="ru-RU"/>
              </w:rPr>
              <w:t>имеют наиболее сильную положительную монотонную связь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hd w:val="nil" w:color="auto" w:fill="auto"/>
                <w:rtl w:val="0"/>
                <w:lang w:val="en-US"/>
              </w:rPr>
              <w:t xml:space="preserve">B8 </w:t>
            </w:r>
            <w:r>
              <w:rPr>
                <w:shd w:val="nil" w:color="auto" w:fill="auto"/>
                <w:rtl w:val="0"/>
                <w:lang w:val="ru-RU"/>
              </w:rPr>
              <w:t>с остальными имеет более слабую связь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969011" cy="231775"/>
            <wp:effectExtent l="0" t="0" r="0" b="0"/>
            <wp:docPr id="1073741834" name="officeArt object" descr="image19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9.pdf" descr="image19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8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8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9"/>
        <w:gridCol w:w="1834"/>
        <w:gridCol w:w="1586"/>
        <w:gridCol w:w="1585"/>
        <w:gridCol w:w="158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98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35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20.pdf" descr="image20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69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668656" cy="464185"/>
            <wp:effectExtent l="0" t="0" r="0" b="0"/>
            <wp:docPr id="1073741836" name="officeArt object" descr="image2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21.pdf" descr="image21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6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drawing xmlns:a="http://schemas.openxmlformats.org/drawingml/2006/main">
          <wp:inline distT="0" distB="0" distL="0" distR="0">
            <wp:extent cx="1364615" cy="245746"/>
            <wp:effectExtent l="0" t="0" r="0" b="0"/>
            <wp:docPr id="1073741837" name="officeArt object" descr="image2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22.pdf" descr="image22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30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38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20.pdf" descr="image20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5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969011" cy="464185"/>
            <wp:effectExtent l="0" t="0" r="0" b="0"/>
            <wp:docPr id="1073741839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2.pdf" descr="image2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1378586" cy="231775"/>
            <wp:effectExtent l="0" t="0" r="0" b="0"/>
            <wp:docPr id="1073741840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3.pdf" descr="image3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94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Множественный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800"/>
        <w:gridCol w:w="2160"/>
        <w:gridCol w:w="21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8"/>
        <w:gridCol w:w="2160"/>
        <w:gridCol w:w="2160"/>
        <w:gridCol w:w="198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19"/>
      <w:headerReference w:type="first" r:id="rId20"/>
      <w:footerReference w:type="default" r:id="rId21"/>
      <w:footerReference w:type="first" r:id="rId22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