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252729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</w:t>
      </w:r>
      <w:r>
        <w:rPr>
          <w:b w:val="1"/>
          <w:bCs w:val="1"/>
          <w:sz w:val="36"/>
          <w:szCs w:val="36"/>
          <w:rtl w:val="0"/>
          <w:lang w:val="ru-RU"/>
        </w:rPr>
        <w:t>-5</w:t>
      </w:r>
      <w:r>
        <w:rPr>
          <w:b w:val="1"/>
          <w:bCs w:val="1"/>
          <w:sz w:val="36"/>
          <w:szCs w:val="36"/>
          <w:rtl w:val="0"/>
          <w:lang w:val="en-US"/>
        </w:rPr>
        <w:t>3</w:t>
      </w:r>
      <w:r>
        <w:rPr>
          <w:b w:val="1"/>
          <w:bCs w:val="1"/>
          <w:sz w:val="36"/>
          <w:szCs w:val="36"/>
          <w:rtl w:val="0"/>
          <w:lang w:val="ru-RU"/>
        </w:rPr>
        <w:t>4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Когановского Григория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7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C10 (Cholesterol consumed (mg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C11 (Dietary beta-carotene consumed (mcg per day))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3.28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242.46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2185.60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151.37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17366.48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2165445.23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131.78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1471.55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13.76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217.82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3.34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3.40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25.38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203.0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197552</wp:posOffset>
            </wp:positionV>
            <wp:extent cx="5936616" cy="354156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3541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36616" cy="4357545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357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4.42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124.72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130.64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133.82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188.31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178.72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174.05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1121.82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1177.26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1205.56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1583.96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1528.52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1500.21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4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408"/>
        <w:gridCol w:w="1637"/>
        <w:gridCol w:w="1056"/>
        <w:gridCol w:w="1939"/>
        <w:gridCol w:w="2410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4.72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-1.04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476.82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305.16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0.74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12.5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211.92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15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15.13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6.26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0,35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0,48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6" cy="4271897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271897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332.48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632630.74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427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оба критерия согласия отвергают гипотезу о нормальности распределения величины </w:t>
            </w:r>
            <w:r>
              <w:rPr>
                <w:shd w:val="nil" w:color="auto" w:fill="auto"/>
                <w:rtl w:val="0"/>
                <w:lang w:val="en-US"/>
              </w:rPr>
              <w:t>C9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поэтому можно сделать вывод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  <w:lang w:val="en-US"/>
              </w:rPr>
              <w:t>C9 (Number of alcoholic drinks consumed per week)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не имеет нормального распределения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-14.03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300.38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3604.50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9642.00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6" cy="4258510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4258510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223.69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7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выборки С</w:t>
            </w:r>
            <w:r>
              <w:rPr>
                <w:shd w:val="nil" w:color="auto" w:fill="auto"/>
                <w:rtl w:val="0"/>
                <w:lang w:val="ru-RU"/>
              </w:rPr>
              <w:t>11 (</w:t>
            </w:r>
            <w:r>
              <w:rPr>
                <w:shd w:val="nil" w:color="auto" w:fill="auto"/>
                <w:rtl w:val="0"/>
                <w:lang w:val="ru-RU"/>
              </w:rPr>
              <w:t>Dietary beta-carotene consumed (mcg per day)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>C12 (</w:t>
            </w:r>
            <w:r>
              <w:rPr>
                <w:shd w:val="nil" w:color="auto" w:fill="auto"/>
                <w:rtl w:val="0"/>
                <w:lang w:val="ru-RU"/>
              </w:rPr>
              <w:t>Dietary retinol consumed (mcg per day)</w:t>
            </w:r>
            <w:r>
              <w:rPr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неоднородны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429922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109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420942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33.1pt;width:94.5pt;height:29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96,20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71,07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105,73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14,80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10,93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16,27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111,00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11.07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  <w:lang w:val="en-US"/>
              </w:rPr>
              <w:t xml:space="preserve">C2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  <w:lang w:val="en-US"/>
              </w:rPr>
              <w:t>C5</w:t>
            </w:r>
            <w:r>
              <w:rPr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  <w:lang w:val="en-US"/>
              </w:rPr>
              <w:t xml:space="preserve">C3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  <w:lang w:val="en-US"/>
              </w:rPr>
              <w:t>C5.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C5 (Vitamin Use)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C4 (Quetelet (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g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g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den>
        </m:f>
      </m:oMath>
      <w:r>
        <w:rPr>
          <w:rtl w:val="0"/>
          <w:lang w:val="ru-RU"/>
        </w:rPr>
        <w:t>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</m:t>
        </m:r>
      </m:oMath>
    </w:p>
    <w:p>
      <w:pPr>
        <w:pStyle w:val="Normal.0"/>
        <w:spacing w:line="360" w:lineRule="auto"/>
        <w:rPr>
          <w:outline w:val="0"/>
          <w:color w:val="a9b1d6"/>
          <w:sz w:val="24"/>
          <w:shd w:val="clear" w:color="auto" w:fill="ffffff"/>
          <w14:textFill>
            <w14:solidFill>
              <w14:srgbClr w14:val="A9B1D6"/>
            </w14:solidFill>
          </w14:textFill>
        </w:rPr>
      </w:pPr>
      <w:r>
        <w:rPr>
          <w:rtl w:val="0"/>
          <w:lang w:val="ru-RU"/>
        </w:rPr>
        <w:t xml:space="preserve">Объёмы выборок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26.53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34.21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 often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41.24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Often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4386"/>
        <w:gridCol w:w="1088"/>
        <w:gridCol w:w="162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0.27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42.52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35.78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312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36.05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314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36.16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0.27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35.78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 шкале Чеддока наблюдается отсутствие статистической связи между факторным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результативным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0"/>
                            <w:szCs w:val="10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0"/>
                        <w:szCs w:val="10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0"/>
                    <w:szCs w:val="10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что между факторным признаком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</w:rPr>
              <w:t xml:space="preserve">C4 </w:t>
            </w:r>
            <w:r>
              <w:rPr>
                <w:rtl w:val="0"/>
                <w:lang w:val="ru-RU"/>
              </w:rPr>
              <w:t>отсутствует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не оказывается влияние на распределение </w:t>
            </w:r>
            <w:r>
              <w:rPr>
                <w:rtl w:val="0"/>
              </w:rPr>
              <w:t>C4.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5328"/>
        <w:gridCol w:w="1137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1308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c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o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v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σ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⋅</m:t>
                        </m:r>
                        <m:limUpp>
                          <m:e>
                            <m:limLow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∑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lim>
                            </m:limLow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lim>
                        </m:limUp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e>
                        </m:ba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0.05</w:t>
            </w:r>
          </w:p>
        </w:tc>
      </w:tr>
      <w:tr>
        <w:tblPrEx>
          <w:shd w:val="clear" w:color="auto" w:fill="cdd4e9"/>
        </w:tblPrEx>
        <w:trPr>
          <w:trHeight w:val="22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ранги для выборок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и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Можно показать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что </w:t>
            </w:r>
            <m:oMath>
              <m:sSubSup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ρ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6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0.20</w:t>
            </w:r>
          </w:p>
        </w:tc>
      </w:tr>
      <w:tr>
        <w:tblPrEx>
          <w:shd w:val="clear" w:color="auto" w:fill="cdd4e9"/>
        </w:tblPrEx>
        <w:trPr>
          <w:trHeight w:val="384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53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</m:sub>
                  </m:sSub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/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количество пар точек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таких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0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соответственно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Другой вариант расчёта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:   </w:t>
            </w: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τ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4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[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&gt;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инверсий в выборке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предварительно отсортированной по возрастанию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1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>Для небольших объёмов выборок</w:t>
      </w:r>
      <w:r>
        <w:rPr>
          <w:rtl w:val="0"/>
          <w:lang w:val="ru-RU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&lt;</m:t>
        </m:r>
        <m:r>
          <w:rPr xmlns:w="http://schemas.openxmlformats.org/wordprocessingml/2006/main">
            <w:rFonts w:ascii="Cambria Math" w:hAnsi="Cambria Math"/>
            <w:i/>
            <w:color w:val="000000"/>
            <w:sz w:val="24"/>
            <w:szCs w:val="24"/>
          </w:rPr>
          <m:t>500</m:t>
        </m:r>
      </m:oMath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092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ln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u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2</m:t>
                                </m:r>
                              </m:den>
                            </m:f>
                          </m:sub>
                        </m:sSub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-0.04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0.15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 гипотезы</w:t>
            </w:r>
          </w:p>
        </w:tc>
      </w:tr>
      <w:tr>
        <w:tblPrEx>
          <w:shd w:val="clear" w:color="auto" w:fill="cdd4e9"/>
        </w:tblPrEx>
        <w:trPr>
          <w:trHeight w:val="942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bSup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ρ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096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ρ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e>
                    </m:rad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Sup>
                                  <m:e>
                                    <m:limUpp>
                                      <m:e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ρ</m:t>
                                        </m:r>
                                      </m:e>
                                      <m:lim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˜</m:t>
                                        </m:r>
                                      </m:lim>
                                    </m:limUpp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Y</m:t>
                                    </m:r>
                                  </m:sub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(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s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p</m:t>
                                    </m:r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)</m:t>
                                    </m:r>
                                  </m:sup>
                                </m:sSubSup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den>
                    </m:f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τ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4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61"/>
        <w:gridCol w:w="1404"/>
        <w:gridCol w:w="1632"/>
        <w:gridCol w:w="1002"/>
        <w:gridCol w:w="1879"/>
        <w:gridCol w:w="1632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0.94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0.35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89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ρ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3.54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p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590" w:hRule="atLeast"/>
        </w:trPr>
        <w:tc>
          <w:tcPr>
            <w:tcW w:type="dxa" w:w="1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eqArr>
                  <m:eqAr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eqArrPr>
                  <m:e>
                    <m:sSub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b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  <m:e>
                    <m:sSu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H</m:t>
                        </m:r>
                      </m:e>
                      <m:sup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′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: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≠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e>
                </m:eqArr>
              </m:oMath>
            </m:oMathPara>
          </w:p>
        </w:tc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3.53</w:t>
            </w:r>
          </w:p>
        </w:tc>
        <w:tc>
          <w:tcPr>
            <w:tcW w:type="dxa" w:w="10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1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τ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C10 (Cholesterol consumed (mg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C11 (Dietary beta-carotene consumed (mcg per day))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3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424302</wp:posOffset>
                </wp:positionV>
                <wp:extent cx="2026029" cy="482351"/>
                <wp:effectExtent l="0" t="0" r="0" b="0"/>
                <wp:wrapNone/>
                <wp:docPr id="1073741832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0.1pt;margin-top:33.4pt;width:159.5pt;height:3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0.13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>для ранговых коэффициентов корреляции по Кендаллу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τ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549" w:right="0" w:hanging="549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0.10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0.27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—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page">
                  <wp:posOffset>720090</wp:posOffset>
                </wp:positionV>
                <wp:extent cx="2026029" cy="482351"/>
                <wp:effectExtent l="0" t="0" r="0" b="0"/>
                <wp:wrapNone/>
                <wp:docPr id="1073741833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26029" cy="482351"/>
                        </a:xfrm>
                        <a:prstGeom prst="line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0.1pt;margin-top:56.7pt;width:159.5pt;height:38.0pt;z-index:251667456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575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4"/>
                <w:shd w:val="nil" w:color="auto" w:fill="auto"/>
                <w:rtl w:val="0"/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den>
              </m:f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lim>
              </m:limUpp>
              <m:sSup>
                <m:e>
                  <m:d>
                    <m: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</m:dPr>
                    <m:e>
                      <m:limUpp>
                        <m:e>
                          <m:limLow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∑</m:t>
                              </m:r>
                            </m:e>
                            <m:lim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j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=</m:t>
                              </m:r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lim>
                          </m:limLow>
                        </m:e>
                        <m:li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lim>
                      </m:limUpp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r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j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-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(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n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+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)</m:t>
                          </m:r>
                        </m:num>
                        <m:den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en-US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— ранг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 xml:space="preserve">ого объекта в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</m:oMath>
            <w:r>
              <w:rPr>
                <w:shd w:val="nil" w:color="auto" w:fill="auto"/>
                <w:rtl w:val="0"/>
                <w:lang w:val="en-US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ой выборке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  <w:shd w:val="nil" w:color="auto" w:fill="auto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 количество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—объём выборок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Статистический критерий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≠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4"/>
                <w:szCs w:val="24"/>
              </w:rPr>
              <m:t>0</m:t>
            </m:r>
          </m:e>
        </m:eqArr>
      </m:oMath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7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W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˜</m:t>
                    </m:r>
                  </m:lim>
                </m:limUpp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limUp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W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˜</m:t>
                  </m:r>
                </m:lim>
              </m:limUpp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точечная оценка коэффициента конкордации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выборок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каждой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255.27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W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4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м</w:t>
            </w:r>
            <w:r>
              <w:rPr>
                <w:shd w:val="clear" w:color="auto" w:fill="ffffff"/>
                <w:rtl w:val="0"/>
                <w:lang w:val="ru-RU"/>
              </w:rPr>
              <w:t xml:space="preserve">ежду признаками </w:t>
            </w:r>
            <w:r>
              <w:rPr>
                <w:shd w:val="clear" w:color="auto" w:fill="ffffff"/>
                <w:rtl w:val="0"/>
                <w:lang w:val="en-US"/>
              </w:rPr>
              <w:t xml:space="preserve">C11 </w:t>
            </w:r>
            <w:r>
              <w:rPr>
                <w:shd w:val="clear" w:color="auto" w:fill="ffffff"/>
                <w:rtl w:val="0"/>
                <w:lang w:val="ru-RU"/>
              </w:rPr>
              <w:t xml:space="preserve">и </w:t>
            </w:r>
            <w:r>
              <w:rPr>
                <w:shd w:val="clear" w:color="auto" w:fill="ffffff"/>
                <w:rtl w:val="0"/>
                <w:lang w:val="en-US"/>
              </w:rPr>
              <w:t xml:space="preserve">C12 </w:t>
            </w:r>
            <w:r>
              <w:rPr>
                <w:shd w:val="clear" w:color="auto" w:fill="ffffff"/>
                <w:rtl w:val="0"/>
                <w:lang w:val="ru-RU"/>
              </w:rPr>
              <w:t>нет линейной корреляционной связи</w:t>
            </w:r>
            <w:r>
              <w:rPr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hd w:val="clear" w:color="auto" w:fill="ffffff"/>
                <w:rtl w:val="0"/>
                <w:lang w:val="ru-RU"/>
              </w:rPr>
              <w:t>однако существует слабая</w:t>
            </w:r>
            <w:r>
              <w:rPr>
                <w:shd w:val="clear" w:color="auto" w:fill="ffffff"/>
                <w:rtl w:val="0"/>
                <w:lang w:val="ru-RU"/>
              </w:rPr>
              <w:t xml:space="preserve">, </w:t>
            </w:r>
            <w:r>
              <w:rPr>
                <w:shd w:val="clear" w:color="auto" w:fill="ffffff"/>
                <w:rtl w:val="0"/>
                <w:lang w:val="ru-RU"/>
              </w:rPr>
              <w:t>но статистически значимая монотонная корреляционная связь</w:t>
            </w:r>
            <w:r>
              <w:rPr>
                <w:shd w:val="clear" w:color="auto" w:fill="ffffff"/>
                <w:rtl w:val="0"/>
                <w:lang w:val="ru-RU"/>
              </w:rPr>
              <w:t>.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  <w:lang w:val="ru-RU"/>
              </w:rPr>
              <w:t xml:space="preserve">Между признаками </w:t>
            </w:r>
            <w:r>
              <w:rPr>
                <w:rtl w:val="0"/>
                <w:lang w:val="en-US"/>
              </w:rPr>
              <w:t xml:space="preserve">C9, C10,  C11 </w:t>
            </w:r>
            <w:r>
              <w:rPr>
                <w:rtl w:val="0"/>
                <w:lang w:val="ru-RU"/>
              </w:rPr>
              <w:t>наблюдается отсутствие значимой монотонной связи между их парами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 xml:space="preserve">Наибольшая монотонная связь между </w:t>
            </w:r>
            <w:r>
              <w:rPr>
                <w:rtl w:val="0"/>
                <w:lang w:val="en-US"/>
              </w:rPr>
              <w:t xml:space="preserve">C10 </w:t>
            </w:r>
            <w:r>
              <w:rPr>
                <w:rtl w:val="0"/>
                <w:lang w:val="ru-RU"/>
              </w:rPr>
              <w:t xml:space="preserve">и </w:t>
            </w:r>
            <w:r>
              <w:rPr>
                <w:rtl w:val="0"/>
                <w:lang w:val="en-US"/>
              </w:rPr>
              <w:t>C11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притом она статистически значимая</w:t>
            </w:r>
            <w:r>
              <w:rPr>
                <w:rtl w:val="0"/>
                <w:lang w:val="en-US"/>
              </w:rPr>
              <w:t>.</w:t>
            </w:r>
            <w:r>
              <w:rPr>
                <w:rtl w:val="0"/>
                <w:lang w:val="ru-RU"/>
              </w:rPr>
              <w:t xml:space="preserve"> Между остальными парами можно утверждать о том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что монотонная связь между ними отсутствует</w:t>
            </w:r>
            <w:r>
              <w:rPr>
                <w:rtl w:val="0"/>
                <w:lang w:val="ru-RU"/>
              </w:rPr>
              <w:t xml:space="preserve">. </w:t>
            </w:r>
            <w:r>
              <w:rPr>
                <w:rtl w:val="0"/>
                <w:lang w:val="ru-RU"/>
              </w:rPr>
              <w:t>Также общая согласованность рангов наблюдается слабая</w:t>
            </w:r>
            <w:r>
              <w:rPr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>статистически незначимая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34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9.pdf" descr="image19.pdf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35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20.pdf" descr="image20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36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21.pdf" descr="image21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37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22.pdf" descr="image22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38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20.pdf" descr="image20.pdf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39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2.pdf" descr="image2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0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3.pdf" descr="image3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19"/>
      <w:headerReference w:type="first" r:id="rId20"/>
      <w:footerReference w:type="default" r:id="rId21"/>
      <w:footerReference w:type="first" r:id="rId22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footer" Target="footer3.xml"/><Relationship Id="rId22" Type="http://schemas.openxmlformats.org/officeDocument/2006/relationships/footer" Target="footer4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