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3</w:t>
      </w:r>
    </w:p>
    <w:p>
      <w:pPr>
        <w:pStyle w:val="Основной текст"/>
      </w:pPr>
      <w:r>
        <w:rPr>
          <w:sz w:val="22"/>
          <w:szCs w:val="22"/>
          <w:rtl w:val="0"/>
          <w:lang w:val="ru-RU"/>
        </w:rPr>
        <w:t>«Однофакторный дисперсионный анализ»</w:t>
      </w:r>
    </w:p>
    <w:p>
      <w:pPr>
        <w:pStyle w:val="Обычный"/>
        <w:jc w:val="center"/>
        <w:rPr>
          <w:b w:val="1"/>
          <w:bCs w:val="1"/>
          <w:sz w:val="12"/>
          <w:szCs w:val="1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</w:t>
      </w:r>
      <w:r>
        <w:rPr>
          <w:sz w:val="22"/>
          <w:szCs w:val="22"/>
          <w:u w:val="single"/>
          <w:rtl w:val="0"/>
          <w:lang w:val="ru-RU"/>
        </w:rPr>
        <w:t xml:space="preserve"> Когановского Григория 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 Б</w:t>
      </w:r>
      <w:r>
        <w:rPr>
          <w:sz w:val="22"/>
          <w:szCs w:val="22"/>
          <w:u w:val="single"/>
          <w:rtl w:val="0"/>
          <w:lang w:val="ru-RU"/>
        </w:rPr>
        <w:t>22-534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Дата сдачи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 xml:space="preserve"> 29.11.2024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Новиков М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 xml:space="preserve">.  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Обычный"/>
        <w:jc w:val="center"/>
        <w:rPr>
          <w:sz w:val="22"/>
          <w:szCs w:val="22"/>
        </w:rPr>
      </w:pP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Вариант 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7</w:t>
      </w:r>
    </w:p>
    <w:p>
      <w:pPr>
        <w:pStyle w:val="Обычный"/>
        <w:jc w:val="center"/>
        <w:rPr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изучение функций </w:t>
      </w:r>
      <w:r>
        <w:rPr>
          <w:sz w:val="22"/>
          <w:szCs w:val="22"/>
          <w:rtl w:val="0"/>
          <w:lang w:val="en-US"/>
        </w:rPr>
        <w:t>Statistics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and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Machine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Learning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Toolbox</w:t>
      </w:r>
      <w:r>
        <w:rPr>
          <w:rFonts w:ascii="Symbol" w:hAnsi="Symbol" w:hint="default"/>
          <w:sz w:val="22"/>
          <w:szCs w:val="22"/>
          <w:rtl w:val="0"/>
          <w:lang w:val="ru-RU"/>
        </w:rPr>
        <w:t>Ô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MATLAB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Python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SciPy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stats</w:t>
      </w:r>
      <w:r>
        <w:rPr>
          <w:sz w:val="22"/>
          <w:szCs w:val="22"/>
          <w:rtl w:val="0"/>
          <w:lang w:val="ru-RU"/>
        </w:rPr>
        <w:t xml:space="preserve"> для проведения однофакторного дисперсионного анализа </w:t>
      </w:r>
      <w:r>
        <w:rPr>
          <w:sz w:val="22"/>
          <w:szCs w:val="22"/>
          <w:rtl w:val="0"/>
          <w:lang w:val="ru-RU"/>
        </w:rPr>
        <w:t>(</w:t>
      </w:r>
      <w:r>
        <w:rPr>
          <w:i w:val="1"/>
          <w:iCs w:val="1"/>
          <w:sz w:val="22"/>
          <w:szCs w:val="22"/>
          <w:rtl w:val="0"/>
          <w:lang w:val="en-US"/>
        </w:rPr>
        <w:t>One</w:t>
      </w:r>
      <w:r>
        <w:rPr>
          <w:i w:val="1"/>
          <w:iCs w:val="1"/>
          <w:sz w:val="22"/>
          <w:szCs w:val="22"/>
          <w:rtl w:val="0"/>
          <w:lang w:val="ru-RU"/>
        </w:rPr>
        <w:t>-</w:t>
      </w:r>
      <w:r>
        <w:rPr>
          <w:i w:val="1"/>
          <w:iCs w:val="1"/>
          <w:sz w:val="22"/>
          <w:szCs w:val="22"/>
          <w:rtl w:val="0"/>
          <w:lang w:val="en-US"/>
        </w:rPr>
        <w:t>Way</w:t>
      </w:r>
      <w:r>
        <w:rPr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ANOVA</w:t>
      </w:r>
      <w:r>
        <w:rPr>
          <w:sz w:val="22"/>
          <w:szCs w:val="22"/>
          <w:rtl w:val="0"/>
          <w:lang w:val="ru-RU"/>
        </w:rPr>
        <w:t>).</w:t>
      </w:r>
    </w:p>
    <w:p>
      <w:pPr>
        <w:pStyle w:val="Обычный"/>
        <w:jc w:val="both"/>
        <w:rPr>
          <w:sz w:val="12"/>
          <w:szCs w:val="12"/>
        </w:rPr>
      </w:pPr>
    </w:p>
    <w:p>
      <w:pPr>
        <w:pStyle w:val="Обычный"/>
        <w:jc w:val="both"/>
        <w:rPr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1. </w:t>
      </w:r>
      <w:r>
        <w:rPr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Характеристики наблюдаемых случайных величин</w:t>
      </w:r>
      <w:r>
        <w:rPr>
          <w:u w:val="none"/>
          <w:rtl w:val="0"/>
          <w:lang w:val="ru-RU"/>
        </w:rPr>
        <w:t>:</w:t>
      </w:r>
    </w:p>
    <w:p>
      <w:pPr>
        <w:pStyle w:val="Основной текст 2"/>
        <w:rPr>
          <w:u w:val="none"/>
        </w:rPr>
      </w:pP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7"/>
        <w:gridCol w:w="1378"/>
        <w:gridCol w:w="1103"/>
        <w:gridCol w:w="1517"/>
        <w:gridCol w:w="1240"/>
        <w:gridCol w:w="1103"/>
      </w:tblGrid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m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Объем выборки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77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1,2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64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2,0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4"/>
                    <w:szCs w:val="14"/>
                  </w:rPr>
                  <m:t>0</m:t>
                </m:r>
              </m:oMath>
            </m:oMathPara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79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2, 1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Количество случайных величин </w:t>
      </w:r>
      <w:r>
        <w:rPr>
          <w:i w:val="1"/>
          <w:iCs w:val="1"/>
          <w:u w:val="none"/>
          <w:rtl w:val="0"/>
          <w:lang w:val="en-US"/>
        </w:rPr>
        <w:t>k</w:t>
      </w:r>
      <w:r>
        <w:rPr>
          <w:u w:val="none"/>
          <w:rtl w:val="0"/>
          <w:lang w:val="ru-RU"/>
        </w:rPr>
        <w:t xml:space="preserve"> =</w:t>
      </w:r>
      <w:r>
        <w:rPr>
          <w:u w:val="none"/>
          <w:rtl w:val="0"/>
          <w:lang w:val="ru-RU"/>
        </w:rPr>
        <w:t xml:space="preserve"> 3</w:t>
      </w: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генерации случайных чисел использовать функции </w:t>
      </w:r>
      <w:r>
        <w:rPr>
          <w:b w:val="1"/>
          <w:bCs w:val="1"/>
          <w:u w:val="none"/>
          <w:rtl w:val="0"/>
          <w:lang w:val="en-US"/>
        </w:rPr>
        <w:t>rand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randn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rnd</w:t>
      </w:r>
      <w:r>
        <w:rPr>
          <w:b w:val="1"/>
          <w:bCs w:val="1"/>
          <w:u w:val="none"/>
          <w:rtl w:val="0"/>
          <w:lang w:val="ru-RU"/>
        </w:rPr>
        <w:t xml:space="preserve"> (</w:t>
      </w:r>
      <w:bookmarkStart w:name="OLE_LINK10" w:id="0"/>
      <w:r>
        <w:rPr>
          <w:b w:val="1"/>
          <w:bCs w:val="1"/>
          <w:u w:val="none"/>
          <w:rtl w:val="0"/>
          <w:lang w:val="ru-RU"/>
        </w:rPr>
        <w:t>s</w:t>
      </w:r>
      <w:bookmarkEnd w:id="0"/>
      <w:bookmarkStart w:name="OLE_LINK8" w:id="1"/>
      <w:r>
        <w:rPr>
          <w:b w:val="1"/>
          <w:bCs w:val="1"/>
          <w:u w:val="none"/>
          <w:rtl w:val="0"/>
          <w:lang w:val="ru-RU"/>
        </w:rPr>
        <w:t>c</w:t>
      </w:r>
      <w:bookmarkEnd w:id="1"/>
      <w:bookmarkStart w:name="OLE_LINK9" w:id="2"/>
      <w:r>
        <w:rPr>
          <w:b w:val="1"/>
          <w:bCs w:val="1"/>
          <w:u w:val="none"/>
          <w:rtl w:val="0"/>
          <w:lang w:val="ru-RU"/>
        </w:rPr>
        <w:t xml:space="preserve">ipy.stats: </w:t>
      </w:r>
      <w:r>
        <w:rPr>
          <w:b w:val="1"/>
          <w:bCs w:val="1"/>
          <w:u w:val="none"/>
          <w:rtl w:val="0"/>
          <w:lang w:val="en-US"/>
        </w:rPr>
        <w:t>uniform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norm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</w:t>
      </w:r>
      <w:bookmarkEnd w:id="2"/>
      <w:r>
        <w:rPr>
          <w:b w:val="1"/>
          <w:bCs w:val="1"/>
          <w:u w:val="none"/>
          <w:rtl w:val="0"/>
          <w:lang w:val="en-US"/>
        </w:rPr>
        <w:t>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Выборочные характеристики</w:t>
      </w:r>
      <w:r>
        <w:rPr>
          <w:u w:val="none"/>
          <w:rtl w:val="0"/>
          <w:lang w:val="ru-RU"/>
        </w:rPr>
        <w:t>:</w:t>
      </w:r>
    </w:p>
    <w:tbl>
      <w:tblPr>
        <w:tblW w:w="72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1"/>
        <w:gridCol w:w="1739"/>
        <w:gridCol w:w="2222"/>
        <w:gridCol w:w="2484"/>
      </w:tblGrid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6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9700" cy="190500"/>
                  <wp:effectExtent l="0" t="0" r="0" b="0"/>
                  <wp:docPr id="1073741827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9700" cy="190500"/>
                  <wp:effectExtent l="0" t="0" r="0" b="0"/>
                  <wp:docPr id="1073741828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-0.87</w:t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3.88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1.97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-0.92</w:t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0.33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0.57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2.01</w:t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0.93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Pooled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2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3.56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1.89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Визуальное представление выборок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Диаграммы </w:t>
      </w:r>
      <w:r>
        <w:rPr>
          <w:i w:val="1"/>
          <w:iCs w:val="1"/>
          <w:u w:val="none"/>
          <w:rtl w:val="0"/>
          <w:lang w:val="en-US"/>
        </w:rPr>
        <w:t>Box</w:t>
      </w:r>
      <w:r>
        <w:rPr>
          <w:i w:val="1"/>
          <w:iCs w:val="1"/>
          <w:u w:val="none"/>
          <w:rtl w:val="0"/>
          <w:lang w:val="ru-RU"/>
        </w:rPr>
        <w:t>-</w:t>
      </w:r>
      <w:r>
        <w:rPr>
          <w:i w:val="1"/>
          <w:iCs w:val="1"/>
          <w:u w:val="none"/>
          <w:rtl w:val="0"/>
          <w:lang w:val="en-US"/>
        </w:rPr>
        <w:t>and</w:t>
      </w:r>
      <w:r>
        <w:rPr>
          <w:i w:val="1"/>
          <w:iCs w:val="1"/>
          <w:u w:val="none"/>
          <w:rtl w:val="0"/>
          <w:lang w:val="ru-RU"/>
        </w:rPr>
        <w:t>-</w:t>
      </w:r>
      <w:r>
        <w:rPr>
          <w:i w:val="1"/>
          <w:iCs w:val="1"/>
          <w:u w:val="none"/>
          <w:rtl w:val="0"/>
          <w:lang w:val="en-US"/>
        </w:rPr>
        <w:t>Whisker</w:t>
      </w:r>
      <w:r>
        <w:rPr>
          <w:u w:val="none"/>
          <w:rtl w:val="0"/>
          <w:lang w:val="ru-RU"/>
        </w:rPr>
        <w:t>:</w:t>
      </w:r>
      <w:r>
        <w:rPr>
          <w:u w:val="none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4626610" cy="3376175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376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построения диаграмм использовать функции </w:t>
      </w:r>
      <w:r>
        <w:rPr>
          <w:b w:val="1"/>
          <w:bCs w:val="1"/>
          <w:u w:val="none"/>
          <w:rtl w:val="0"/>
          <w:lang w:val="en-US"/>
        </w:rPr>
        <w:t>boxplot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bookmarkStart w:name="OLE_LINK11" w:id="3"/>
      <w:r>
        <w:rPr>
          <w:b w:val="1"/>
          <w:bCs w:val="1"/>
          <w:u w:val="none"/>
          <w:rtl w:val="0"/>
          <w:lang w:val="en-US"/>
        </w:rPr>
        <w:t>v</w:t>
      </w:r>
      <w:bookmarkEnd w:id="3"/>
      <w:bookmarkStart w:name="OLE_LINK12" w:id="4"/>
      <w:r>
        <w:rPr>
          <w:b w:val="1"/>
          <w:bCs w:val="1"/>
          <w:u w:val="none"/>
          <w:rtl w:val="0"/>
          <w:lang w:val="en-US"/>
        </w:rPr>
        <w:t>artestn</w:t>
      </w:r>
      <w:bookmarkEnd w:id="4"/>
      <w:r>
        <w:rPr>
          <w:b w:val="1"/>
          <w:bCs w:val="1"/>
          <w:u w:val="none"/>
          <w:rtl w:val="0"/>
          <w:lang w:val="ru-RU"/>
        </w:rPr>
        <w:t xml:space="preserve"> (matplotlib.pyplot.boxplot)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 xml:space="preserve">Проверка условия применимости дисперсионного анализа 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color w:val="000000"/>
          <w:sz w:val="22"/>
          <w:u w:val="none"/>
        </w:rPr>
      </w:pP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: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bSup>
      </m:oMath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Критерий Бартлетта</w:t>
      </w:r>
      <w:r>
        <w:rPr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2126"/>
      </w:tblGrid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0.05</m:t>
                </m:r>
              </m:oMath>
            </m:oMathPara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.9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>для проверки гипотезы использовать функцию</w:t>
      </w:r>
      <w:r>
        <w:rPr>
          <w:b w:val="1"/>
          <w:bCs w:val="1"/>
          <w:u w:val="none"/>
          <w:rtl w:val="0"/>
          <w:lang w:val="ru-RU"/>
        </w:rPr>
        <w:t xml:space="preserve"> </w:t>
      </w:r>
      <w:r>
        <w:rPr>
          <w:b w:val="1"/>
          <w:bCs w:val="1"/>
          <w:u w:val="none"/>
          <w:rtl w:val="0"/>
          <w:lang w:val="en-US"/>
        </w:rPr>
        <w:t>vartestn</w:t>
      </w:r>
      <w:r>
        <w:rPr>
          <w:b w:val="1"/>
          <w:bCs w:val="1"/>
          <w:u w:val="none"/>
          <w:rtl w:val="0"/>
          <w:lang w:val="ru-RU"/>
        </w:rPr>
        <w:t xml:space="preserve"> (scipy.stats.bartlett)</w:t>
      </w:r>
    </w:p>
    <w:p>
      <w:pPr>
        <w:pStyle w:val="Основной текст 2"/>
      </w:pPr>
      <w:r>
        <w:rPr>
          <w:rtl w:val="0"/>
        </w:rPr>
        <w:t xml:space="preserve">4. </w:t>
      </w:r>
      <w:r>
        <w:rPr>
          <w:rtl w:val="0"/>
          <w:lang w:val="ru-RU"/>
        </w:rPr>
        <w:t>Однофакторный дисперсионный анализ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Таблица дисперсионного анализа</w:t>
      </w:r>
      <w:r>
        <w:rPr>
          <w:u w:val="none"/>
          <w:rtl w:val="0"/>
          <w:lang w:val="ru-RU"/>
        </w:rPr>
        <w:t>:</w:t>
      </w:r>
    </w:p>
    <w:tbl>
      <w:tblPr>
        <w:tblW w:w="72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7"/>
        <w:gridCol w:w="1656"/>
        <w:gridCol w:w="1656"/>
        <w:gridCol w:w="2181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Несмещённая оценка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Группировочный признак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1.88</m:t>
                </m:r>
              </m:oMath>
            </m:oMathPara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</m:t>
                </m:r>
              </m:oMath>
            </m:oMathPara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281.77</m:t>
                </m:r>
              </m:oMath>
            </m:oMathPara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1.67</m:t>
                </m:r>
              </m:oMath>
            </m:oMathPara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297</m:t>
                </m:r>
              </m:oMath>
            </m:oMathPara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1.69</m:t>
                </m:r>
              </m:oMath>
            </m:oMathPara>
          </w:p>
        </w:tc>
      </w:tr>
      <w:tr>
        <w:tblPrEx>
          <w:shd w:val="clear" w:color="auto" w:fill="ced7e7"/>
        </w:tblPrEx>
        <w:trPr>
          <w:trHeight w:val="661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3.55</m:t>
                </m:r>
              </m:oMath>
            </m:oMathPara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299</m:t>
                </m:r>
              </m:oMath>
            </m:oMathPara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3.56</m:t>
                </m:r>
              </m:oMath>
            </m:oMathPara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Эмпирический коэффициент детерминации </w:t>
      </w:r>
      <w:r>
        <w:rPr>
          <w:rFonts w:ascii="Symbol" w:hAnsi="Symbol" w:hint="default"/>
          <w:u w:val="none"/>
          <w:rtl w:val="0"/>
          <w:lang w:val="ru-RU"/>
        </w:rPr>
        <w:t>h</w:t>
      </w:r>
      <w:r>
        <w:rPr>
          <w:u w:val="none"/>
          <w:vertAlign w:val="superscript"/>
          <w:rtl w:val="0"/>
          <w:lang w:val="ru-RU"/>
        </w:rPr>
        <w:t>2</w:t>
      </w:r>
      <w:r>
        <w:rPr>
          <w:u w:val="none"/>
          <w:rtl w:val="0"/>
          <w:lang w:val="ru-RU"/>
        </w:rPr>
        <w:t xml:space="preserve"> =</w:t>
      </w:r>
      <w:r>
        <w:rPr>
          <w:u w:val="none"/>
          <w:rtl w:val="0"/>
          <w:lang w:val="ru-RU"/>
        </w:rPr>
        <w:t xml:space="preserve"> 0.</w:t>
      </w:r>
      <w:r>
        <w:rPr>
          <w:u w:val="none"/>
          <w:rtl w:val="0"/>
          <w:lang w:val="en-US"/>
        </w:rPr>
        <w:t>53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Эмпирическое корреляционное отношение </w:t>
      </w:r>
      <w:r>
        <w:rPr>
          <w:rFonts w:ascii="Symbol" w:hAnsi="Symbol" w:hint="default"/>
          <w:u w:val="none"/>
          <w:rtl w:val="0"/>
          <w:lang w:val="ru-RU"/>
        </w:rPr>
        <w:t>h</w:t>
      </w:r>
      <w:r>
        <w:rPr>
          <w:u w:val="none"/>
          <w:rtl w:val="0"/>
          <w:lang w:val="ru-RU"/>
        </w:rPr>
        <w:t xml:space="preserve">  =</w:t>
      </w:r>
      <w:r>
        <w:rPr>
          <w:u w:val="none"/>
          <w:rtl w:val="0"/>
          <w:lang w:val="ru-RU"/>
        </w:rPr>
        <w:t xml:space="preserve"> 0.</w:t>
      </w:r>
      <w:r>
        <w:rPr>
          <w:u w:val="none"/>
          <w:rtl w:val="0"/>
          <w:lang w:val="en-US"/>
        </w:rPr>
        <w:t>73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color w:val="000000"/>
          <w:sz w:val="22"/>
          <w:u w:val="none"/>
        </w:rPr>
      </w:pP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: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b>
        </m:sSub>
      </m:oMath>
    </w:p>
    <w:p>
      <w:pPr>
        <w:pStyle w:val="Основной текст 2"/>
        <w:rPr>
          <w:u w:val="none"/>
        </w:rPr>
      </w:pPr>
    </w:p>
    <w:tbl>
      <w:tblPr>
        <w:tblW w:w="72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1985"/>
      </w:tblGrid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0.05</m:t>
                </m:r>
              </m:oMath>
            </m:oMathPara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166.84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функцию </w:t>
      </w:r>
      <w:r>
        <w:rPr>
          <w:b w:val="1"/>
          <w:bCs w:val="1"/>
          <w:u w:val="none"/>
          <w:rtl w:val="0"/>
          <w:lang w:val="en-US"/>
        </w:rPr>
        <w:t>anova</w:t>
      </w:r>
      <w:r>
        <w:rPr>
          <w:b w:val="1"/>
          <w:bCs w:val="1"/>
          <w:u w:val="none"/>
          <w:rtl w:val="0"/>
          <w:lang w:val="ru-RU"/>
        </w:rPr>
        <w:t>1 (</w:t>
      </w:r>
      <w:r>
        <w:rPr>
          <w:b w:val="1"/>
          <w:bCs w:val="1"/>
          <w:u w:val="none"/>
          <w:rtl w:val="0"/>
          <w:lang w:val="en-US"/>
        </w:rPr>
        <w:t>scipy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f</w:t>
      </w:r>
      <w:r>
        <w:rPr>
          <w:b w:val="1"/>
          <w:bCs w:val="1"/>
          <w:u w:val="none"/>
          <w:rtl w:val="0"/>
          <w:lang w:val="ru-RU"/>
        </w:rPr>
        <w:t>_</w:t>
      </w:r>
      <w:r>
        <w:rPr>
          <w:b w:val="1"/>
          <w:bCs w:val="1"/>
          <w:u w:val="none"/>
          <w:rtl w:val="0"/>
          <w:lang w:val="en-US"/>
        </w:rPr>
        <w:t>oneway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tl w:val="0"/>
          <w:lang w:val="en-US"/>
        </w:rPr>
        <w:t>5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 линейных контрастов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Доверительные интервалы для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u w:val="none"/>
          <w:vertAlign w:val="subscript"/>
          <w:rtl w:val="0"/>
          <w:lang w:val="ru-RU"/>
        </w:rPr>
        <w:t>1</w:t>
      </w:r>
      <w:r>
        <w:rPr>
          <w:u w:val="none"/>
          <w:rtl w:val="0"/>
          <w:lang w:val="ru-RU"/>
        </w:rPr>
        <w:t>,</w:t>
      </w:r>
      <w:r>
        <w:rPr>
          <w:u w:val="none"/>
          <w:rtl w:val="0"/>
          <w:lang w:val="ru-RU"/>
        </w:rPr>
        <w:t>…</w:t>
      </w:r>
      <w:r>
        <w:rPr>
          <w:u w:val="none"/>
          <w:rtl w:val="0"/>
          <w:lang w:val="ru-RU"/>
        </w:rPr>
        <w:t xml:space="preserve">,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vertAlign w:val="subscript"/>
          <w:rtl w:val="0"/>
          <w:lang w:val="en-US"/>
        </w:rPr>
        <w:t>k</w:t>
      </w:r>
      <w:r>
        <w:rPr>
          <w:u w:val="none"/>
          <w:rtl w:val="0"/>
          <w:lang w:val="ru-RU"/>
        </w:rPr>
        <w:t>:</w:t>
      </w:r>
      <w:r>
        <w:rPr>
          <w:u w:val="none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4626610" cy="3376175"/>
            <wp:effectExtent l="0" t="0" r="0" b="0"/>
            <wp:wrapTopAndBottom distT="152400" distB="15240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376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Попарные сравнения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vertAlign w:val="subscript"/>
          <w:rtl w:val="0"/>
          <w:lang w:val="en-US"/>
        </w:rPr>
        <w:t>i</w:t>
      </w:r>
      <w:r>
        <w:rPr>
          <w:u w:val="none"/>
          <w:rtl w:val="0"/>
          <w:lang w:val="ru-RU"/>
        </w:rPr>
        <w:t xml:space="preserve"> и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vertAlign w:val="subscript"/>
          <w:rtl w:val="0"/>
          <w:lang w:val="en-US"/>
        </w:rPr>
        <w:t>j</w:t>
      </w:r>
      <w:r>
        <w:rPr>
          <w:u w:val="none"/>
          <w:rtl w:val="0"/>
          <w:lang w:val="ru-RU"/>
        </w:rPr>
        <w:t>:</w:t>
      </w:r>
    </w:p>
    <w:tbl>
      <w:tblPr>
        <w:tblW w:w="71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4"/>
        <w:gridCol w:w="1373"/>
        <w:gridCol w:w="1169"/>
        <w:gridCol w:w="1891"/>
        <w:gridCol w:w="1361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Гипотеза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0.05</m:t>
                </m:r>
              </m:oMath>
            </m:oMathPara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-0.06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0.94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2.88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2.94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функцию </w:t>
      </w:r>
      <w:bookmarkStart w:name="OLE_LINK13" w:id="5"/>
      <w:r>
        <w:rPr>
          <w:b w:val="1"/>
          <w:bCs w:val="1"/>
          <w:u w:val="none"/>
          <w:rtl w:val="0"/>
          <w:lang w:val="en-US"/>
        </w:rPr>
        <w:t>m</w:t>
      </w:r>
      <w:bookmarkEnd w:id="5"/>
      <w:bookmarkStart w:name="OLE_LINK14" w:id="6"/>
      <w:r>
        <w:rPr>
          <w:b w:val="1"/>
          <w:bCs w:val="1"/>
          <w:u w:val="none"/>
          <w:rtl w:val="0"/>
          <w:lang w:val="en-US"/>
        </w:rPr>
        <w:t>ultcompar</w:t>
      </w:r>
      <w:bookmarkEnd w:id="6"/>
      <w:r>
        <w:rPr>
          <w:b w:val="1"/>
          <w:bCs w:val="1"/>
          <w:u w:val="none"/>
          <w:rtl w:val="0"/>
          <w:lang w:val="en-US"/>
        </w:rPr>
        <w:t>e</w:t>
      </w:r>
      <w:r>
        <w:rPr>
          <w:b w:val="1"/>
          <w:bCs w:val="1"/>
          <w:u w:val="none"/>
          <w:rtl w:val="0"/>
          <w:lang w:val="ru-RU"/>
        </w:rPr>
        <w:t xml:space="preserve"> (</w:t>
      </w:r>
      <w:r>
        <w:rPr>
          <w:b w:val="1"/>
          <w:bCs w:val="1"/>
          <w:u w:val="none"/>
          <w:rtl w:val="0"/>
          <w:lang w:val="en-US"/>
        </w:rPr>
        <w:t>statsmodels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multicomp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pairwise</w:t>
      </w:r>
      <w:r>
        <w:rPr>
          <w:b w:val="1"/>
          <w:bCs w:val="1"/>
          <w:u w:val="none"/>
          <w:rtl w:val="0"/>
          <w:lang w:val="ru-RU"/>
        </w:rPr>
        <w:t>_</w:t>
      </w:r>
      <w:r>
        <w:rPr>
          <w:b w:val="1"/>
          <w:bCs w:val="1"/>
          <w:u w:val="none"/>
          <w:rtl w:val="0"/>
          <w:lang w:val="en-US"/>
        </w:rPr>
        <w:t>tukeyhsd</w:t>
      </w:r>
      <w:r>
        <w:rPr>
          <w:b w:val="1"/>
          <w:bCs w:val="1"/>
          <w:u w:val="none"/>
          <w:rtl w:val="0"/>
          <w:lang w:val="ru-RU"/>
        </w:rPr>
        <w:t>)</w:t>
      </w:r>
      <w:r>
        <w:rPr>
          <w:u w:val="none"/>
        </w:rPr>
      </w:r>
    </w:p>
    <w:sectPr>
      <w:headerReference w:type="default" r:id="rId10"/>
      <w:footerReference w:type="default" r:id="rId11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7266"/>
        <w:tab w:val="clear" w:pos="9355"/>
      </w:tabs>
      <w:jc w:val="both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Осенний семестр 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2021/2022. </w:t>
    </w: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