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847BBA" w14:textId="77777777" w:rsidR="006149C1" w:rsidRPr="00C57DFF" w:rsidRDefault="006149C1" w:rsidP="006149C1">
      <w:pPr>
        <w:pStyle w:val="Header"/>
        <w:jc w:val="center"/>
        <w:rPr>
          <w:b/>
          <w:bCs w:val="0"/>
          <w:sz w:val="40"/>
          <w:szCs w:val="40"/>
        </w:rPr>
      </w:pPr>
      <w:bookmarkStart w:id="0" w:name="_Hlk86041111"/>
      <w:r w:rsidRPr="00C57DFF">
        <w:rPr>
          <w:b/>
          <w:bCs w:val="0"/>
          <w:sz w:val="40"/>
          <w:szCs w:val="40"/>
        </w:rPr>
        <w:t>Delayed Healthcare due to Cost in Colorado</w:t>
      </w:r>
    </w:p>
    <w:p w14:paraId="480D1251" w14:textId="77777777" w:rsidR="006149C1" w:rsidRDefault="006149C1" w:rsidP="00D748A7">
      <w:pPr>
        <w:rPr>
          <w:b/>
          <w:bCs w:val="0"/>
          <w:sz w:val="32"/>
        </w:rPr>
      </w:pPr>
    </w:p>
    <w:p w14:paraId="76F559CE" w14:textId="40C105EC" w:rsidR="001E2E25" w:rsidRDefault="00A43F35" w:rsidP="00D748A7">
      <w:pPr>
        <w:rPr>
          <w:b/>
          <w:bCs w:val="0"/>
          <w:sz w:val="32"/>
        </w:rPr>
      </w:pPr>
      <w:r w:rsidRPr="00A43F35">
        <w:rPr>
          <w:b/>
          <w:bCs w:val="0"/>
          <w:sz w:val="32"/>
        </w:rPr>
        <w:t>Abstract</w:t>
      </w:r>
    </w:p>
    <w:p w14:paraId="36BC0EEE" w14:textId="77777777" w:rsidR="006149C1" w:rsidRPr="00F94FCD" w:rsidRDefault="006149C1" w:rsidP="006149C1">
      <w:r>
        <w:t xml:space="preserve">The past decade has seen more Americans putting off healthcare for various reasons. Today, over half of Colorado residents experience barriers to obtaining healthcare. High costs of care being a leading cause. </w:t>
      </w:r>
    </w:p>
    <w:p w14:paraId="6795847E" w14:textId="77777777" w:rsidR="006149C1" w:rsidRDefault="006149C1" w:rsidP="006149C1">
      <w:r>
        <w:t>This analysis uses recent data provided by the Colorado Department of Public Health and Environment to locate specific areas in Colorado where adults are more likely to delay healthcare due to cost. Census tract resolution combined with regional count statistical methods give us the tools to identify areas in Colorado where more adults are affected.</w:t>
      </w:r>
    </w:p>
    <w:p w14:paraId="6E08D347" w14:textId="77777777" w:rsidR="006149C1" w:rsidRPr="00AA1803" w:rsidRDefault="006149C1" w:rsidP="006149C1">
      <w:r>
        <w:t xml:space="preserve">In identifying the most at need, it is my hope that the results of this analysis will help inform public outreach dedicated to helping Coloradoans receive the healthcare they deserve at an affordable cost. </w:t>
      </w:r>
    </w:p>
    <w:p w14:paraId="0C8C33C8" w14:textId="77777777" w:rsidR="006149C1" w:rsidRPr="006149C1" w:rsidRDefault="006149C1" w:rsidP="00D748A7">
      <w:pPr>
        <w:rPr>
          <w:b/>
          <w:bCs w:val="0"/>
          <w:szCs w:val="22"/>
        </w:rPr>
      </w:pPr>
    </w:p>
    <w:p w14:paraId="450A5897" w14:textId="77777777" w:rsidR="006149C1" w:rsidRPr="00A43F35" w:rsidRDefault="006149C1" w:rsidP="00D748A7">
      <w:pPr>
        <w:rPr>
          <w:b/>
          <w:bCs w:val="0"/>
          <w:sz w:val="32"/>
        </w:rPr>
      </w:pPr>
    </w:p>
    <w:bookmarkEnd w:id="0"/>
    <w:p w14:paraId="541F52D0" w14:textId="291CD64A" w:rsidR="00A2616D" w:rsidRDefault="00A2616D">
      <w:r>
        <w:br w:type="page"/>
      </w:r>
    </w:p>
    <w:p w14:paraId="00B40661" w14:textId="4260B4C3" w:rsidR="00A2616D" w:rsidRDefault="0076450D" w:rsidP="00A2616D">
      <w:pPr>
        <w:pStyle w:val="Heading1"/>
        <w:rPr>
          <w:rFonts w:cs="Times New Roman"/>
          <w:bCs w:val="0"/>
        </w:rPr>
      </w:pPr>
      <w:r w:rsidRPr="00231B06">
        <w:rPr>
          <w:rFonts w:cs="Times New Roman"/>
          <w:bCs w:val="0"/>
        </w:rPr>
        <w:lastRenderedPageBreak/>
        <w:t>Intro</w:t>
      </w:r>
    </w:p>
    <w:p w14:paraId="130382D2" w14:textId="57FBBBD8" w:rsidR="006149C1" w:rsidRDefault="006803D9" w:rsidP="006149C1">
      <w:r>
        <w:t>58% of Colorado residents are experiencing financial obstacles to healthcare. This percentage of residents are either uninsured due to high cost of premiums or foregoing healthcare altogether due to cost. (1) It could be argued that Colorado healthcare is not the worst state when it comes to accessible healthcare. But this statistic suggests a need for some sort of public intervention.</w:t>
      </w:r>
    </w:p>
    <w:p w14:paraId="6F623624" w14:textId="667DA3F1" w:rsidR="006803D9" w:rsidRPr="006149C1" w:rsidRDefault="006803D9" w:rsidP="006149C1">
      <w:r>
        <w:t>Any plan for addressing this problem would be well equipped with the knowledge of who in Colorado is the worst off when it comes to delaying healthcare due to cost. Regional count spatial data analysis provides a toolbox to identify clusters in Colorado where more people than usual seem to be in the most need for intervention.</w:t>
      </w:r>
    </w:p>
    <w:p w14:paraId="046382E8" w14:textId="60432502" w:rsidR="0076450D" w:rsidRDefault="00C57DFF" w:rsidP="0076450D">
      <w:pPr>
        <w:pStyle w:val="Heading1"/>
        <w:rPr>
          <w:rFonts w:cs="Times New Roman"/>
          <w:bCs w:val="0"/>
        </w:rPr>
      </w:pPr>
      <w:r>
        <w:rPr>
          <w:rFonts w:cs="Times New Roman"/>
          <w:bCs w:val="0"/>
        </w:rPr>
        <w:t>Data</w:t>
      </w:r>
    </w:p>
    <w:p w14:paraId="0AEFA3DB" w14:textId="05825C53" w:rsidR="005A6036" w:rsidRDefault="005A6036" w:rsidP="005A6036">
      <w:r>
        <w:t xml:space="preserve">The Colorado Department of Public Health and Environment (CDPHE) published census tract level data on percentage of adults in Colorado who delayed healthcare due to cost in the past 12 months. These data were generated using a statistical model trained on multiple </w:t>
      </w:r>
      <w:r w:rsidR="00B40F83">
        <w:t>demographic information.</w:t>
      </w:r>
    </w:p>
    <w:p w14:paraId="751C7ED7" w14:textId="23E53F46" w:rsidR="00B40F83" w:rsidRDefault="00B40F83" w:rsidP="005A6036">
      <w:proofErr w:type="gramStart"/>
      <w:r>
        <w:t>In order to</w:t>
      </w:r>
      <w:proofErr w:type="gramEnd"/>
      <w:r>
        <w:t xml:space="preserve"> conduct the analysis outlined in this paper, these percentages were converted into counts using the included census tract adult population.</w:t>
      </w:r>
    </w:p>
    <w:p w14:paraId="2CB91508" w14:textId="47E1FC6F" w:rsidR="00B40F83" w:rsidRPr="005A6036" w:rsidRDefault="00B40F83" w:rsidP="005A6036">
      <w:r>
        <w:t>A choropleth map below shows the overall structure of the data. This map is colored according to number of adults who delayed healthcare due to cost.</w:t>
      </w:r>
    </w:p>
    <w:p w14:paraId="41117D87" w14:textId="0C2E2B0E" w:rsidR="00B17144" w:rsidRDefault="00B17144" w:rsidP="00B17144">
      <w:r w:rsidRPr="00B17144">
        <w:rPr>
          <w:noProof/>
        </w:rPr>
        <w:drawing>
          <wp:inline distT="0" distB="0" distL="0" distR="0" wp14:anchorId="7DFA11F5" wp14:editId="7D8FDDD5">
            <wp:extent cx="5334462" cy="3292125"/>
            <wp:effectExtent l="0" t="0" r="0" b="3810"/>
            <wp:docPr id="1" name="Picture 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with low confidence"/>
                    <pic:cNvPicPr/>
                  </pic:nvPicPr>
                  <pic:blipFill>
                    <a:blip r:embed="rId8"/>
                    <a:stretch>
                      <a:fillRect/>
                    </a:stretch>
                  </pic:blipFill>
                  <pic:spPr>
                    <a:xfrm>
                      <a:off x="0" y="0"/>
                      <a:ext cx="5334462" cy="3292125"/>
                    </a:xfrm>
                    <a:prstGeom prst="rect">
                      <a:avLst/>
                    </a:prstGeom>
                  </pic:spPr>
                </pic:pic>
              </a:graphicData>
            </a:graphic>
          </wp:inline>
        </w:drawing>
      </w:r>
    </w:p>
    <w:p w14:paraId="623678E6" w14:textId="078C5069" w:rsidR="00B17144" w:rsidRDefault="00B17144" w:rsidP="00B17144">
      <w:r w:rsidRPr="00B17144">
        <w:rPr>
          <w:noProof/>
        </w:rPr>
        <w:lastRenderedPageBreak/>
        <w:drawing>
          <wp:inline distT="0" distB="0" distL="0" distR="0" wp14:anchorId="2CF57641" wp14:editId="5FC67899">
            <wp:extent cx="5334462" cy="3292125"/>
            <wp:effectExtent l="0" t="0" r="0" b="3810"/>
            <wp:docPr id="2" name="Picture 2"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diagram&#10;&#10;Description automatically generated"/>
                    <pic:cNvPicPr/>
                  </pic:nvPicPr>
                  <pic:blipFill>
                    <a:blip r:embed="rId9"/>
                    <a:stretch>
                      <a:fillRect/>
                    </a:stretch>
                  </pic:blipFill>
                  <pic:spPr>
                    <a:xfrm>
                      <a:off x="0" y="0"/>
                      <a:ext cx="5334462" cy="3292125"/>
                    </a:xfrm>
                    <a:prstGeom prst="rect">
                      <a:avLst/>
                    </a:prstGeom>
                  </pic:spPr>
                </pic:pic>
              </a:graphicData>
            </a:graphic>
          </wp:inline>
        </w:drawing>
      </w:r>
    </w:p>
    <w:p w14:paraId="1FA57601" w14:textId="77777777" w:rsidR="00B17144" w:rsidRPr="00B17144" w:rsidRDefault="00B17144" w:rsidP="00B17144"/>
    <w:p w14:paraId="411F8BD9" w14:textId="5C017724" w:rsidR="0076450D" w:rsidRDefault="00C57DFF" w:rsidP="0076450D">
      <w:pPr>
        <w:pStyle w:val="Heading1"/>
        <w:rPr>
          <w:rFonts w:cs="Times New Roman"/>
          <w:bCs w:val="0"/>
        </w:rPr>
      </w:pPr>
      <w:r>
        <w:rPr>
          <w:rFonts w:cs="Times New Roman"/>
          <w:bCs w:val="0"/>
        </w:rPr>
        <w:t>Methods</w:t>
      </w:r>
    </w:p>
    <w:p w14:paraId="36E65012" w14:textId="23B861C8" w:rsidR="006149C1" w:rsidRDefault="000C1292" w:rsidP="006149C1">
      <w:r>
        <w:t>This paper includes two types of statistical analysis. Section 3.1 will cover two methods addressing spatial autocorrelation and goodness-of-fit. It will include Rogerson’s Tango method and the constant Risk version of Moran’s I. Section 3.2 will cover two methods addressing local incidence rates. This section will include the Cluster Evaluation Permutation Procedure (CEPP) and the Spatial Scan statistic.</w:t>
      </w:r>
    </w:p>
    <w:p w14:paraId="738C0B85" w14:textId="6853023E" w:rsidR="000C1292" w:rsidRDefault="00834C0E" w:rsidP="006149C1">
      <w:r>
        <w:t>Methods for detecting spatial autocorrelation and goodness-of-fit are used for detecting the degree to which similar observations tend to appear close together in the former case. They detect deviation between observed data and their expected values in the latter case.</w:t>
      </w:r>
    </w:p>
    <w:p w14:paraId="32B47A11" w14:textId="792E1BAB" w:rsidR="00834C0E" w:rsidRPr="006149C1" w:rsidRDefault="00834C0E" w:rsidP="006149C1">
      <w:r>
        <w:t>Methods for detecting local incidence rates are used for detecting clusters of unusually high incidence rates.</w:t>
      </w:r>
    </w:p>
    <w:p w14:paraId="4B21C4D7" w14:textId="202DEC57" w:rsidR="00C57DFF" w:rsidRDefault="00C57DFF" w:rsidP="00C57DFF">
      <w:pPr>
        <w:pStyle w:val="Heading2"/>
      </w:pPr>
      <w:r>
        <w:t>Spatial Autocorrelation and Goodness-of-Fit</w:t>
      </w:r>
    </w:p>
    <w:p w14:paraId="1CD0951B" w14:textId="6A3EA2D0" w:rsidR="006149C1" w:rsidRPr="006149C1" w:rsidRDefault="00834C0E" w:rsidP="006149C1">
      <w:r>
        <w:t xml:space="preserve">Two methods were used for detecting spatial autocorrelation goodness-of-fit. Rogerson’s Tango and </w:t>
      </w:r>
      <w:r w:rsidR="007775B7">
        <w:t>Walter (1992) constant risk version of Moran’s I.</w:t>
      </w:r>
      <w:r w:rsidR="00D40158">
        <w:t xml:space="preserve"> The next two sections </w:t>
      </w:r>
      <w:proofErr w:type="gramStart"/>
      <w:r w:rsidR="00D40158">
        <w:t>outlines</w:t>
      </w:r>
      <w:proofErr w:type="gramEnd"/>
      <w:r w:rsidR="00D40158">
        <w:t xml:space="preserve"> the test statistic, null and alternative hypothesis, and conclusions that may be drawn for each test.</w:t>
      </w:r>
    </w:p>
    <w:p w14:paraId="36735353" w14:textId="432AA80F" w:rsidR="00C57DFF" w:rsidRDefault="00C57DFF" w:rsidP="00C57DFF">
      <w:pPr>
        <w:pStyle w:val="Heading3"/>
      </w:pPr>
      <w:r>
        <w:t>Rogerson Tango</w:t>
      </w:r>
    </w:p>
    <w:p w14:paraId="567E1094" w14:textId="1E1A0691" w:rsidR="0016149F" w:rsidRPr="0016149F" w:rsidRDefault="0016149F" w:rsidP="0016149F">
      <w:r>
        <w:t>The test statistic for the Rogerson Tango test is</w:t>
      </w:r>
    </w:p>
    <w:p w14:paraId="66065AE8" w14:textId="0F91E9F4" w:rsidR="00843482" w:rsidRPr="0016149F" w:rsidRDefault="00843482" w:rsidP="001A6648">
      <w:pPr>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ti</m:t>
              </m:r>
            </m:sub>
          </m:sSub>
          <m:r>
            <w:rPr>
              <w:rFonts w:ascii="Cambria Math" w:hAnsi="Cambria Math"/>
            </w:rPr>
            <m:t>=</m:t>
          </m:r>
          <m:nary>
            <m:naryPr>
              <m:chr m:val="∑"/>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W</m:t>
                  </m:r>
                </m:e>
                <m:sub>
                  <m:r>
                    <w:rPr>
                      <w:rFonts w:ascii="Cambria Math" w:hAnsi="Cambria Math"/>
                    </w:rPr>
                    <m:t>ii</m:t>
                  </m:r>
                </m:sub>
                <m:sup>
                  <m:r>
                    <w:rPr>
                      <w:rFonts w:ascii="Cambria Math" w:hAnsi="Cambria Math"/>
                    </w:rPr>
                    <m:t>*</m:t>
                  </m:r>
                </m:sup>
              </m:sSubSup>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i</m:t>
                          </m:r>
                        </m:sub>
                      </m:sSub>
                    </m:num>
                    <m:den>
                      <m:sSub>
                        <m:sSubPr>
                          <m:ctrlPr>
                            <w:rPr>
                              <w:rFonts w:ascii="Cambria Math" w:hAnsi="Cambria Math"/>
                              <w:i/>
                            </w:rPr>
                          </m:ctrlPr>
                        </m:sSubPr>
                        <m:e>
                          <m:r>
                            <w:rPr>
                              <w:rFonts w:ascii="Cambria Math" w:hAnsi="Cambria Math"/>
                            </w:rPr>
                            <m:t>Y</m:t>
                          </m:r>
                        </m:e>
                        <m:sub>
                          <m:r>
                            <w:rPr>
                              <w:rFonts w:ascii="Cambria Math" w:hAnsi="Cambria Math"/>
                            </w:rPr>
                            <m:t>+</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i</m:t>
                          </m:r>
                        </m:sub>
                      </m:sSub>
                    </m:num>
                    <m:den>
                      <m:sSub>
                        <m:sSubPr>
                          <m:ctrlPr>
                            <w:rPr>
                              <w:rFonts w:ascii="Cambria Math" w:hAnsi="Cambria Math"/>
                              <w:i/>
                            </w:rPr>
                          </m:ctrlPr>
                        </m:sSubPr>
                        <m:e>
                          <m:r>
                            <w:rPr>
                              <w:rFonts w:ascii="Cambria Math" w:hAnsi="Cambria Math"/>
                            </w:rPr>
                            <m:t>n</m:t>
                          </m:r>
                        </m:e>
                        <m:sub>
                          <m:r>
                            <w:rPr>
                              <w:rFonts w:ascii="Cambria Math" w:hAnsi="Cambria Math"/>
                            </w:rPr>
                            <m:t>+</m:t>
                          </m:r>
                        </m:sub>
                      </m:sSub>
                    </m:den>
                  </m:f>
                </m:e>
              </m:d>
              <m:r>
                <w:rPr>
                  <w:rFonts w:ascii="Cambria Math" w:hAnsi="Cambria Math"/>
                </w:rPr>
                <m:t>+</m:t>
              </m:r>
              <m:nary>
                <m:naryPr>
                  <m:chr m:val="∑"/>
                  <m:ctrlPr>
                    <w:rPr>
                      <w:rFonts w:ascii="Cambria Math" w:hAnsi="Cambria Math"/>
                      <w:i/>
                    </w:rPr>
                  </m:ctrlPr>
                </m:naryPr>
                <m:sub>
                  <m:r>
                    <w:rPr>
                      <w:rFonts w:ascii="Cambria Math" w:hAnsi="Cambria Math"/>
                    </w:rPr>
                    <m:t>i=1</m:t>
                  </m:r>
                </m:sub>
                <m:sup>
                  <m:r>
                    <w:rPr>
                      <w:rFonts w:ascii="Cambria Math" w:hAnsi="Cambria Math"/>
                    </w:rPr>
                    <m:t>N</m:t>
                  </m:r>
                </m:sup>
                <m:e>
                  <m:nary>
                    <m:naryPr>
                      <m:chr m:val="∑"/>
                      <m:ctrlPr>
                        <w:rPr>
                          <w:rFonts w:ascii="Cambria Math" w:hAnsi="Cambria Math"/>
                          <w:i/>
                        </w:rPr>
                      </m:ctrlPr>
                    </m:naryPr>
                    <m:sub>
                      <m:r>
                        <w:rPr>
                          <w:rFonts w:ascii="Cambria Math" w:hAnsi="Cambria Math"/>
                        </w:rPr>
                        <m:t>j</m:t>
                      </m:r>
                      <m:r>
                        <w:rPr>
                          <w:rFonts w:ascii="Cambria Math" w:hAnsi="Cambria Math"/>
                        </w:rPr>
                        <m:t>≠i</m:t>
                      </m:r>
                    </m:sub>
                    <m:sup>
                      <m:r>
                        <w:rPr>
                          <w:rFonts w:ascii="Cambria Math" w:hAnsi="Cambria Math"/>
                        </w:rPr>
                        <m:t>n</m:t>
                      </m:r>
                    </m:sup>
                    <m:e>
                      <m:sSubSup>
                        <m:sSubSupPr>
                          <m:ctrlPr>
                            <w:rPr>
                              <w:rFonts w:ascii="Cambria Math" w:hAnsi="Cambria Math"/>
                              <w:i/>
                            </w:rPr>
                          </m:ctrlPr>
                        </m:sSubSupPr>
                        <m:e>
                          <m:r>
                            <w:rPr>
                              <w:rFonts w:ascii="Cambria Math" w:hAnsi="Cambria Math"/>
                            </w:rPr>
                            <m:t>w</m:t>
                          </m:r>
                        </m:e>
                        <m:sub>
                          <m:r>
                            <w:rPr>
                              <w:rFonts w:ascii="Cambria Math" w:hAnsi="Cambria Math"/>
                            </w:rPr>
                            <m:t>ij</m:t>
                          </m:r>
                        </m:sub>
                        <m:sup>
                          <m:r>
                            <w:rPr>
                              <w:rFonts w:ascii="Cambria Math" w:hAnsi="Cambria Math"/>
                            </w:rPr>
                            <m:t>*</m:t>
                          </m:r>
                        </m:sup>
                      </m:sSubSup>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i</m:t>
                                  </m:r>
                                </m:sub>
                              </m:sSub>
                            </m:num>
                            <m:den>
                              <m:sSub>
                                <m:sSubPr>
                                  <m:ctrlPr>
                                    <w:rPr>
                                      <w:rFonts w:ascii="Cambria Math" w:hAnsi="Cambria Math"/>
                                      <w:i/>
                                    </w:rPr>
                                  </m:ctrlPr>
                                </m:sSubPr>
                                <m:e>
                                  <m:r>
                                    <w:rPr>
                                      <w:rFonts w:ascii="Cambria Math" w:hAnsi="Cambria Math"/>
                                    </w:rPr>
                                    <m:t>Y</m:t>
                                  </m:r>
                                </m:e>
                                <m:sub>
                                  <m:r>
                                    <w:rPr>
                                      <w:rFonts w:ascii="Cambria Math" w:hAnsi="Cambria Math"/>
                                    </w:rPr>
                                    <m:t>+</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i</m:t>
                                  </m:r>
                                </m:sub>
                              </m:sSub>
                            </m:num>
                            <m:den>
                              <m:sSub>
                                <m:sSubPr>
                                  <m:ctrlPr>
                                    <w:rPr>
                                      <w:rFonts w:ascii="Cambria Math" w:hAnsi="Cambria Math"/>
                                      <w:i/>
                                    </w:rPr>
                                  </m:ctrlPr>
                                </m:sSubPr>
                                <m:e>
                                  <m:r>
                                    <w:rPr>
                                      <w:rFonts w:ascii="Cambria Math" w:hAnsi="Cambria Math"/>
                                    </w:rPr>
                                    <m:t>n</m:t>
                                  </m:r>
                                </m:e>
                                <m:sub>
                                  <m:r>
                                    <w:rPr>
                                      <w:rFonts w:ascii="Cambria Math" w:hAnsi="Cambria Math"/>
                                    </w:rPr>
                                    <m:t>+</m:t>
                                  </m:r>
                                </m:sub>
                              </m:sSub>
                            </m:den>
                          </m:f>
                        </m:e>
                      </m:d>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j</m:t>
                                  </m:r>
                                </m:sub>
                              </m:sSub>
                            </m:num>
                            <m:den>
                              <m:sSub>
                                <m:sSubPr>
                                  <m:ctrlPr>
                                    <w:rPr>
                                      <w:rFonts w:ascii="Cambria Math" w:hAnsi="Cambria Math"/>
                                      <w:i/>
                                    </w:rPr>
                                  </m:ctrlPr>
                                </m:sSubPr>
                                <m:e>
                                  <m:r>
                                    <w:rPr>
                                      <w:rFonts w:ascii="Cambria Math" w:hAnsi="Cambria Math"/>
                                    </w:rPr>
                                    <m:t>Y</m:t>
                                  </m:r>
                                </m:e>
                                <m:sub>
                                  <m:r>
                                    <w:rPr>
                                      <w:rFonts w:ascii="Cambria Math" w:hAnsi="Cambria Math"/>
                                    </w:rPr>
                                    <m:t>+</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i</m:t>
                                  </m:r>
                                </m:sub>
                              </m:sSub>
                            </m:num>
                            <m:den>
                              <m:sSub>
                                <m:sSubPr>
                                  <m:ctrlPr>
                                    <w:rPr>
                                      <w:rFonts w:ascii="Cambria Math" w:hAnsi="Cambria Math"/>
                                      <w:i/>
                                    </w:rPr>
                                  </m:ctrlPr>
                                </m:sSubPr>
                                <m:e>
                                  <m:r>
                                    <w:rPr>
                                      <w:rFonts w:ascii="Cambria Math" w:hAnsi="Cambria Math"/>
                                    </w:rPr>
                                    <m:t>n</m:t>
                                  </m:r>
                                </m:e>
                                <m:sub>
                                  <m:r>
                                    <w:rPr>
                                      <w:rFonts w:ascii="Cambria Math" w:hAnsi="Cambria Math"/>
                                    </w:rPr>
                                    <m:t>+</m:t>
                                  </m:r>
                                </m:sub>
                              </m:sSub>
                            </m:den>
                          </m:f>
                        </m:e>
                      </m:d>
                    </m:e>
                  </m:nary>
                </m:e>
              </m:nary>
            </m:e>
          </m:nary>
        </m:oMath>
      </m:oMathPara>
    </w:p>
    <w:p w14:paraId="6BC8EE0F" w14:textId="5E17692C" w:rsidR="0016149F" w:rsidRDefault="0016149F" w:rsidP="001A6648">
      <w:r>
        <w:rPr>
          <w:rFonts w:eastAsiaTheme="minorEastAsia"/>
        </w:rPr>
        <w:lastRenderedPageBreak/>
        <w:t>The first part being a measure of goodness-of-fit and the second part being a measure of spatial similarity between regions.</w:t>
      </w:r>
    </w:p>
    <w:p w14:paraId="683C03AC" w14:textId="0C97EBBD" w:rsidR="00C57DFF" w:rsidRDefault="00C57DFF" w:rsidP="00C57DFF">
      <w:pPr>
        <w:pStyle w:val="Heading3"/>
      </w:pPr>
      <w:r>
        <w:t>Constant Risk Moran’s I</w:t>
      </w:r>
    </w:p>
    <w:p w14:paraId="3B3B76F8" w14:textId="6A2715BA" w:rsidR="00754EB4" w:rsidRPr="00754EB4" w:rsidRDefault="00754EB4" w:rsidP="00754EB4">
      <w:r>
        <w:t>The test statistic used for the Moran’s I test is</w:t>
      </w:r>
    </w:p>
    <w:p w14:paraId="4B8288A9" w14:textId="4136E825" w:rsidR="00754EB4" w:rsidRDefault="00754EB4" w:rsidP="001A6648">
      <m:oMathPara>
        <m:oMath>
          <m:f>
            <m:fPr>
              <m:ctrlPr>
                <w:rPr>
                  <w:rFonts w:ascii="Cambria Math" w:hAnsi="Cambria Math"/>
                  <w:i/>
                </w:rPr>
              </m:ctrlPr>
            </m:fPr>
            <m:num>
              <m:nary>
                <m:naryPr>
                  <m:chr m:val="∑"/>
                  <m:ctrlPr>
                    <w:rPr>
                      <w:rFonts w:ascii="Cambria Math" w:hAnsi="Cambria Math"/>
                      <w:i/>
                    </w:rPr>
                  </m:ctrlPr>
                </m:naryPr>
                <m:sub>
                  <m:r>
                    <w:rPr>
                      <w:rFonts w:ascii="Cambria Math" w:hAnsi="Cambria Math"/>
                    </w:rPr>
                    <m:t>i</m:t>
                  </m:r>
                </m:sub>
                <m:sup>
                  <m:r>
                    <w:rPr>
                      <w:rFonts w:ascii="Cambria Math" w:hAnsi="Cambria Math"/>
                    </w:rPr>
                    <m:t>N</m:t>
                  </m:r>
                </m:sup>
                <m:e>
                  <m:nary>
                    <m:naryPr>
                      <m:chr m:val="∑"/>
                      <m:ctrlPr>
                        <w:rPr>
                          <w:rFonts w:ascii="Cambria Math" w:hAnsi="Cambria Math"/>
                          <w:i/>
                        </w:rPr>
                      </m:ctrlPr>
                    </m:naryPr>
                    <m:sub>
                      <m:r>
                        <w:rPr>
                          <w:rFonts w:ascii="Cambria Math" w:hAnsi="Cambria Math"/>
                        </w:rPr>
                        <m:t>j</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ij</m:t>
                          </m:r>
                        </m:sub>
                      </m:sSub>
                    </m:e>
                  </m:nary>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-r</m:t>
                      </m:r>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m:t>
                      </m:r>
                    </m:num>
                    <m:den>
                      <m:rad>
                        <m:radPr>
                          <m:degHide m:val="1"/>
                          <m:ctrlPr>
                            <w:rPr>
                              <w:rFonts w:ascii="Cambria Math" w:hAnsi="Cambria Math"/>
                              <w:i/>
                            </w:rPr>
                          </m:ctrlPr>
                        </m:radPr>
                        <m:deg/>
                        <m:e>
                          <m:r>
                            <w:rPr>
                              <w:rFonts w:ascii="Cambria Math" w:hAnsi="Cambria Math"/>
                            </w:rPr>
                            <m:t>r</m:t>
                          </m:r>
                          <m:sSub>
                            <m:sSubPr>
                              <m:ctrlPr>
                                <w:rPr>
                                  <w:rFonts w:ascii="Cambria Math" w:hAnsi="Cambria Math"/>
                                  <w:i/>
                                </w:rPr>
                              </m:ctrlPr>
                            </m:sSubPr>
                            <m:e>
                              <m:r>
                                <w:rPr>
                                  <w:rFonts w:ascii="Cambria Math" w:hAnsi="Cambria Math"/>
                                </w:rPr>
                                <m:t>n</m:t>
                              </m:r>
                            </m:e>
                            <m:sub>
                              <m:r>
                                <w:rPr>
                                  <w:rFonts w:ascii="Cambria Math" w:hAnsi="Cambria Math"/>
                                </w:rPr>
                                <m:t>i</m:t>
                              </m:r>
                            </m:sub>
                          </m:sSub>
                        </m:e>
                      </m:rad>
                    </m:den>
                  </m:f>
                  <m:r>
                    <w:rPr>
                      <w:rFonts w:ascii="Cambria Math" w:hAnsi="Cambria Math"/>
                    </w:rPr>
                    <m:t xml:space="preserve"> </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-r</m:t>
                      </m:r>
                      <m:sSub>
                        <m:sSubPr>
                          <m:ctrlPr>
                            <w:rPr>
                              <w:rFonts w:ascii="Cambria Math" w:hAnsi="Cambria Math"/>
                              <w:i/>
                            </w:rPr>
                          </m:ctrlPr>
                        </m:sSubPr>
                        <m:e>
                          <m:r>
                            <w:rPr>
                              <w:rFonts w:ascii="Cambria Math" w:hAnsi="Cambria Math"/>
                            </w:rPr>
                            <m:t>n</m:t>
                          </m:r>
                        </m:e>
                        <m:sub>
                          <m:r>
                            <w:rPr>
                              <w:rFonts w:ascii="Cambria Math" w:hAnsi="Cambria Math"/>
                            </w:rPr>
                            <m:t>j</m:t>
                          </m:r>
                        </m:sub>
                      </m:sSub>
                      <m:r>
                        <w:rPr>
                          <w:rFonts w:ascii="Cambria Math" w:hAnsi="Cambria Math"/>
                        </w:rPr>
                        <m:t>)</m:t>
                      </m:r>
                    </m:num>
                    <m:den>
                      <m:rad>
                        <m:radPr>
                          <m:degHide m:val="1"/>
                          <m:ctrlPr>
                            <w:rPr>
                              <w:rFonts w:ascii="Cambria Math" w:hAnsi="Cambria Math"/>
                              <w:i/>
                            </w:rPr>
                          </m:ctrlPr>
                        </m:radPr>
                        <m:deg/>
                        <m:e>
                          <m:r>
                            <w:rPr>
                              <w:rFonts w:ascii="Cambria Math" w:hAnsi="Cambria Math"/>
                            </w:rPr>
                            <m:t>r</m:t>
                          </m:r>
                          <m:sSub>
                            <m:sSubPr>
                              <m:ctrlPr>
                                <w:rPr>
                                  <w:rFonts w:ascii="Cambria Math" w:hAnsi="Cambria Math"/>
                                  <w:i/>
                                </w:rPr>
                              </m:ctrlPr>
                            </m:sSubPr>
                            <m:e>
                              <m:r>
                                <w:rPr>
                                  <w:rFonts w:ascii="Cambria Math" w:hAnsi="Cambria Math"/>
                                </w:rPr>
                                <m:t>n</m:t>
                              </m:r>
                            </m:e>
                            <m:sub>
                              <m:r>
                                <w:rPr>
                                  <w:rFonts w:ascii="Cambria Math" w:hAnsi="Cambria Math"/>
                                </w:rPr>
                                <m:t>j</m:t>
                              </m:r>
                            </m:sub>
                          </m:sSub>
                        </m:e>
                      </m:rad>
                    </m:den>
                  </m:f>
                </m:e>
              </m:nary>
            </m:num>
            <m:den>
              <m:nary>
                <m:naryPr>
                  <m:chr m:val="∑"/>
                  <m:ctrlPr>
                    <w:rPr>
                      <w:rFonts w:ascii="Cambria Math" w:hAnsi="Cambria Math"/>
                      <w:i/>
                    </w:rPr>
                  </m:ctrlPr>
                </m:naryPr>
                <m:sub>
                  <m:r>
                    <w:rPr>
                      <w:rFonts w:ascii="Cambria Math" w:hAnsi="Cambria Math"/>
                    </w:rPr>
                    <m:t>i</m:t>
                  </m:r>
                </m:sub>
                <m:sup>
                  <m:r>
                    <w:rPr>
                      <w:rFonts w:ascii="Cambria Math" w:hAnsi="Cambria Math"/>
                    </w:rPr>
                    <m:t>N</m:t>
                  </m:r>
                </m:sup>
                <m:e>
                  <m:nary>
                    <m:naryPr>
                      <m:chr m:val="∑"/>
                      <m:ctrlPr>
                        <w:rPr>
                          <w:rFonts w:ascii="Cambria Math" w:hAnsi="Cambria Math"/>
                          <w:i/>
                        </w:rPr>
                      </m:ctrlPr>
                    </m:naryPr>
                    <m:sub>
                      <m:r>
                        <w:rPr>
                          <w:rFonts w:ascii="Cambria Math" w:hAnsi="Cambria Math"/>
                        </w:rPr>
                        <m:t>j</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ij</m:t>
                          </m:r>
                        </m:sub>
                      </m:sSub>
                    </m:e>
                  </m:nary>
                </m:e>
              </m:nary>
            </m:den>
          </m:f>
        </m:oMath>
      </m:oMathPara>
    </w:p>
    <w:p w14:paraId="52ADE927" w14:textId="56933CC6" w:rsidR="001A6648" w:rsidRDefault="00754EB4" w:rsidP="001A6648">
      <w:r>
        <w:t>The n</w:t>
      </w:r>
      <w:r w:rsidR="001A6648">
        <w:t>ull hypothesis</w:t>
      </w:r>
      <w:r>
        <w:t xml:space="preserve"> for this test is that </w:t>
      </w:r>
      <w:r w:rsidR="00E12B0F">
        <w:t>there is no evidence to conclude that adjacent observations have similar data.</w:t>
      </w:r>
    </w:p>
    <w:p w14:paraId="149487F9" w14:textId="732AA4DD" w:rsidR="00C57DFF" w:rsidRDefault="00C57DFF" w:rsidP="00C57DFF">
      <w:pPr>
        <w:pStyle w:val="Heading2"/>
      </w:pPr>
      <w:r>
        <w:t>Local Incidence Rates</w:t>
      </w:r>
    </w:p>
    <w:p w14:paraId="4603BA5B" w14:textId="79E796CE" w:rsidR="006149C1" w:rsidRPr="006149C1" w:rsidRDefault="00D40158" w:rsidP="006149C1">
      <w:r>
        <w:t xml:space="preserve">Two methods were used to detect local incidence rates, </w:t>
      </w:r>
      <w:r>
        <w:t>Cluster Evaluation Permutation Procedure (CEPP) and the Spatial Scan statistic.</w:t>
      </w:r>
      <w:r>
        <w:t xml:space="preserve"> </w:t>
      </w:r>
      <w:r>
        <w:t xml:space="preserve">The next two sections </w:t>
      </w:r>
      <w:proofErr w:type="gramStart"/>
      <w:r>
        <w:t>outlines</w:t>
      </w:r>
      <w:proofErr w:type="gramEnd"/>
      <w:r>
        <w:t xml:space="preserve"> the test statistic, null and alternative hypothesis, and conclusions that may be drawn for each test.</w:t>
      </w:r>
    </w:p>
    <w:p w14:paraId="5811D861" w14:textId="1ADCF9AA" w:rsidR="00C57DFF" w:rsidRDefault="00C57DFF" w:rsidP="00C57DFF">
      <w:pPr>
        <w:pStyle w:val="Heading3"/>
      </w:pPr>
      <w:r>
        <w:t>CEPP</w:t>
      </w:r>
    </w:p>
    <w:p w14:paraId="2A629F9D" w14:textId="4CB11D02" w:rsidR="001A6648" w:rsidRPr="001A6648" w:rsidRDefault="001A6648" w:rsidP="001A6648">
      <w:r>
        <w:t>Test statistic</w:t>
      </w:r>
    </w:p>
    <w:p w14:paraId="6C4E470F" w14:textId="736817DE" w:rsidR="00B17144" w:rsidRDefault="007075E4" w:rsidP="00B17144">
      <w:r>
        <w:t>Null hypothesis.</w:t>
      </w:r>
    </w:p>
    <w:p w14:paraId="7B68A71E" w14:textId="082341B5" w:rsidR="007075E4" w:rsidRPr="00B17144" w:rsidRDefault="001A6648" w:rsidP="00B17144">
      <w:r>
        <w:t>conclusions</w:t>
      </w:r>
    </w:p>
    <w:p w14:paraId="57C9BC9B" w14:textId="112B5305" w:rsidR="00C57DFF" w:rsidRDefault="00C57DFF" w:rsidP="00C57DFF">
      <w:pPr>
        <w:pStyle w:val="Heading3"/>
      </w:pPr>
      <w:r>
        <w:t>Spatial Scan</w:t>
      </w:r>
    </w:p>
    <w:p w14:paraId="4653E550" w14:textId="77777777" w:rsidR="001A6648" w:rsidRPr="001A6648" w:rsidRDefault="001A6648" w:rsidP="001A6648">
      <w:r>
        <w:t>Test statistic</w:t>
      </w:r>
    </w:p>
    <w:p w14:paraId="1B911B4F" w14:textId="77777777" w:rsidR="001A6648" w:rsidRDefault="001A6648" w:rsidP="001A6648">
      <w:r>
        <w:t>Null hypothesis.</w:t>
      </w:r>
    </w:p>
    <w:p w14:paraId="461CA994" w14:textId="1E500143" w:rsidR="00B17144" w:rsidRDefault="001A6648" w:rsidP="00B17144">
      <w:proofErr w:type="spellStart"/>
      <w:r>
        <w:t>conlusions</w:t>
      </w:r>
      <w:proofErr w:type="spellEnd"/>
    </w:p>
    <w:p w14:paraId="75447274" w14:textId="77777777" w:rsidR="00B17144" w:rsidRPr="00B17144" w:rsidRDefault="00B17144" w:rsidP="00B17144"/>
    <w:p w14:paraId="5255A774" w14:textId="41028AD8" w:rsidR="00E02CF0" w:rsidRDefault="00C57DFF" w:rsidP="00C57DFF">
      <w:pPr>
        <w:pStyle w:val="Heading1"/>
      </w:pPr>
      <w:r>
        <w:t>Results</w:t>
      </w:r>
    </w:p>
    <w:p w14:paraId="227D5A51" w14:textId="77777777" w:rsidR="00CA4A0A" w:rsidRDefault="000C1292" w:rsidP="000C1292">
      <w:r>
        <w:t xml:space="preserve">Sections 4.1 and 4.2 show results of our four statistical tests. In general, we detect evidence </w:t>
      </w:r>
      <w:r w:rsidR="00491BFC">
        <w:t xml:space="preserve">to reject the null hypothesis for </w:t>
      </w:r>
      <w:r w:rsidR="00C54C41">
        <w:t>all</w:t>
      </w:r>
      <w:r w:rsidR="00491BFC">
        <w:t xml:space="preserve"> </w:t>
      </w:r>
    </w:p>
    <w:p w14:paraId="19956314" w14:textId="24A3298A" w:rsidR="000C1292" w:rsidRPr="000C1292" w:rsidRDefault="00491BFC" w:rsidP="000C1292">
      <w:r>
        <w:t>our statistical methods.</w:t>
      </w:r>
    </w:p>
    <w:p w14:paraId="12476F1C" w14:textId="46B889CE" w:rsidR="00C57DFF" w:rsidRDefault="00C57DFF" w:rsidP="00C57DFF">
      <w:pPr>
        <w:pStyle w:val="Heading2"/>
      </w:pPr>
      <w:r>
        <w:t>Spatial Autocorrelation and Goodness-of-Fit</w:t>
      </w:r>
    </w:p>
    <w:p w14:paraId="308B9009" w14:textId="3E3EC20D" w:rsidR="001A6648" w:rsidRDefault="003F6D58" w:rsidP="001A6648">
      <w:r>
        <w:t xml:space="preserve">The p-values for the Rogerson Tango and constant risk Moran’s I tests are displayed in table 1. These values indicate that there is significant evidence </w:t>
      </w:r>
      <w:r w:rsidR="00B05EFA">
        <w:t>of clustering.</w:t>
      </w:r>
    </w:p>
    <w:p w14:paraId="13878201" w14:textId="50930BF9" w:rsidR="00B05EFA" w:rsidRDefault="00B05EFA" w:rsidP="001A6648"/>
    <w:p w14:paraId="343F1E5C" w14:textId="747C6D29" w:rsidR="00B05EFA" w:rsidRDefault="00B05EFA" w:rsidP="001A6648"/>
    <w:p w14:paraId="6474B182" w14:textId="77777777" w:rsidR="00B05EFA" w:rsidRDefault="00B05EFA" w:rsidP="001A6648"/>
    <w:p w14:paraId="702D8EEB" w14:textId="4C542799" w:rsidR="003F6D58" w:rsidRPr="003F6D58" w:rsidRDefault="003F6D58" w:rsidP="003F6D58">
      <w:pPr>
        <w:spacing w:after="0"/>
        <w:rPr>
          <w:bCs w:val="0"/>
        </w:rPr>
      </w:pPr>
      <w:r w:rsidRPr="003F6D58">
        <w:rPr>
          <w:b/>
          <w:bCs w:val="0"/>
        </w:rPr>
        <w:t>Table 1.</w:t>
      </w:r>
      <w:r>
        <w:t xml:space="preserve"> </w:t>
      </w:r>
      <w:r w:rsidRPr="003F6D58">
        <w:rPr>
          <w:bCs w:val="0"/>
        </w:rPr>
        <w:t>P-values for Rogerson Tango and constant risk Moran’s I.</w:t>
      </w:r>
    </w:p>
    <w:tbl>
      <w:tblPr>
        <w:tblStyle w:val="TableGrid"/>
        <w:tblW w:w="0" w:type="auto"/>
        <w:tblLook w:val="04A0" w:firstRow="1" w:lastRow="0" w:firstColumn="1" w:lastColumn="0" w:noHBand="0" w:noVBand="1"/>
      </w:tblPr>
      <w:tblGrid>
        <w:gridCol w:w="3116"/>
        <w:gridCol w:w="3117"/>
        <w:gridCol w:w="3117"/>
      </w:tblGrid>
      <w:tr w:rsidR="001A6648" w14:paraId="3F0AF78B" w14:textId="77777777" w:rsidTr="00E828C3">
        <w:tc>
          <w:tcPr>
            <w:tcW w:w="3116" w:type="dxa"/>
            <w:tcBorders>
              <w:bottom w:val="single" w:sz="4" w:space="0" w:color="auto"/>
            </w:tcBorders>
            <w:shd w:val="clear" w:color="auto" w:fill="ED7D31" w:themeFill="accent2"/>
          </w:tcPr>
          <w:p w14:paraId="3F9BE1CE" w14:textId="568341C1" w:rsidR="001A6648" w:rsidRDefault="001A6648" w:rsidP="001A6648">
            <w:pPr>
              <w:pStyle w:val="Heading2"/>
              <w:numPr>
                <w:ilvl w:val="0"/>
                <w:numId w:val="0"/>
              </w:numPr>
              <w:outlineLvl w:val="1"/>
            </w:pPr>
            <w:r>
              <w:lastRenderedPageBreak/>
              <w:t>Method</w:t>
            </w:r>
          </w:p>
        </w:tc>
        <w:tc>
          <w:tcPr>
            <w:tcW w:w="3117" w:type="dxa"/>
            <w:shd w:val="clear" w:color="auto" w:fill="ED7D31" w:themeFill="accent2"/>
          </w:tcPr>
          <w:p w14:paraId="5A326A22" w14:textId="3483BE91" w:rsidR="001A6648" w:rsidRPr="00E828C3" w:rsidRDefault="001A6648" w:rsidP="001A6648">
            <w:pPr>
              <w:pStyle w:val="Heading2"/>
              <w:numPr>
                <w:ilvl w:val="0"/>
                <w:numId w:val="0"/>
              </w:numPr>
              <w:outlineLvl w:val="1"/>
              <w:rPr>
                <w:b w:val="0"/>
                <w:bCs w:val="0"/>
              </w:rPr>
            </w:pPr>
            <w:r w:rsidRPr="00E828C3">
              <w:rPr>
                <w:b w:val="0"/>
                <w:bCs w:val="0"/>
              </w:rPr>
              <w:t>Rogerson Tango</w:t>
            </w:r>
          </w:p>
        </w:tc>
        <w:tc>
          <w:tcPr>
            <w:tcW w:w="3117" w:type="dxa"/>
            <w:shd w:val="clear" w:color="auto" w:fill="ED7D31" w:themeFill="accent2"/>
          </w:tcPr>
          <w:p w14:paraId="5B1E936F" w14:textId="4575FF83" w:rsidR="001A6648" w:rsidRPr="00E828C3" w:rsidRDefault="001A6648" w:rsidP="001A6648">
            <w:pPr>
              <w:pStyle w:val="Heading2"/>
              <w:numPr>
                <w:ilvl w:val="0"/>
                <w:numId w:val="0"/>
              </w:numPr>
              <w:outlineLvl w:val="1"/>
              <w:rPr>
                <w:b w:val="0"/>
                <w:bCs w:val="0"/>
              </w:rPr>
            </w:pPr>
            <w:r w:rsidRPr="00E828C3">
              <w:rPr>
                <w:b w:val="0"/>
                <w:bCs w:val="0"/>
              </w:rPr>
              <w:t>CR Moran’s I</w:t>
            </w:r>
          </w:p>
        </w:tc>
      </w:tr>
      <w:tr w:rsidR="001A6648" w14:paraId="6EC27E5A" w14:textId="77777777" w:rsidTr="00E828C3">
        <w:tc>
          <w:tcPr>
            <w:tcW w:w="3116" w:type="dxa"/>
            <w:shd w:val="clear" w:color="auto" w:fill="ED7D31" w:themeFill="accent2"/>
          </w:tcPr>
          <w:p w14:paraId="22C770C1" w14:textId="1D011CD4" w:rsidR="001A6648" w:rsidRDefault="001A6648" w:rsidP="001A6648">
            <w:pPr>
              <w:pStyle w:val="Heading2"/>
              <w:numPr>
                <w:ilvl w:val="0"/>
                <w:numId w:val="0"/>
              </w:numPr>
              <w:outlineLvl w:val="1"/>
            </w:pPr>
            <w:r>
              <w:t>P-value</w:t>
            </w:r>
          </w:p>
        </w:tc>
        <w:tc>
          <w:tcPr>
            <w:tcW w:w="3117" w:type="dxa"/>
          </w:tcPr>
          <w:p w14:paraId="583D6D1C" w14:textId="0CD5BAC1" w:rsidR="001A6648" w:rsidRPr="00E828C3" w:rsidRDefault="001A6648" w:rsidP="001A6648">
            <w:pPr>
              <w:pStyle w:val="Heading2"/>
              <w:numPr>
                <w:ilvl w:val="0"/>
                <w:numId w:val="0"/>
              </w:numPr>
              <w:outlineLvl w:val="1"/>
              <w:rPr>
                <w:b w:val="0"/>
                <w:bCs w:val="0"/>
              </w:rPr>
            </w:pPr>
            <w:r w:rsidRPr="00E828C3">
              <w:rPr>
                <w:b w:val="0"/>
                <w:bCs w:val="0"/>
              </w:rPr>
              <w:t>.0001</w:t>
            </w:r>
          </w:p>
        </w:tc>
        <w:tc>
          <w:tcPr>
            <w:tcW w:w="3117" w:type="dxa"/>
          </w:tcPr>
          <w:p w14:paraId="478FB293" w14:textId="6DDC9921" w:rsidR="001A6648" w:rsidRPr="00E828C3" w:rsidRDefault="001A6648" w:rsidP="001A6648">
            <w:pPr>
              <w:pStyle w:val="Heading2"/>
              <w:numPr>
                <w:ilvl w:val="0"/>
                <w:numId w:val="0"/>
              </w:numPr>
              <w:outlineLvl w:val="1"/>
              <w:rPr>
                <w:b w:val="0"/>
                <w:bCs w:val="0"/>
              </w:rPr>
            </w:pPr>
            <w:r w:rsidRPr="00E828C3">
              <w:rPr>
                <w:b w:val="0"/>
                <w:bCs w:val="0"/>
              </w:rPr>
              <w:t>0.002</w:t>
            </w:r>
          </w:p>
        </w:tc>
      </w:tr>
    </w:tbl>
    <w:p w14:paraId="594AA5BE" w14:textId="77777777" w:rsidR="00B05EFA" w:rsidRDefault="00B05EFA" w:rsidP="00B05EFA">
      <w:pPr>
        <w:pStyle w:val="Heading2"/>
        <w:numPr>
          <w:ilvl w:val="0"/>
          <w:numId w:val="0"/>
        </w:numPr>
      </w:pPr>
    </w:p>
    <w:p w14:paraId="61D99720" w14:textId="6BCAAC8E" w:rsidR="00C57DFF" w:rsidRDefault="00C57DFF" w:rsidP="00C57DFF">
      <w:pPr>
        <w:pStyle w:val="Heading2"/>
      </w:pPr>
      <w:r>
        <w:t>Local Incidence Rates</w:t>
      </w:r>
    </w:p>
    <w:p w14:paraId="218472B1" w14:textId="111652D7" w:rsidR="006149C1" w:rsidRDefault="00B17144" w:rsidP="00B17144">
      <w:pPr>
        <w:pStyle w:val="Heading3"/>
      </w:pPr>
      <w:r>
        <w:t>CEPP</w:t>
      </w:r>
    </w:p>
    <w:p w14:paraId="2074C0AC" w14:textId="28438BCA" w:rsidR="00491BFC" w:rsidRDefault="00491BFC" w:rsidP="00491BFC">
      <w:r>
        <w:t xml:space="preserve">The CEPP method returns a p-value of 0.002. </w:t>
      </w:r>
    </w:p>
    <w:p w14:paraId="4256960E" w14:textId="1197FE74" w:rsidR="001A6648" w:rsidRDefault="00C54C41" w:rsidP="00491BFC">
      <w:r>
        <w:t>Talk about</w:t>
      </w:r>
    </w:p>
    <w:p w14:paraId="12134450" w14:textId="594DF824" w:rsidR="001A6648" w:rsidRPr="00491BFC" w:rsidRDefault="001A6648" w:rsidP="00491BFC">
      <w:r>
        <w:t xml:space="preserve">Introduce graph of </w:t>
      </w:r>
      <w:r w:rsidR="00C54C41">
        <w:t xml:space="preserve">most significant </w:t>
      </w:r>
      <w:r>
        <w:t>clusters</w:t>
      </w:r>
    </w:p>
    <w:p w14:paraId="16C96181" w14:textId="77777777" w:rsidR="00B17144" w:rsidRDefault="00B17144" w:rsidP="00B17144">
      <w:r w:rsidRPr="00B17144">
        <w:rPr>
          <w:noProof/>
        </w:rPr>
        <w:drawing>
          <wp:inline distT="0" distB="0" distL="0" distR="0" wp14:anchorId="46AE3F0C" wp14:editId="25B57725">
            <wp:extent cx="5334462" cy="3292125"/>
            <wp:effectExtent l="0" t="0" r="0" b="381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0"/>
                    <a:stretch>
                      <a:fillRect/>
                    </a:stretch>
                  </pic:blipFill>
                  <pic:spPr>
                    <a:xfrm>
                      <a:off x="0" y="0"/>
                      <a:ext cx="5334462" cy="3292125"/>
                    </a:xfrm>
                    <a:prstGeom prst="rect">
                      <a:avLst/>
                    </a:prstGeom>
                  </pic:spPr>
                </pic:pic>
              </a:graphicData>
            </a:graphic>
          </wp:inline>
        </w:drawing>
      </w:r>
    </w:p>
    <w:p w14:paraId="3C43AC45" w14:textId="0F097000" w:rsidR="00B17144" w:rsidRDefault="00B17144" w:rsidP="00B17144">
      <w:pPr>
        <w:pStyle w:val="Heading3"/>
      </w:pPr>
      <w:r>
        <w:t>Spatial Scan</w:t>
      </w:r>
    </w:p>
    <w:p w14:paraId="781A6AE4" w14:textId="45F8E078" w:rsidR="00C54C41" w:rsidRPr="00C54C41" w:rsidRDefault="00C54C41" w:rsidP="00C54C41">
      <w:r>
        <w:t>Introduce map of most unlikely clusters below</w:t>
      </w:r>
    </w:p>
    <w:p w14:paraId="731BC98B" w14:textId="1D305D93" w:rsidR="00B17144" w:rsidRDefault="00B17144" w:rsidP="00B17144">
      <w:r>
        <w:rPr>
          <w:noProof/>
        </w:rPr>
        <w:lastRenderedPageBreak/>
        <w:drawing>
          <wp:inline distT="0" distB="0" distL="0" distR="0" wp14:anchorId="7FF3ABC7" wp14:editId="23916DDC">
            <wp:extent cx="5334635" cy="32918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34635" cy="3291840"/>
                    </a:xfrm>
                    <a:prstGeom prst="rect">
                      <a:avLst/>
                    </a:prstGeom>
                    <a:noFill/>
                  </pic:spPr>
                </pic:pic>
              </a:graphicData>
            </a:graphic>
          </wp:inline>
        </w:drawing>
      </w:r>
    </w:p>
    <w:p w14:paraId="576D165B" w14:textId="77777777" w:rsidR="00B17144" w:rsidRPr="00B17144" w:rsidRDefault="00B17144" w:rsidP="00B17144"/>
    <w:p w14:paraId="7F025024" w14:textId="77777777" w:rsidR="00B17144" w:rsidRPr="00B17144" w:rsidRDefault="00B17144" w:rsidP="00B17144"/>
    <w:p w14:paraId="5CEFC748" w14:textId="7F3CCE14" w:rsidR="00C57DFF" w:rsidRDefault="00C57DFF" w:rsidP="00C57DFF">
      <w:pPr>
        <w:pStyle w:val="Heading1"/>
      </w:pPr>
      <w:r>
        <w:t>Discussion</w:t>
      </w:r>
    </w:p>
    <w:p w14:paraId="196F4029" w14:textId="54F2F18C" w:rsidR="00491BFC" w:rsidRPr="00491BFC" w:rsidRDefault="005723B6" w:rsidP="00491BFC">
      <w:r>
        <w:t>This analysis reveals strong evidence for cluster</w:t>
      </w:r>
      <w:r w:rsidR="00AF3537">
        <w:t>s</w:t>
      </w:r>
      <w:r>
        <w:t xml:space="preserve"> of adults delaying healthcare due to cost in</w:t>
      </w:r>
      <w:r w:rsidR="00AF3537">
        <w:t xml:space="preserve"> four main regions: Areas in the north of Denver, Jackson Grand and Jackson, Pueblo to La </w:t>
      </w:r>
      <w:proofErr w:type="spellStart"/>
      <w:r w:rsidR="00AF3537">
        <w:t>Platta</w:t>
      </w:r>
      <w:proofErr w:type="spellEnd"/>
      <w:r w:rsidR="00AF3537">
        <w:t>, and Eagle/Garfield. The analysis provides strong evidence that there is clustering of adults delaying healthcare due to cost in Colorado.</w:t>
      </w:r>
    </w:p>
    <w:p w14:paraId="478C0A38" w14:textId="02BA630E" w:rsidR="00C57DFF" w:rsidRDefault="00C57DFF" w:rsidP="00995CFB">
      <w:pPr>
        <w:pStyle w:val="Heading1"/>
      </w:pPr>
      <w:r>
        <w:t>Policy</w:t>
      </w:r>
    </w:p>
    <w:p w14:paraId="4376B03B" w14:textId="1C2A9327" w:rsidR="006149C1" w:rsidRPr="006149C1" w:rsidRDefault="00995CFB" w:rsidP="006149C1">
      <w:r>
        <w:t xml:space="preserve">Colorado Marketplace is a </w:t>
      </w:r>
    </w:p>
    <w:p w14:paraId="370A54DD" w14:textId="22668651" w:rsidR="00C83AA4" w:rsidRDefault="00C83AA4">
      <w:r>
        <w:br w:type="page"/>
      </w:r>
    </w:p>
    <w:sdt>
      <w:sdtPr>
        <w:id w:val="-742566626"/>
        <w:docPartObj>
          <w:docPartGallery w:val="Bibliographies"/>
          <w:docPartUnique/>
        </w:docPartObj>
      </w:sdtPr>
      <w:sdtEndPr>
        <w:rPr>
          <w:rFonts w:eastAsiaTheme="minorHAnsi" w:cs="Times New Roman"/>
          <w:b w:val="0"/>
          <w:sz w:val="22"/>
        </w:rPr>
      </w:sdtEndPr>
      <w:sdtContent>
        <w:p w14:paraId="289A86A9" w14:textId="63278498" w:rsidR="00C83AA4" w:rsidRDefault="00C83AA4">
          <w:pPr>
            <w:pStyle w:val="Heading1"/>
          </w:pPr>
          <w:r>
            <w:t>References</w:t>
          </w:r>
        </w:p>
      </w:sdtContent>
    </w:sdt>
    <w:p w14:paraId="47433714" w14:textId="3D4327E7" w:rsidR="00C83AA4" w:rsidRDefault="00C83AA4" w:rsidP="00C83AA4">
      <w:pPr>
        <w:pStyle w:val="NormalWeb"/>
        <w:numPr>
          <w:ilvl w:val="6"/>
          <w:numId w:val="11"/>
        </w:numPr>
      </w:pPr>
      <w:proofErr w:type="spellStart"/>
      <w:r>
        <w:t>Altarum</w:t>
      </w:r>
      <w:proofErr w:type="spellEnd"/>
      <w:r>
        <w:t xml:space="preserve"> Healthcare Value Hub. (2019, February). Colorado Residents Struggle to Afford High Healthcare Costs; Support a Range of Government Solutions Across Party Lines. Retrieved December 7, 2021, from https://www.healthcarevaluehub.org/advocate-resources/publications/colorado-residents-struggle-afford-high-healthcare-costs-support-range-government-solutions-across-party-lines. </w:t>
      </w:r>
    </w:p>
    <w:p w14:paraId="1311FF0D" w14:textId="22322B96" w:rsidR="005A6036" w:rsidRPr="005A6036" w:rsidRDefault="005A6036" w:rsidP="005A6036">
      <w:pPr>
        <w:pStyle w:val="NormalWeb"/>
        <w:numPr>
          <w:ilvl w:val="6"/>
          <w:numId w:val="11"/>
        </w:numPr>
        <w:rPr>
          <w:i/>
          <w:iCs/>
        </w:rPr>
      </w:pPr>
      <w:r>
        <w:t xml:space="preserve">Colorado Department of Public Health and environment (CDPHE). </w:t>
      </w:r>
      <w:r w:rsidRPr="005A6036">
        <w:rPr>
          <w:i/>
          <w:iCs/>
        </w:rPr>
        <w:t>Delayed Medical Care in Adults ($) - CDPHE Community Level Estimates (Census Tracts)</w:t>
      </w:r>
      <w:r>
        <w:t xml:space="preserve">. Retrieved December 7, 2021, from </w:t>
      </w:r>
      <w:r w:rsidRPr="005A6036">
        <w:t>https://data-cdphe.opendata.arcgis.com/datasets/CDPHE::delayed-medical-care-in-adults-cdphe-community-level-estimates-census-tracts/about</w:t>
      </w:r>
    </w:p>
    <w:p w14:paraId="545E974B" w14:textId="77777777" w:rsidR="005A6036" w:rsidRDefault="005A6036" w:rsidP="005A6036">
      <w:pPr>
        <w:pStyle w:val="NormalWeb"/>
      </w:pPr>
    </w:p>
    <w:p w14:paraId="29283176" w14:textId="77777777" w:rsidR="00C83AA4" w:rsidRPr="00C83AA4" w:rsidRDefault="00C83AA4" w:rsidP="00C83AA4"/>
    <w:sectPr w:rsidR="00C83AA4" w:rsidRPr="00C83AA4" w:rsidSect="00754353">
      <w:headerReference w:type="default" r:id="rId12"/>
      <w:type w:val="continuous"/>
      <w:pgSz w:w="12240" w:h="15840"/>
      <w:pgMar w:top="1440" w:right="1440" w:bottom="1440" w:left="1440" w:header="720" w:footer="720" w:gutter="0"/>
      <w:cols w:sep="1"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90743E" w14:textId="77777777" w:rsidR="0022713C" w:rsidRDefault="0022713C" w:rsidP="008F7816">
      <w:pPr>
        <w:spacing w:after="0" w:line="240" w:lineRule="auto"/>
      </w:pPr>
      <w:r>
        <w:separator/>
      </w:r>
    </w:p>
  </w:endnote>
  <w:endnote w:type="continuationSeparator" w:id="0">
    <w:p w14:paraId="0DD51D3F" w14:textId="77777777" w:rsidR="0022713C" w:rsidRDefault="0022713C" w:rsidP="008F78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273ECB" w14:textId="77777777" w:rsidR="0022713C" w:rsidRDefault="0022713C" w:rsidP="008F7816">
      <w:pPr>
        <w:spacing w:after="0" w:line="240" w:lineRule="auto"/>
      </w:pPr>
      <w:r>
        <w:separator/>
      </w:r>
    </w:p>
  </w:footnote>
  <w:footnote w:type="continuationSeparator" w:id="0">
    <w:p w14:paraId="6C442D6B" w14:textId="77777777" w:rsidR="0022713C" w:rsidRDefault="0022713C" w:rsidP="008F78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DA1634" w14:textId="210DE6F3" w:rsidR="008F7816" w:rsidRDefault="008F7816">
    <w:pPr>
      <w:pStyle w:val="Header"/>
    </w:pPr>
    <w:r>
      <w:t>Gregory Matesi</w:t>
    </w:r>
  </w:p>
  <w:p w14:paraId="2D61B532" w14:textId="31C82C7C" w:rsidR="008F7816" w:rsidRDefault="008F7816">
    <w:pPr>
      <w:pStyle w:val="Header"/>
    </w:pPr>
    <w:r>
      <w:t xml:space="preserve">Dr </w:t>
    </w:r>
    <w:r w:rsidR="006149C1">
      <w:t>French</w:t>
    </w:r>
  </w:p>
  <w:p w14:paraId="72D37EA5" w14:textId="05300632" w:rsidR="00D96B34" w:rsidRDefault="00D96B34">
    <w:pPr>
      <w:pStyle w:val="Header"/>
    </w:pPr>
    <w:r>
      <w:t>Fall 2021</w:t>
    </w:r>
  </w:p>
  <w:p w14:paraId="2E4A7FC8" w14:textId="16211B08" w:rsidR="00842A71" w:rsidRDefault="008F7816">
    <w:pPr>
      <w:pStyle w:val="Header"/>
    </w:pPr>
    <w:r>
      <w:t xml:space="preserve">MATH </w:t>
    </w:r>
    <w:r w:rsidR="006149C1">
      <w:t>6384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812CA"/>
    <w:multiLevelType w:val="hybridMultilevel"/>
    <w:tmpl w:val="2F0EA7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A00F9B"/>
    <w:multiLevelType w:val="hybridMultilevel"/>
    <w:tmpl w:val="2B583F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6228EA"/>
    <w:multiLevelType w:val="hybridMultilevel"/>
    <w:tmpl w:val="A546DDB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5406A99"/>
    <w:multiLevelType w:val="hybridMultilevel"/>
    <w:tmpl w:val="72C0B6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C36139"/>
    <w:multiLevelType w:val="hybridMultilevel"/>
    <w:tmpl w:val="424E11A4"/>
    <w:lvl w:ilvl="0" w:tplc="3E3C0B30">
      <w:start w:val="1"/>
      <w:numFmt w:val="decimal"/>
      <w:lvlText w:val="%1."/>
      <w:lvlJc w:val="left"/>
      <w:pPr>
        <w:tabs>
          <w:tab w:val="num" w:pos="720"/>
        </w:tabs>
        <w:ind w:left="720" w:hanging="360"/>
      </w:pPr>
    </w:lvl>
    <w:lvl w:ilvl="1" w:tplc="AB0C7EB4">
      <w:numFmt w:val="bullet"/>
      <w:lvlText w:val="•"/>
      <w:lvlJc w:val="left"/>
      <w:pPr>
        <w:tabs>
          <w:tab w:val="num" w:pos="1440"/>
        </w:tabs>
        <w:ind w:left="1440" w:hanging="360"/>
      </w:pPr>
      <w:rPr>
        <w:rFonts w:ascii="Arial" w:hAnsi="Arial" w:hint="default"/>
      </w:rPr>
    </w:lvl>
    <w:lvl w:ilvl="2" w:tplc="1CCC3562" w:tentative="1">
      <w:start w:val="1"/>
      <w:numFmt w:val="decimal"/>
      <w:lvlText w:val="%3."/>
      <w:lvlJc w:val="left"/>
      <w:pPr>
        <w:tabs>
          <w:tab w:val="num" w:pos="2160"/>
        </w:tabs>
        <w:ind w:left="2160" w:hanging="360"/>
      </w:pPr>
    </w:lvl>
    <w:lvl w:ilvl="3" w:tplc="59AA452E" w:tentative="1">
      <w:start w:val="1"/>
      <w:numFmt w:val="decimal"/>
      <w:lvlText w:val="%4."/>
      <w:lvlJc w:val="left"/>
      <w:pPr>
        <w:tabs>
          <w:tab w:val="num" w:pos="2880"/>
        </w:tabs>
        <w:ind w:left="2880" w:hanging="360"/>
      </w:pPr>
    </w:lvl>
    <w:lvl w:ilvl="4" w:tplc="8B96665C" w:tentative="1">
      <w:start w:val="1"/>
      <w:numFmt w:val="decimal"/>
      <w:lvlText w:val="%5."/>
      <w:lvlJc w:val="left"/>
      <w:pPr>
        <w:tabs>
          <w:tab w:val="num" w:pos="3600"/>
        </w:tabs>
        <w:ind w:left="3600" w:hanging="360"/>
      </w:pPr>
    </w:lvl>
    <w:lvl w:ilvl="5" w:tplc="52E473D2" w:tentative="1">
      <w:start w:val="1"/>
      <w:numFmt w:val="decimal"/>
      <w:lvlText w:val="%6."/>
      <w:lvlJc w:val="left"/>
      <w:pPr>
        <w:tabs>
          <w:tab w:val="num" w:pos="4320"/>
        </w:tabs>
        <w:ind w:left="4320" w:hanging="360"/>
      </w:pPr>
    </w:lvl>
    <w:lvl w:ilvl="6" w:tplc="CA98AEB4" w:tentative="1">
      <w:start w:val="1"/>
      <w:numFmt w:val="decimal"/>
      <w:lvlText w:val="%7."/>
      <w:lvlJc w:val="left"/>
      <w:pPr>
        <w:tabs>
          <w:tab w:val="num" w:pos="5040"/>
        </w:tabs>
        <w:ind w:left="5040" w:hanging="360"/>
      </w:pPr>
    </w:lvl>
    <w:lvl w:ilvl="7" w:tplc="BB927660" w:tentative="1">
      <w:start w:val="1"/>
      <w:numFmt w:val="decimal"/>
      <w:lvlText w:val="%8."/>
      <w:lvlJc w:val="left"/>
      <w:pPr>
        <w:tabs>
          <w:tab w:val="num" w:pos="5760"/>
        </w:tabs>
        <w:ind w:left="5760" w:hanging="360"/>
      </w:pPr>
    </w:lvl>
    <w:lvl w:ilvl="8" w:tplc="B602E77E" w:tentative="1">
      <w:start w:val="1"/>
      <w:numFmt w:val="decimal"/>
      <w:lvlText w:val="%9."/>
      <w:lvlJc w:val="left"/>
      <w:pPr>
        <w:tabs>
          <w:tab w:val="num" w:pos="6480"/>
        </w:tabs>
        <w:ind w:left="6480" w:hanging="360"/>
      </w:pPr>
    </w:lvl>
  </w:abstractNum>
  <w:abstractNum w:abstractNumId="5" w15:restartNumberingAfterBreak="0">
    <w:nsid w:val="1EE20DA7"/>
    <w:multiLevelType w:val="multilevel"/>
    <w:tmpl w:val="F9E2F194"/>
    <w:lvl w:ilvl="0">
      <w:start w:val="1"/>
      <w:numFmt w:val="decimal"/>
      <w:pStyle w:val="Heading1"/>
      <w:suff w:val="space"/>
      <w:lvlText w:val="Section %1"/>
      <w:lvlJc w:val="left"/>
      <w:pPr>
        <w:ind w:left="0" w:firstLine="0"/>
      </w:pPr>
      <w:rPr>
        <w:rFonts w:ascii="Times New Roman" w:hAnsi="Times New Roman" w:hint="default"/>
        <w:b/>
        <w:i w:val="0"/>
        <w:color w:val="auto"/>
        <w:sz w:val="32"/>
      </w:rPr>
    </w:lvl>
    <w:lvl w:ilvl="1">
      <w:start w:val="1"/>
      <w:numFmt w:val="decimal"/>
      <w:pStyle w:val="Heading2"/>
      <w:lvlText w:val="%1.%2"/>
      <w:lvlJc w:val="left"/>
      <w:pPr>
        <w:ind w:left="0" w:firstLine="0"/>
      </w:pPr>
      <w:rPr>
        <w:rFonts w:ascii="Times New Roman" w:hAnsi="Times New Roman" w:hint="default"/>
        <w:b/>
        <w:i w:val="0"/>
        <w:color w:val="auto"/>
        <w:sz w:val="28"/>
      </w:rPr>
    </w:lvl>
    <w:lvl w:ilvl="2">
      <w:start w:val="1"/>
      <w:numFmt w:val="decimal"/>
      <w:pStyle w:val="Heading3"/>
      <w:lvlText w:val="%1.%2.%3"/>
      <w:lvlJc w:val="left"/>
      <w:pPr>
        <w:ind w:left="0" w:firstLine="0"/>
      </w:pPr>
      <w:rPr>
        <w:rFonts w:ascii="Times New Roman" w:hAnsi="Times New Roman" w:hint="default"/>
        <w:b/>
        <w:i w:val="0"/>
        <w:color w:val="auto"/>
        <w:sz w:val="24"/>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i w:val="0"/>
        <w:iCs w:val="0"/>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6" w15:restartNumberingAfterBreak="0">
    <w:nsid w:val="32FD3FF0"/>
    <w:multiLevelType w:val="hybridMultilevel"/>
    <w:tmpl w:val="1744D9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49E5A7B"/>
    <w:multiLevelType w:val="hybridMultilevel"/>
    <w:tmpl w:val="5A26F2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75C00EC"/>
    <w:multiLevelType w:val="hybridMultilevel"/>
    <w:tmpl w:val="33D6E5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FC40FAD"/>
    <w:multiLevelType w:val="hybridMultilevel"/>
    <w:tmpl w:val="2DA6B8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67C54C2"/>
    <w:multiLevelType w:val="multilevel"/>
    <w:tmpl w:val="5DDC2B9A"/>
    <w:lvl w:ilvl="0">
      <w:start w:val="1"/>
      <w:numFmt w:val="decimal"/>
      <w:suff w:val="space"/>
      <w:lvlText w:val="Chapter %1"/>
      <w:lvlJc w:val="left"/>
      <w:pPr>
        <w:ind w:left="0" w:firstLine="0"/>
      </w:pPr>
      <w:rPr>
        <w:rFonts w:hint="default"/>
      </w:rPr>
    </w:lvl>
    <w:lvl w:ilvl="1">
      <w:start w:val="1"/>
      <w:numFmt w:val="lowerLetter"/>
      <w:lvlText w:val="%2)"/>
      <w:lvlJc w:val="left"/>
      <w:pPr>
        <w:ind w:left="0" w:firstLine="0"/>
      </w:pPr>
      <w:rPr>
        <w:rFonts w:hint="default"/>
      </w:rPr>
    </w:lvl>
    <w:lvl w:ilvl="2">
      <w:start w:val="1"/>
      <w:numFmt w:val="lowerRoman"/>
      <w:lvlText w:val="%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1" w15:restartNumberingAfterBreak="0">
    <w:nsid w:val="4A6B3EC5"/>
    <w:multiLevelType w:val="multilevel"/>
    <w:tmpl w:val="E2F6BBC0"/>
    <w:lvl w:ilvl="0">
      <w:start w:val="1"/>
      <w:numFmt w:val="decimal"/>
      <w:suff w:val="space"/>
      <w:lvlText w:val="Section %1"/>
      <w:lvlJc w:val="left"/>
      <w:pPr>
        <w:ind w:left="0" w:firstLine="0"/>
      </w:pPr>
      <w:rPr>
        <w:rFonts w:ascii="Times New Roman" w:hAnsi="Times New Roman" w:hint="default"/>
        <w:b/>
        <w:i w:val="0"/>
        <w:sz w:val="32"/>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2" w15:restartNumberingAfterBreak="0">
    <w:nsid w:val="4BC92B0F"/>
    <w:multiLevelType w:val="hybridMultilevel"/>
    <w:tmpl w:val="EF2AD8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863071E"/>
    <w:multiLevelType w:val="hybridMultilevel"/>
    <w:tmpl w:val="6C042E1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5D541E17"/>
    <w:multiLevelType w:val="hybridMultilevel"/>
    <w:tmpl w:val="1FECE0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1122E0A"/>
    <w:multiLevelType w:val="multilevel"/>
    <w:tmpl w:val="EB920938"/>
    <w:lvl w:ilvl="0">
      <w:start w:val="1"/>
      <w:numFmt w:val="decimal"/>
      <w:suff w:val="space"/>
      <w:lvlText w:val="Section %1"/>
      <w:lvlJc w:val="left"/>
      <w:pPr>
        <w:ind w:left="0" w:firstLine="0"/>
      </w:pPr>
      <w:rPr>
        <w:rFonts w:ascii="Times New Roman" w:hAnsi="Times New Roman" w:hint="default"/>
        <w:b/>
        <w:i w:val="0"/>
        <w:color w:val="auto"/>
        <w:sz w:val="32"/>
      </w:rPr>
    </w:lvl>
    <w:lvl w:ilvl="1">
      <w:start w:val="1"/>
      <w:numFmt w:val="decimal"/>
      <w:lvlText w:val="%1.%2"/>
      <w:lvlJc w:val="left"/>
      <w:pPr>
        <w:ind w:left="0" w:firstLine="0"/>
      </w:pPr>
      <w:rPr>
        <w:rFonts w:ascii="Times New Roman" w:hAnsi="Times New Roman" w:hint="default"/>
        <w:b/>
        <w:i w:val="0"/>
        <w:color w:val="auto"/>
        <w:sz w:val="28"/>
      </w:rPr>
    </w:lvl>
    <w:lvl w:ilvl="2">
      <w:start w:val="1"/>
      <w:numFmt w:val="decimal"/>
      <w:lvlText w:val="%1.%2.%3"/>
      <w:lvlJc w:val="left"/>
      <w:pPr>
        <w:ind w:left="0" w:firstLine="0"/>
      </w:pPr>
      <w:rPr>
        <w:rFonts w:ascii="Times New Roman" w:hAnsi="Times New Roman" w:hint="default"/>
        <w:b/>
        <w:i w:val="0"/>
        <w:color w:val="auto"/>
        <w:sz w:val="24"/>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6" w15:restartNumberingAfterBreak="0">
    <w:nsid w:val="62547041"/>
    <w:multiLevelType w:val="hybridMultilevel"/>
    <w:tmpl w:val="97A4EB20"/>
    <w:lvl w:ilvl="0" w:tplc="E46E1402">
      <w:start w:val="1"/>
      <w:numFmt w:val="decimal"/>
      <w:lvlText w:val="%1."/>
      <w:lvlJc w:val="left"/>
      <w:pPr>
        <w:tabs>
          <w:tab w:val="num" w:pos="720"/>
        </w:tabs>
        <w:ind w:left="720" w:hanging="360"/>
      </w:pPr>
    </w:lvl>
    <w:lvl w:ilvl="1" w:tplc="FDC405F6">
      <w:numFmt w:val="bullet"/>
      <w:lvlText w:val="•"/>
      <w:lvlJc w:val="left"/>
      <w:pPr>
        <w:tabs>
          <w:tab w:val="num" w:pos="1440"/>
        </w:tabs>
        <w:ind w:left="1440" w:hanging="360"/>
      </w:pPr>
      <w:rPr>
        <w:rFonts w:ascii="Arial" w:hAnsi="Arial" w:hint="default"/>
      </w:rPr>
    </w:lvl>
    <w:lvl w:ilvl="2" w:tplc="269A69FA" w:tentative="1">
      <w:start w:val="1"/>
      <w:numFmt w:val="decimal"/>
      <w:lvlText w:val="%3."/>
      <w:lvlJc w:val="left"/>
      <w:pPr>
        <w:tabs>
          <w:tab w:val="num" w:pos="2160"/>
        </w:tabs>
        <w:ind w:left="2160" w:hanging="360"/>
      </w:pPr>
    </w:lvl>
    <w:lvl w:ilvl="3" w:tplc="2F787B32" w:tentative="1">
      <w:start w:val="1"/>
      <w:numFmt w:val="decimal"/>
      <w:lvlText w:val="%4."/>
      <w:lvlJc w:val="left"/>
      <w:pPr>
        <w:tabs>
          <w:tab w:val="num" w:pos="2880"/>
        </w:tabs>
        <w:ind w:left="2880" w:hanging="360"/>
      </w:pPr>
    </w:lvl>
    <w:lvl w:ilvl="4" w:tplc="987EB922" w:tentative="1">
      <w:start w:val="1"/>
      <w:numFmt w:val="decimal"/>
      <w:lvlText w:val="%5."/>
      <w:lvlJc w:val="left"/>
      <w:pPr>
        <w:tabs>
          <w:tab w:val="num" w:pos="3600"/>
        </w:tabs>
        <w:ind w:left="3600" w:hanging="360"/>
      </w:pPr>
    </w:lvl>
    <w:lvl w:ilvl="5" w:tplc="DCBCC2F6" w:tentative="1">
      <w:start w:val="1"/>
      <w:numFmt w:val="decimal"/>
      <w:lvlText w:val="%6."/>
      <w:lvlJc w:val="left"/>
      <w:pPr>
        <w:tabs>
          <w:tab w:val="num" w:pos="4320"/>
        </w:tabs>
        <w:ind w:left="4320" w:hanging="360"/>
      </w:pPr>
    </w:lvl>
    <w:lvl w:ilvl="6" w:tplc="E8D85F8E" w:tentative="1">
      <w:start w:val="1"/>
      <w:numFmt w:val="decimal"/>
      <w:lvlText w:val="%7."/>
      <w:lvlJc w:val="left"/>
      <w:pPr>
        <w:tabs>
          <w:tab w:val="num" w:pos="5040"/>
        </w:tabs>
        <w:ind w:left="5040" w:hanging="360"/>
      </w:pPr>
    </w:lvl>
    <w:lvl w:ilvl="7" w:tplc="47A63626" w:tentative="1">
      <w:start w:val="1"/>
      <w:numFmt w:val="decimal"/>
      <w:lvlText w:val="%8."/>
      <w:lvlJc w:val="left"/>
      <w:pPr>
        <w:tabs>
          <w:tab w:val="num" w:pos="5760"/>
        </w:tabs>
        <w:ind w:left="5760" w:hanging="360"/>
      </w:pPr>
    </w:lvl>
    <w:lvl w:ilvl="8" w:tplc="AB92AAB2" w:tentative="1">
      <w:start w:val="1"/>
      <w:numFmt w:val="decimal"/>
      <w:lvlText w:val="%9."/>
      <w:lvlJc w:val="left"/>
      <w:pPr>
        <w:tabs>
          <w:tab w:val="num" w:pos="6480"/>
        </w:tabs>
        <w:ind w:left="6480" w:hanging="360"/>
      </w:pPr>
    </w:lvl>
  </w:abstractNum>
  <w:abstractNum w:abstractNumId="17" w15:restartNumberingAfterBreak="0">
    <w:nsid w:val="68DF05AE"/>
    <w:multiLevelType w:val="hybridMultilevel"/>
    <w:tmpl w:val="1486C9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D181152"/>
    <w:multiLevelType w:val="hybridMultilevel"/>
    <w:tmpl w:val="B38803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4D145B5"/>
    <w:multiLevelType w:val="hybridMultilevel"/>
    <w:tmpl w:val="259C479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54F33C7"/>
    <w:multiLevelType w:val="hybridMultilevel"/>
    <w:tmpl w:val="21505B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5CA1AF8"/>
    <w:multiLevelType w:val="hybridMultilevel"/>
    <w:tmpl w:val="B0A4F6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766F5AC2"/>
    <w:multiLevelType w:val="hybridMultilevel"/>
    <w:tmpl w:val="27F092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9E76476"/>
    <w:multiLevelType w:val="hybridMultilevel"/>
    <w:tmpl w:val="E95279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22"/>
  </w:num>
  <w:num w:numId="3">
    <w:abstractNumId w:val="8"/>
  </w:num>
  <w:num w:numId="4">
    <w:abstractNumId w:val="12"/>
  </w:num>
  <w:num w:numId="5">
    <w:abstractNumId w:val="23"/>
  </w:num>
  <w:num w:numId="6">
    <w:abstractNumId w:val="18"/>
  </w:num>
  <w:num w:numId="7">
    <w:abstractNumId w:val="10"/>
  </w:num>
  <w:num w:numId="8">
    <w:abstractNumId w:val="11"/>
  </w:num>
  <w:num w:numId="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5"/>
  </w:num>
  <w:num w:numId="11">
    <w:abstractNumId w:val="5"/>
  </w:num>
  <w:num w:numId="12">
    <w:abstractNumId w:val="5"/>
  </w:num>
  <w:num w:numId="13">
    <w:abstractNumId w:val="14"/>
  </w:num>
  <w:num w:numId="14">
    <w:abstractNumId w:val="19"/>
  </w:num>
  <w:num w:numId="15">
    <w:abstractNumId w:val="7"/>
  </w:num>
  <w:num w:numId="16">
    <w:abstractNumId w:val="0"/>
  </w:num>
  <w:num w:numId="17">
    <w:abstractNumId w:val="6"/>
  </w:num>
  <w:num w:numId="18">
    <w:abstractNumId w:val="1"/>
  </w:num>
  <w:num w:numId="19">
    <w:abstractNumId w:val="9"/>
  </w:num>
  <w:num w:numId="20">
    <w:abstractNumId w:val="2"/>
  </w:num>
  <w:num w:numId="21">
    <w:abstractNumId w:val="17"/>
  </w:num>
  <w:num w:numId="22">
    <w:abstractNumId w:val="13"/>
  </w:num>
  <w:num w:numId="23">
    <w:abstractNumId w:val="20"/>
  </w:num>
  <w:num w:numId="24">
    <w:abstractNumId w:val="4"/>
  </w:num>
  <w:num w:numId="25">
    <w:abstractNumId w:val="16"/>
  </w:num>
  <w:num w:numId="2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2157"/>
    <w:rsid w:val="00003311"/>
    <w:rsid w:val="000421FD"/>
    <w:rsid w:val="00042D33"/>
    <w:rsid w:val="00042F12"/>
    <w:rsid w:val="00057AE5"/>
    <w:rsid w:val="000620C2"/>
    <w:rsid w:val="000625B4"/>
    <w:rsid w:val="000626F6"/>
    <w:rsid w:val="000C1292"/>
    <w:rsid w:val="000E3177"/>
    <w:rsid w:val="000F0970"/>
    <w:rsid w:val="00103625"/>
    <w:rsid w:val="00103D9D"/>
    <w:rsid w:val="00123F43"/>
    <w:rsid w:val="00137D2A"/>
    <w:rsid w:val="00145C74"/>
    <w:rsid w:val="00160380"/>
    <w:rsid w:val="0016149F"/>
    <w:rsid w:val="001749BE"/>
    <w:rsid w:val="001A6648"/>
    <w:rsid w:val="001E2E25"/>
    <w:rsid w:val="001E6D0F"/>
    <w:rsid w:val="001F1C0D"/>
    <w:rsid w:val="00202013"/>
    <w:rsid w:val="00206640"/>
    <w:rsid w:val="00223372"/>
    <w:rsid w:val="0022713C"/>
    <w:rsid w:val="00231B06"/>
    <w:rsid w:val="00251582"/>
    <w:rsid w:val="002529F5"/>
    <w:rsid w:val="002846D4"/>
    <w:rsid w:val="00287010"/>
    <w:rsid w:val="002B3B1E"/>
    <w:rsid w:val="002D11FC"/>
    <w:rsid w:val="002F60B9"/>
    <w:rsid w:val="003B3973"/>
    <w:rsid w:val="003F1426"/>
    <w:rsid w:val="003F152C"/>
    <w:rsid w:val="003F6D58"/>
    <w:rsid w:val="00447C40"/>
    <w:rsid w:val="004514F7"/>
    <w:rsid w:val="004604D2"/>
    <w:rsid w:val="00491BFC"/>
    <w:rsid w:val="00493A0E"/>
    <w:rsid w:val="004A01E7"/>
    <w:rsid w:val="004B41B9"/>
    <w:rsid w:val="004C4574"/>
    <w:rsid w:val="004D2157"/>
    <w:rsid w:val="004D56D7"/>
    <w:rsid w:val="00522791"/>
    <w:rsid w:val="005723B6"/>
    <w:rsid w:val="0058264F"/>
    <w:rsid w:val="005A6036"/>
    <w:rsid w:val="005D733A"/>
    <w:rsid w:val="00600B3B"/>
    <w:rsid w:val="006022EA"/>
    <w:rsid w:val="006149C1"/>
    <w:rsid w:val="00614B64"/>
    <w:rsid w:val="00624CC1"/>
    <w:rsid w:val="006547CB"/>
    <w:rsid w:val="00665B13"/>
    <w:rsid w:val="006803D9"/>
    <w:rsid w:val="006834E0"/>
    <w:rsid w:val="00686EF9"/>
    <w:rsid w:val="00691BAB"/>
    <w:rsid w:val="006C6E66"/>
    <w:rsid w:val="007075E4"/>
    <w:rsid w:val="00710745"/>
    <w:rsid w:val="00721548"/>
    <w:rsid w:val="00721A7B"/>
    <w:rsid w:val="00754353"/>
    <w:rsid w:val="00754EB4"/>
    <w:rsid w:val="0076450D"/>
    <w:rsid w:val="007664F0"/>
    <w:rsid w:val="0076731A"/>
    <w:rsid w:val="007703AD"/>
    <w:rsid w:val="00773775"/>
    <w:rsid w:val="00775533"/>
    <w:rsid w:val="007775B7"/>
    <w:rsid w:val="00782946"/>
    <w:rsid w:val="00793609"/>
    <w:rsid w:val="00806399"/>
    <w:rsid w:val="00834C0E"/>
    <w:rsid w:val="008374CF"/>
    <w:rsid w:val="0084190B"/>
    <w:rsid w:val="00842A71"/>
    <w:rsid w:val="00843482"/>
    <w:rsid w:val="008566D5"/>
    <w:rsid w:val="0086103C"/>
    <w:rsid w:val="00897F63"/>
    <w:rsid w:val="008B4D5D"/>
    <w:rsid w:val="008F6EA3"/>
    <w:rsid w:val="008F7816"/>
    <w:rsid w:val="009140CC"/>
    <w:rsid w:val="0093354D"/>
    <w:rsid w:val="00934E4F"/>
    <w:rsid w:val="009708C3"/>
    <w:rsid w:val="00995CFB"/>
    <w:rsid w:val="009A182C"/>
    <w:rsid w:val="009B5C42"/>
    <w:rsid w:val="009C3135"/>
    <w:rsid w:val="009D258D"/>
    <w:rsid w:val="009D40A3"/>
    <w:rsid w:val="00A12692"/>
    <w:rsid w:val="00A165BC"/>
    <w:rsid w:val="00A24D24"/>
    <w:rsid w:val="00A2616D"/>
    <w:rsid w:val="00A43F35"/>
    <w:rsid w:val="00A851A8"/>
    <w:rsid w:val="00A86603"/>
    <w:rsid w:val="00AA314F"/>
    <w:rsid w:val="00AB6483"/>
    <w:rsid w:val="00AC32A2"/>
    <w:rsid w:val="00AF09A1"/>
    <w:rsid w:val="00AF3537"/>
    <w:rsid w:val="00B05EFA"/>
    <w:rsid w:val="00B17144"/>
    <w:rsid w:val="00B22C04"/>
    <w:rsid w:val="00B33E50"/>
    <w:rsid w:val="00B40643"/>
    <w:rsid w:val="00B40F83"/>
    <w:rsid w:val="00B4359F"/>
    <w:rsid w:val="00B46601"/>
    <w:rsid w:val="00B47265"/>
    <w:rsid w:val="00B84AC7"/>
    <w:rsid w:val="00BC2C34"/>
    <w:rsid w:val="00BC49E9"/>
    <w:rsid w:val="00BC791F"/>
    <w:rsid w:val="00BC7EAF"/>
    <w:rsid w:val="00BF55BE"/>
    <w:rsid w:val="00BF6923"/>
    <w:rsid w:val="00C045BA"/>
    <w:rsid w:val="00C0499C"/>
    <w:rsid w:val="00C165FA"/>
    <w:rsid w:val="00C40B39"/>
    <w:rsid w:val="00C40F29"/>
    <w:rsid w:val="00C54C41"/>
    <w:rsid w:val="00C55CA4"/>
    <w:rsid w:val="00C57DFF"/>
    <w:rsid w:val="00C64265"/>
    <w:rsid w:val="00C83AA4"/>
    <w:rsid w:val="00C83F74"/>
    <w:rsid w:val="00C864FA"/>
    <w:rsid w:val="00C91B47"/>
    <w:rsid w:val="00CA21C0"/>
    <w:rsid w:val="00CA4A0A"/>
    <w:rsid w:val="00CB3D88"/>
    <w:rsid w:val="00CB5172"/>
    <w:rsid w:val="00CD067B"/>
    <w:rsid w:val="00CD2DF1"/>
    <w:rsid w:val="00CE028F"/>
    <w:rsid w:val="00CE08E9"/>
    <w:rsid w:val="00CE5D9D"/>
    <w:rsid w:val="00D02BA3"/>
    <w:rsid w:val="00D40158"/>
    <w:rsid w:val="00D748A7"/>
    <w:rsid w:val="00D96B34"/>
    <w:rsid w:val="00DD050D"/>
    <w:rsid w:val="00E02CF0"/>
    <w:rsid w:val="00E066C4"/>
    <w:rsid w:val="00E12B0F"/>
    <w:rsid w:val="00E5025E"/>
    <w:rsid w:val="00E61620"/>
    <w:rsid w:val="00E828C3"/>
    <w:rsid w:val="00E86A4D"/>
    <w:rsid w:val="00E8761A"/>
    <w:rsid w:val="00E927F9"/>
    <w:rsid w:val="00E97BE9"/>
    <w:rsid w:val="00EC4617"/>
    <w:rsid w:val="00ED22C8"/>
    <w:rsid w:val="00ED3AF7"/>
    <w:rsid w:val="00ED636C"/>
    <w:rsid w:val="00ED7D3D"/>
    <w:rsid w:val="00F05A6D"/>
    <w:rsid w:val="00F6532B"/>
    <w:rsid w:val="00FA2304"/>
    <w:rsid w:val="00FC55CB"/>
    <w:rsid w:val="00FD62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D61197"/>
  <w15:chartTrackingRefBased/>
  <w15:docId w15:val="{A8BCF86B-0728-4B9F-B460-1F0DD58E5B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bCs/>
        <w:sz w:val="22"/>
        <w:szCs w:val="3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2D33"/>
  </w:style>
  <w:style w:type="paragraph" w:styleId="Heading1">
    <w:name w:val="heading 1"/>
    <w:basedOn w:val="Normal"/>
    <w:next w:val="Normal"/>
    <w:link w:val="Heading1Char"/>
    <w:uiPriority w:val="9"/>
    <w:qFormat/>
    <w:rsid w:val="00231B06"/>
    <w:pPr>
      <w:keepNext/>
      <w:keepLines/>
      <w:numPr>
        <w:numId w:val="11"/>
      </w:numPr>
      <w:spacing w:before="120" w:after="120"/>
      <w:outlineLvl w:val="0"/>
    </w:pPr>
    <w:rPr>
      <w:rFonts w:eastAsiaTheme="majorEastAsia" w:cstheme="majorBidi"/>
      <w:b/>
      <w:sz w:val="32"/>
    </w:rPr>
  </w:style>
  <w:style w:type="paragraph" w:styleId="Heading2">
    <w:name w:val="heading 2"/>
    <w:basedOn w:val="Normal"/>
    <w:next w:val="Normal"/>
    <w:link w:val="Heading2Char"/>
    <w:uiPriority w:val="9"/>
    <w:unhideWhenUsed/>
    <w:qFormat/>
    <w:rsid w:val="00231B06"/>
    <w:pPr>
      <w:keepNext/>
      <w:keepLines/>
      <w:numPr>
        <w:ilvl w:val="1"/>
        <w:numId w:val="11"/>
      </w:numPr>
      <w:spacing w:before="40" w:after="0"/>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231B06"/>
    <w:pPr>
      <w:keepNext/>
      <w:keepLines/>
      <w:numPr>
        <w:ilvl w:val="2"/>
        <w:numId w:val="11"/>
      </w:numPr>
      <w:spacing w:before="40" w:after="0"/>
      <w:outlineLvl w:val="2"/>
    </w:pPr>
    <w:rPr>
      <w:rFonts w:eastAsiaTheme="majorEastAsia" w:cstheme="majorBidi"/>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2157"/>
    <w:pPr>
      <w:ind w:left="720"/>
      <w:contextualSpacing/>
    </w:pPr>
  </w:style>
  <w:style w:type="paragraph" w:styleId="Header">
    <w:name w:val="header"/>
    <w:basedOn w:val="Normal"/>
    <w:link w:val="HeaderChar"/>
    <w:uiPriority w:val="99"/>
    <w:unhideWhenUsed/>
    <w:rsid w:val="008F78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7816"/>
  </w:style>
  <w:style w:type="paragraph" w:styleId="Footer">
    <w:name w:val="footer"/>
    <w:basedOn w:val="Normal"/>
    <w:link w:val="FooterChar"/>
    <w:uiPriority w:val="99"/>
    <w:unhideWhenUsed/>
    <w:rsid w:val="008F78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7816"/>
  </w:style>
  <w:style w:type="character" w:customStyle="1" w:styleId="Heading1Char">
    <w:name w:val="Heading 1 Char"/>
    <w:basedOn w:val="DefaultParagraphFont"/>
    <w:link w:val="Heading1"/>
    <w:uiPriority w:val="9"/>
    <w:rsid w:val="00231B06"/>
    <w:rPr>
      <w:rFonts w:eastAsiaTheme="majorEastAsia" w:cstheme="majorBidi"/>
      <w:b/>
      <w:sz w:val="32"/>
    </w:rPr>
  </w:style>
  <w:style w:type="character" w:customStyle="1" w:styleId="Heading2Char">
    <w:name w:val="Heading 2 Char"/>
    <w:basedOn w:val="DefaultParagraphFont"/>
    <w:link w:val="Heading2"/>
    <w:uiPriority w:val="9"/>
    <w:rsid w:val="00231B06"/>
    <w:rPr>
      <w:rFonts w:eastAsiaTheme="majorEastAsia" w:cstheme="majorBidi"/>
      <w:b/>
      <w:sz w:val="28"/>
      <w:szCs w:val="26"/>
    </w:rPr>
  </w:style>
  <w:style w:type="character" w:customStyle="1" w:styleId="Heading3Char">
    <w:name w:val="Heading 3 Char"/>
    <w:basedOn w:val="DefaultParagraphFont"/>
    <w:link w:val="Heading3"/>
    <w:uiPriority w:val="9"/>
    <w:rsid w:val="00231B06"/>
    <w:rPr>
      <w:rFonts w:eastAsiaTheme="majorEastAsia" w:cstheme="majorBidi"/>
      <w:b/>
      <w:sz w:val="24"/>
      <w:szCs w:val="24"/>
    </w:rPr>
  </w:style>
  <w:style w:type="character" w:styleId="CommentReference">
    <w:name w:val="annotation reference"/>
    <w:basedOn w:val="DefaultParagraphFont"/>
    <w:uiPriority w:val="99"/>
    <w:semiHidden/>
    <w:unhideWhenUsed/>
    <w:rsid w:val="006834E0"/>
    <w:rPr>
      <w:sz w:val="16"/>
      <w:szCs w:val="16"/>
    </w:rPr>
  </w:style>
  <w:style w:type="paragraph" w:styleId="CommentText">
    <w:name w:val="annotation text"/>
    <w:basedOn w:val="Normal"/>
    <w:link w:val="CommentTextChar"/>
    <w:uiPriority w:val="99"/>
    <w:semiHidden/>
    <w:unhideWhenUsed/>
    <w:rsid w:val="006834E0"/>
    <w:pPr>
      <w:spacing w:line="240" w:lineRule="auto"/>
    </w:pPr>
    <w:rPr>
      <w:sz w:val="20"/>
      <w:szCs w:val="20"/>
    </w:rPr>
  </w:style>
  <w:style w:type="character" w:customStyle="1" w:styleId="CommentTextChar">
    <w:name w:val="Comment Text Char"/>
    <w:basedOn w:val="DefaultParagraphFont"/>
    <w:link w:val="CommentText"/>
    <w:uiPriority w:val="99"/>
    <w:semiHidden/>
    <w:rsid w:val="006834E0"/>
    <w:rPr>
      <w:sz w:val="20"/>
      <w:szCs w:val="20"/>
    </w:rPr>
  </w:style>
  <w:style w:type="paragraph" w:styleId="CommentSubject">
    <w:name w:val="annotation subject"/>
    <w:basedOn w:val="CommentText"/>
    <w:next w:val="CommentText"/>
    <w:link w:val="CommentSubjectChar"/>
    <w:uiPriority w:val="99"/>
    <w:semiHidden/>
    <w:unhideWhenUsed/>
    <w:rsid w:val="006834E0"/>
    <w:rPr>
      <w:b/>
    </w:rPr>
  </w:style>
  <w:style w:type="character" w:customStyle="1" w:styleId="CommentSubjectChar">
    <w:name w:val="Comment Subject Char"/>
    <w:basedOn w:val="CommentTextChar"/>
    <w:link w:val="CommentSubject"/>
    <w:uiPriority w:val="99"/>
    <w:semiHidden/>
    <w:rsid w:val="006834E0"/>
    <w:rPr>
      <w:b/>
      <w:sz w:val="20"/>
      <w:szCs w:val="20"/>
    </w:rPr>
  </w:style>
  <w:style w:type="character" w:styleId="PlaceholderText">
    <w:name w:val="Placeholder Text"/>
    <w:basedOn w:val="DefaultParagraphFont"/>
    <w:uiPriority w:val="99"/>
    <w:semiHidden/>
    <w:rsid w:val="00AF09A1"/>
    <w:rPr>
      <w:color w:val="808080"/>
    </w:rPr>
  </w:style>
  <w:style w:type="character" w:styleId="Hyperlink">
    <w:name w:val="Hyperlink"/>
    <w:basedOn w:val="DefaultParagraphFont"/>
    <w:uiPriority w:val="99"/>
    <w:unhideWhenUsed/>
    <w:rsid w:val="00775533"/>
    <w:rPr>
      <w:color w:val="0563C1" w:themeColor="hyperlink"/>
      <w:u w:val="single"/>
    </w:rPr>
  </w:style>
  <w:style w:type="character" w:styleId="UnresolvedMention">
    <w:name w:val="Unresolved Mention"/>
    <w:basedOn w:val="DefaultParagraphFont"/>
    <w:uiPriority w:val="99"/>
    <w:semiHidden/>
    <w:unhideWhenUsed/>
    <w:rsid w:val="00775533"/>
    <w:rPr>
      <w:color w:val="605E5C"/>
      <w:shd w:val="clear" w:color="auto" w:fill="E1DFDD"/>
    </w:rPr>
  </w:style>
  <w:style w:type="table" w:styleId="TableGrid">
    <w:name w:val="Table Grid"/>
    <w:basedOn w:val="TableNormal"/>
    <w:uiPriority w:val="39"/>
    <w:rsid w:val="001A66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C83AA4"/>
    <w:pPr>
      <w:spacing w:before="100" w:beforeAutospacing="1" w:after="100" w:afterAutospacing="1" w:line="240" w:lineRule="auto"/>
    </w:pPr>
    <w:rPr>
      <w:rFonts w:eastAsia="Times New Roman"/>
      <w:bCs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3107251">
      <w:bodyDiv w:val="1"/>
      <w:marLeft w:val="0"/>
      <w:marRight w:val="0"/>
      <w:marTop w:val="0"/>
      <w:marBottom w:val="0"/>
      <w:divBdr>
        <w:top w:val="none" w:sz="0" w:space="0" w:color="auto"/>
        <w:left w:val="none" w:sz="0" w:space="0" w:color="auto"/>
        <w:bottom w:val="none" w:sz="0" w:space="0" w:color="auto"/>
        <w:right w:val="none" w:sz="0" w:space="0" w:color="auto"/>
      </w:divBdr>
    </w:div>
    <w:div w:id="1009673840">
      <w:bodyDiv w:val="1"/>
      <w:marLeft w:val="0"/>
      <w:marRight w:val="0"/>
      <w:marTop w:val="0"/>
      <w:marBottom w:val="0"/>
      <w:divBdr>
        <w:top w:val="none" w:sz="0" w:space="0" w:color="auto"/>
        <w:left w:val="none" w:sz="0" w:space="0" w:color="auto"/>
        <w:bottom w:val="none" w:sz="0" w:space="0" w:color="auto"/>
        <w:right w:val="none" w:sz="0" w:space="0" w:color="auto"/>
      </w:divBdr>
    </w:div>
    <w:div w:id="1248612717">
      <w:bodyDiv w:val="1"/>
      <w:marLeft w:val="0"/>
      <w:marRight w:val="0"/>
      <w:marTop w:val="0"/>
      <w:marBottom w:val="0"/>
      <w:divBdr>
        <w:top w:val="none" w:sz="0" w:space="0" w:color="auto"/>
        <w:left w:val="none" w:sz="0" w:space="0" w:color="auto"/>
        <w:bottom w:val="none" w:sz="0" w:space="0" w:color="auto"/>
        <w:right w:val="none" w:sz="0" w:space="0" w:color="auto"/>
      </w:divBdr>
      <w:divsChild>
        <w:div w:id="1033117819">
          <w:marLeft w:val="360"/>
          <w:marRight w:val="0"/>
          <w:marTop w:val="0"/>
          <w:marBottom w:val="0"/>
          <w:divBdr>
            <w:top w:val="none" w:sz="0" w:space="0" w:color="auto"/>
            <w:left w:val="none" w:sz="0" w:space="0" w:color="auto"/>
            <w:bottom w:val="none" w:sz="0" w:space="0" w:color="auto"/>
            <w:right w:val="none" w:sz="0" w:space="0" w:color="auto"/>
          </w:divBdr>
        </w:div>
        <w:div w:id="1656030408">
          <w:marLeft w:val="1080"/>
          <w:marRight w:val="0"/>
          <w:marTop w:val="0"/>
          <w:marBottom w:val="0"/>
          <w:divBdr>
            <w:top w:val="none" w:sz="0" w:space="0" w:color="auto"/>
            <w:left w:val="none" w:sz="0" w:space="0" w:color="auto"/>
            <w:bottom w:val="none" w:sz="0" w:space="0" w:color="auto"/>
            <w:right w:val="none" w:sz="0" w:space="0" w:color="auto"/>
          </w:divBdr>
        </w:div>
        <w:div w:id="66849920">
          <w:marLeft w:val="360"/>
          <w:marRight w:val="0"/>
          <w:marTop w:val="0"/>
          <w:marBottom w:val="0"/>
          <w:divBdr>
            <w:top w:val="none" w:sz="0" w:space="0" w:color="auto"/>
            <w:left w:val="none" w:sz="0" w:space="0" w:color="auto"/>
            <w:bottom w:val="none" w:sz="0" w:space="0" w:color="auto"/>
            <w:right w:val="none" w:sz="0" w:space="0" w:color="auto"/>
          </w:divBdr>
        </w:div>
        <w:div w:id="1988392540">
          <w:marLeft w:val="1080"/>
          <w:marRight w:val="0"/>
          <w:marTop w:val="0"/>
          <w:marBottom w:val="0"/>
          <w:divBdr>
            <w:top w:val="none" w:sz="0" w:space="0" w:color="auto"/>
            <w:left w:val="none" w:sz="0" w:space="0" w:color="auto"/>
            <w:bottom w:val="none" w:sz="0" w:space="0" w:color="auto"/>
            <w:right w:val="none" w:sz="0" w:space="0" w:color="auto"/>
          </w:divBdr>
        </w:div>
        <w:div w:id="1339425990">
          <w:marLeft w:val="360"/>
          <w:marRight w:val="0"/>
          <w:marTop w:val="0"/>
          <w:marBottom w:val="0"/>
          <w:divBdr>
            <w:top w:val="none" w:sz="0" w:space="0" w:color="auto"/>
            <w:left w:val="none" w:sz="0" w:space="0" w:color="auto"/>
            <w:bottom w:val="none" w:sz="0" w:space="0" w:color="auto"/>
            <w:right w:val="none" w:sz="0" w:space="0" w:color="auto"/>
          </w:divBdr>
        </w:div>
        <w:div w:id="445854789">
          <w:marLeft w:val="1080"/>
          <w:marRight w:val="0"/>
          <w:marTop w:val="0"/>
          <w:marBottom w:val="0"/>
          <w:divBdr>
            <w:top w:val="none" w:sz="0" w:space="0" w:color="auto"/>
            <w:left w:val="none" w:sz="0" w:space="0" w:color="auto"/>
            <w:bottom w:val="none" w:sz="0" w:space="0" w:color="auto"/>
            <w:right w:val="none" w:sz="0" w:space="0" w:color="auto"/>
          </w:divBdr>
        </w:div>
        <w:div w:id="208299350">
          <w:marLeft w:val="360"/>
          <w:marRight w:val="0"/>
          <w:marTop w:val="0"/>
          <w:marBottom w:val="0"/>
          <w:divBdr>
            <w:top w:val="none" w:sz="0" w:space="0" w:color="auto"/>
            <w:left w:val="none" w:sz="0" w:space="0" w:color="auto"/>
            <w:bottom w:val="none" w:sz="0" w:space="0" w:color="auto"/>
            <w:right w:val="none" w:sz="0" w:space="0" w:color="auto"/>
          </w:divBdr>
        </w:div>
        <w:div w:id="1921064222">
          <w:marLeft w:val="1080"/>
          <w:marRight w:val="0"/>
          <w:marTop w:val="0"/>
          <w:marBottom w:val="0"/>
          <w:divBdr>
            <w:top w:val="none" w:sz="0" w:space="0" w:color="auto"/>
            <w:left w:val="none" w:sz="0" w:space="0" w:color="auto"/>
            <w:bottom w:val="none" w:sz="0" w:space="0" w:color="auto"/>
            <w:right w:val="none" w:sz="0" w:space="0" w:color="auto"/>
          </w:divBdr>
        </w:div>
        <w:div w:id="1952005909">
          <w:marLeft w:val="360"/>
          <w:marRight w:val="0"/>
          <w:marTop w:val="0"/>
          <w:marBottom w:val="0"/>
          <w:divBdr>
            <w:top w:val="none" w:sz="0" w:space="0" w:color="auto"/>
            <w:left w:val="none" w:sz="0" w:space="0" w:color="auto"/>
            <w:bottom w:val="none" w:sz="0" w:space="0" w:color="auto"/>
            <w:right w:val="none" w:sz="0" w:space="0" w:color="auto"/>
          </w:divBdr>
        </w:div>
        <w:div w:id="673191261">
          <w:marLeft w:val="1080"/>
          <w:marRight w:val="0"/>
          <w:marTop w:val="0"/>
          <w:marBottom w:val="0"/>
          <w:divBdr>
            <w:top w:val="none" w:sz="0" w:space="0" w:color="auto"/>
            <w:left w:val="none" w:sz="0" w:space="0" w:color="auto"/>
            <w:bottom w:val="none" w:sz="0" w:space="0" w:color="auto"/>
            <w:right w:val="none" w:sz="0" w:space="0" w:color="auto"/>
          </w:divBdr>
        </w:div>
        <w:div w:id="55862338">
          <w:marLeft w:val="360"/>
          <w:marRight w:val="0"/>
          <w:marTop w:val="0"/>
          <w:marBottom w:val="0"/>
          <w:divBdr>
            <w:top w:val="none" w:sz="0" w:space="0" w:color="auto"/>
            <w:left w:val="none" w:sz="0" w:space="0" w:color="auto"/>
            <w:bottom w:val="none" w:sz="0" w:space="0" w:color="auto"/>
            <w:right w:val="none" w:sz="0" w:space="0" w:color="auto"/>
          </w:divBdr>
        </w:div>
        <w:div w:id="774712034">
          <w:marLeft w:val="1080"/>
          <w:marRight w:val="0"/>
          <w:marTop w:val="0"/>
          <w:marBottom w:val="0"/>
          <w:divBdr>
            <w:top w:val="none" w:sz="0" w:space="0" w:color="auto"/>
            <w:left w:val="none" w:sz="0" w:space="0" w:color="auto"/>
            <w:bottom w:val="none" w:sz="0" w:space="0" w:color="auto"/>
            <w:right w:val="none" w:sz="0" w:space="0" w:color="auto"/>
          </w:divBdr>
        </w:div>
        <w:div w:id="1926303790">
          <w:marLeft w:val="360"/>
          <w:marRight w:val="0"/>
          <w:marTop w:val="0"/>
          <w:marBottom w:val="0"/>
          <w:divBdr>
            <w:top w:val="none" w:sz="0" w:space="0" w:color="auto"/>
            <w:left w:val="none" w:sz="0" w:space="0" w:color="auto"/>
            <w:bottom w:val="none" w:sz="0" w:space="0" w:color="auto"/>
            <w:right w:val="none" w:sz="0" w:space="0" w:color="auto"/>
          </w:divBdr>
        </w:div>
        <w:div w:id="1517226840">
          <w:marLeft w:val="1080"/>
          <w:marRight w:val="0"/>
          <w:marTop w:val="0"/>
          <w:marBottom w:val="0"/>
          <w:divBdr>
            <w:top w:val="none" w:sz="0" w:space="0" w:color="auto"/>
            <w:left w:val="none" w:sz="0" w:space="0" w:color="auto"/>
            <w:bottom w:val="none" w:sz="0" w:space="0" w:color="auto"/>
            <w:right w:val="none" w:sz="0" w:space="0" w:color="auto"/>
          </w:divBdr>
        </w:div>
      </w:divsChild>
    </w:div>
    <w:div w:id="1387491912">
      <w:bodyDiv w:val="1"/>
      <w:marLeft w:val="0"/>
      <w:marRight w:val="0"/>
      <w:marTop w:val="0"/>
      <w:marBottom w:val="0"/>
      <w:divBdr>
        <w:top w:val="none" w:sz="0" w:space="0" w:color="auto"/>
        <w:left w:val="none" w:sz="0" w:space="0" w:color="auto"/>
        <w:bottom w:val="none" w:sz="0" w:space="0" w:color="auto"/>
        <w:right w:val="none" w:sz="0" w:space="0" w:color="auto"/>
      </w:divBdr>
    </w:div>
    <w:div w:id="1658605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727A8C-281A-4524-ACAD-85C71A9B82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484</TotalTime>
  <Pages>7</Pages>
  <Words>917</Words>
  <Characters>5229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Matesi</dc:creator>
  <cp:keywords/>
  <dc:description/>
  <cp:lastModifiedBy>Greg Matesi</cp:lastModifiedBy>
  <cp:revision>14</cp:revision>
  <cp:lastPrinted>2021-09-28T23:22:00Z</cp:lastPrinted>
  <dcterms:created xsi:type="dcterms:W3CDTF">2021-12-02T05:13:00Z</dcterms:created>
  <dcterms:modified xsi:type="dcterms:W3CDTF">2021-12-07T22:16:00Z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85d36151-111a-30d6-8ba6-49c04b4aab73</vt:lpwstr>
  </property>
  <property fmtid="{D5CDD505-2E9C-101B-9397-08002B2CF9AE}" pid="24" name="Mendeley Citation Style_1">
    <vt:lpwstr>http://www.zotero.org/styles/apa</vt:lpwstr>
  </property>
</Properties>
</file>