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ListBullet"/>
        <w:spacing w:after="40"/>
      </w:pPr>
      <w:r>
        <w:rPr>
          <w:b/>
        </w:rPr>
        <w:t>Steigerung je Objekt:</w:t>
      </w:r>
      <w:r>
        <w:rPr>
          <w:b w:val="0"/>
        </w:rPr>
        <w:t xml:space="preserve"> Die Spalten Mietsteigerung und Erhaltungssteigerung im Blatt Objekte sind mit dem Parameter vorbelegt (blau) und lassen sich je Objekt überschreiben; leer gilt wieder der Parameter. „Miete eingefroren ab Jahr“: ab diesem Jahr bleibt die Miete auf dem Stand des Vorjahrs (weitere Einnahmen steigen weiter).</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bis zu acht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 Gesamtvermögen aller Optionen je Jahr in einem Diagramm</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die Differenz zu Halten</w:t>
            </w:r>
          </w:p>
        </w:tc>
      </w:tr>
      <w:tr>
        <w:tc>
          <w:tcPr>
            <w:tcW w:type="dxa" w:w="2041"/>
          </w:tcPr>
          <w:p>
            <w:pPr>
              <w:keepNext/>
              <w:spacing w:after="20"/>
            </w:pPr>
            <w:r>
              <w:rPr>
                <w:sz w:val="19"/>
              </w:rPr>
            </w:r>
            <w:r>
              <w:rPr>
                <w:b w:val="0"/>
                <w:sz w:val="19"/>
              </w:rPr>
              <w:t>BWA halten</w:t>
            </w:r>
          </w:p>
        </w:tc>
        <w:tc>
          <w:tcPr>
            <w:tcW w:type="dxa" w:w="7370"/>
          </w:tcPr>
          <w:p>
            <w:pPr>
              <w:keepNext/>
              <w:spacing w:after="20"/>
            </w:pPr>
            <w:r>
              <w:rPr>
                <w:sz w:val="19"/>
              </w:rPr>
            </w:r>
            <w:r>
              <w:rPr>
                <w:b w:val="0"/>
                <w:sz w:val="19"/>
              </w:rPr>
              <w:t>dieselbe Summen-BWA als Status quo: alle Objekte behalten, ohne Verkäufe und Neuobjekte (entfällt ohne Verkauf und Kauf)</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