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Finanzierungsbedarf</w:t>
      </w:r>
      <w:r>
        <w:rPr>
          <w:b w:val="0"/>
        </w:rPr>
        <w:t xml:space="preserve"> = Kaufpreis + Nebenkosten − Nettoerlös der Quell-Verkäufe.</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