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AfA-Satz und -Methode,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pPr>
        <w:pStyle w:val="Heading1"/>
      </w:pPr>
      <w:r>
        <w:t>10. Mandanten-Export</w:t>
      </w:r>
    </w:p>
    <w:p>
      <w:r>
        <w:rPr>
          <w:b w:val="0"/>
        </w:rPr>
        <w:t>Für den Mandanten gibt es eine schlanke Fassung der Mappe mit sechs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Halten und Differenz</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