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Daten bereitstellen:</w:t>
      </w:r>
      <w:r>
        <w:rPr>
          <w:b w:val="0"/>
        </w:rPr>
        <w:t xml:space="preserve"> Kostenstellen-Datei (DATEV-BWA, ein Blatt je Kostenstelle, in Excel gespeichert) und, falls vorhanden, das Anlagenverzeichnis (DATEV „Inventarübersicht“). Die Mappe wird daraus erzeugt; das übernimmt die technische Betreuung.</w:t>
      </w:r>
    </w:p>
    <w:p>
      <w:pPr>
        <w:pStyle w:val="ListNumber"/>
        <w:spacing w:after="40"/>
      </w:pPr>
      <w:r>
        <w:rPr>
          <w:b/>
        </w:rPr>
        <w:t>Blatt Start öffnen:</w:t>
      </w:r>
      <w:r>
        <w:rPr>
          <w:b w:val="0"/>
        </w:rPr>
        <w:t xml:space="preserve"> Handlungsempfehlung, Belastbarkeit der Daten und Farblegende prüfen.</w:t>
      </w:r>
    </w:p>
    <w:p>
      <w:pPr>
        <w:pStyle w:val="ListNumber"/>
        <w:spacing w:after="40"/>
      </w:pPr>
      <w:r>
        <w:rPr>
          <w:b/>
        </w:rPr>
        <w:t>Annahmen prüfen:</w:t>
      </w:r>
      <w:r>
        <w:rPr>
          <w:b w:val="0"/>
        </w:rPr>
        <w:t xml:space="preserve"> Blatt Parameter (Steuersatz, Steigerungen, Alternativrendite) und blaue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Ergebnis lesen:</w:t>
      </w:r>
      <w:r>
        <w:rPr>
          <w:b w:val="0"/>
        </w:rPr>
        <w:t xml:space="preserve"> Start, Übersicht und Vergleich; zuvor im Blatt Prüfung sicherstellen, dass keine Fehler offen sind.</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spacing w:after="20"/>
            </w:pPr>
            <w:r>
              <w:rPr>
                <w:sz w:val="19"/>
              </w:rPr>
            </w:r>
            <w:r>
              <w:rPr>
                <w:b/>
                <w:sz w:val="19"/>
              </w:rPr>
              <w:t>Blatt</w:t>
            </w:r>
          </w:p>
        </w:tc>
        <w:tc>
          <w:tcPr>
            <w:tcW w:type="dxa" w:w="7030"/>
            <w:shd w:val="clear" w:fill="D9E2F3"/>
          </w:tcPr>
          <w:p>
            <w:pPr>
              <w:spacing w:after="20"/>
            </w:pPr>
            <w:r>
              <w:rPr>
                <w:sz w:val="19"/>
              </w:rPr>
            </w:r>
            <w:r>
              <w:rPr>
                <w:b/>
                <w:sz w:val="19"/>
              </w:rPr>
              <w:t>Wofür</w:t>
            </w:r>
          </w:p>
        </w:tc>
      </w:tr>
      <w:tr>
        <w:tc>
          <w:tcPr>
            <w:tcW w:type="dxa" w:w="2381"/>
          </w:tcPr>
          <w:p>
            <w:pPr>
              <w:spacing w:after="20"/>
            </w:pPr>
            <w:r>
              <w:rPr>
                <w:sz w:val="19"/>
              </w:rPr>
            </w:r>
            <w:r>
              <w:rPr>
                <w:b/>
                <w:sz w:val="19"/>
              </w:rPr>
              <w:t>Start</w:t>
            </w:r>
          </w:p>
        </w:tc>
        <w:tc>
          <w:tcPr>
            <w:tcW w:type="dxa" w:w="7030"/>
          </w:tcPr>
          <w:p>
            <w:pPr>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spacing w:after="20"/>
            </w:pPr>
            <w:r>
              <w:rPr>
                <w:sz w:val="19"/>
              </w:rPr>
            </w:r>
            <w:r>
              <w:rPr>
                <w:b/>
                <w:sz w:val="19"/>
              </w:rPr>
              <w:t>Parameter</w:t>
            </w:r>
          </w:p>
        </w:tc>
        <w:tc>
          <w:tcPr>
            <w:tcW w:type="dxa" w:w="7030"/>
          </w:tcPr>
          <w:p>
            <w:pPr>
              <w:spacing w:after="20"/>
            </w:pPr>
            <w:r>
              <w:rPr>
                <w:sz w:val="19"/>
              </w:rPr>
            </w:r>
            <w:r>
              <w:rPr>
                <w:b w:val="0"/>
                <w:sz w:val="19"/>
              </w:rPr>
              <w:t>Alle Sätze und Annahmen zentral; Schaltflächen der Makros</w:t>
            </w:r>
          </w:p>
        </w:tc>
      </w:tr>
      <w:tr>
        <w:tc>
          <w:tcPr>
            <w:tcW w:type="dxa" w:w="2381"/>
          </w:tcPr>
          <w:p>
            <w:pPr>
              <w:spacing w:after="20"/>
            </w:pPr>
            <w:r>
              <w:rPr>
                <w:sz w:val="19"/>
              </w:rPr>
            </w:r>
            <w:r>
              <w:rPr>
                <w:b/>
                <w:sz w:val="19"/>
              </w:rPr>
              <w:t>Objekte</w:t>
            </w:r>
          </w:p>
        </w:tc>
        <w:tc>
          <w:tcPr>
            <w:tcW w:type="dxa" w:w="7030"/>
          </w:tcPr>
          <w:p>
            <w:pPr>
              <w:spacing w:after="20"/>
            </w:pPr>
            <w:r>
              <w:rPr>
                <w:sz w:val="19"/>
              </w:rPr>
            </w:r>
            <w:r>
              <w:rPr>
                <w:b w:val="0"/>
                <w:sz w:val="19"/>
              </w:rPr>
              <w:t>Ein Bestandsobjekt je Zeile: Miete, Kosten, AK, Kaufjahr, Verkehrswert, Status</w:t>
            </w:r>
          </w:p>
        </w:tc>
      </w:tr>
      <w:tr>
        <w:tc>
          <w:tcPr>
            <w:tcW w:type="dxa" w:w="2381"/>
          </w:tcPr>
          <w:p>
            <w:pPr>
              <w:spacing w:after="20"/>
            </w:pPr>
            <w:r>
              <w:rPr>
                <w:sz w:val="19"/>
              </w:rPr>
            </w:r>
            <w:r>
              <w:rPr>
                <w:b/>
                <w:sz w:val="19"/>
              </w:rPr>
              <w:t>Verkäufe</w:t>
            </w:r>
          </w:p>
        </w:tc>
        <w:tc>
          <w:tcPr>
            <w:tcW w:type="dxa" w:w="7030"/>
          </w:tcPr>
          <w:p>
            <w:pPr>
              <w:spacing w:after="20"/>
            </w:pPr>
            <w:r>
              <w:rPr>
                <w:sz w:val="19"/>
              </w:rPr>
            </w:r>
            <w:r>
              <w:rPr>
                <w:b w:val="0"/>
                <w:sz w:val="19"/>
              </w:rPr>
              <w:t>ObjektID, Jahr, Preis, Kosten, Anteil G+B lt. Kaufvertrag, § 6b ja/nein, „reinvestieren = ja“ legt ein Neuobjekt aus Annahmen an</w:t>
            </w:r>
          </w:p>
        </w:tc>
      </w:tr>
      <w:tr>
        <w:tc>
          <w:tcPr>
            <w:tcW w:type="dxa" w:w="2381"/>
          </w:tcPr>
          <w:p>
            <w:pPr>
              <w:spacing w:after="20"/>
            </w:pPr>
            <w:r>
              <w:rPr>
                <w:sz w:val="19"/>
              </w:rPr>
            </w:r>
            <w:r>
              <w:rPr>
                <w:b/>
                <w:sz w:val="19"/>
              </w:rPr>
              <w:t>Neuobjekte</w:t>
            </w:r>
          </w:p>
        </w:tc>
        <w:tc>
          <w:tcPr>
            <w:tcW w:type="dxa" w:w="7030"/>
          </w:tcPr>
          <w:p>
            <w:pPr>
              <w:spacing w:after="20"/>
            </w:pPr>
            <w:r>
              <w:rPr>
                <w:sz w:val="19"/>
              </w:rPr>
            </w:r>
            <w:r>
              <w:rPr>
                <w:b w:val="0"/>
                <w:sz w:val="19"/>
              </w:rPr>
              <w:t>Kaufjahr, Kaufpreis, Anteil G+B, AfA-Satz und -Methode, Quelle-Rücklage, optional „Kostenstelle Neukauf“</w:t>
            </w:r>
          </w:p>
        </w:tc>
      </w:tr>
      <w:tr>
        <w:tc>
          <w:tcPr>
            <w:tcW w:type="dxa" w:w="2381"/>
          </w:tcPr>
          <w:p>
            <w:pPr>
              <w:spacing w:after="20"/>
            </w:pPr>
            <w:r>
              <w:rPr>
                <w:sz w:val="19"/>
              </w:rPr>
            </w:r>
            <w:r>
              <w:rPr>
                <w:b/>
                <w:sz w:val="19"/>
              </w:rPr>
              <w:t>Anlagen</w:t>
            </w:r>
          </w:p>
        </w:tc>
        <w:tc>
          <w:tcPr>
            <w:tcW w:type="dxa" w:w="7030"/>
          </w:tcPr>
          <w:p>
            <w:pPr>
              <w:spacing w:after="20"/>
            </w:pPr>
            <w:r>
              <w:rPr>
                <w:sz w:val="19"/>
              </w:rPr>
            </w:r>
            <w:r>
              <w:rPr>
                <w:b w:val="0"/>
                <w:sz w:val="19"/>
              </w:rPr>
              <w:t>Anlagenverzeichnis: AK, Buchwert und AfA je Anlage und Jahr</w:t>
            </w:r>
          </w:p>
        </w:tc>
      </w:tr>
      <w:tr>
        <w:tc>
          <w:tcPr>
            <w:tcW w:type="dxa" w:w="2381"/>
          </w:tcPr>
          <w:p>
            <w:pPr>
              <w:spacing w:after="20"/>
            </w:pPr>
            <w:r>
              <w:rPr>
                <w:sz w:val="19"/>
              </w:rPr>
            </w:r>
            <w:r>
              <w:rPr>
                <w:b/>
                <w:sz w:val="19"/>
              </w:rPr>
              <w:t>Übersicht / Vergleich</w:t>
            </w:r>
          </w:p>
        </w:tc>
        <w:tc>
          <w:tcPr>
            <w:tcW w:type="dxa" w:w="7030"/>
          </w:tcPr>
          <w:p>
            <w:pPr>
              <w:spacing w:after="20"/>
            </w:pPr>
            <w:r>
              <w:rPr>
                <w:sz w:val="19"/>
              </w:rPr>
            </w:r>
            <w:r>
              <w:rPr>
                <w:b w:val="0"/>
                <w:sz w:val="19"/>
              </w:rPr>
              <w:t>Wert der Immobilien und Gesamtvermögen je Jahr; Szenarien nebeneinander mit Differenzen</w:t>
            </w:r>
          </w:p>
        </w:tc>
      </w:tr>
      <w:tr>
        <w:tc>
          <w:tcPr>
            <w:tcW w:type="dxa" w:w="2381"/>
          </w:tcPr>
          <w:p>
            <w:pPr>
              <w:spacing w:after="20"/>
            </w:pPr>
            <w:r>
              <w:rPr>
                <w:sz w:val="19"/>
              </w:rPr>
            </w:r>
            <w:r>
              <w:rPr>
                <w:b/>
                <w:sz w:val="19"/>
              </w:rPr>
              <w:t>Prüfung</w:t>
            </w:r>
          </w:p>
        </w:tc>
        <w:tc>
          <w:tcPr>
            <w:tcW w:type="dxa" w:w="7030"/>
          </w:tcPr>
          <w:p>
            <w:pPr>
              <w:spacing w:after="20"/>
            </w:pPr>
            <w:r>
              <w:rPr>
                <w:sz w:val="19"/>
              </w:rPr>
            </w:r>
            <w:r>
              <w:rPr>
                <w:b w:val="0"/>
                <w:sz w:val="19"/>
              </w:rPr>
              <w:t>Alle Plausibilitätsprüfungen als Fehler, Warnung oder Hinweis</w:t>
            </w:r>
          </w:p>
        </w:tc>
      </w:tr>
      <w:tr>
        <w:tc>
          <w:tcPr>
            <w:tcW w:type="dxa" w:w="2381"/>
          </w:tcPr>
          <w:p>
            <w:pPr>
              <w:spacing w:after="20"/>
            </w:pPr>
            <w:r>
              <w:rPr>
                <w:sz w:val="19"/>
              </w:rPr>
            </w:r>
            <w:r>
              <w:rPr>
                <w:b/>
                <w:sz w:val="19"/>
              </w:rPr>
              <w:t>Alle Objekte, KSt-Blätter</w:t>
            </w:r>
          </w:p>
        </w:tc>
        <w:tc>
          <w:tcPr>
            <w:tcW w:type="dxa" w:w="7030"/>
          </w:tcPr>
          <w:p>
            <w:pPr>
              <w:spacing w:after="20"/>
            </w:pPr>
            <w:r>
              <w:rPr>
                <w:sz w:val="19"/>
              </w:rPr>
            </w:r>
            <w:r>
              <w:rPr>
                <w:b w:val="0"/>
                <w:sz w:val="19"/>
              </w:rPr>
              <w:t>Ist und Plan im DATEV-BWA-Format je Kostenstelle und als Summe; Verkauf und Kauf als eigenes Blatt</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spacing w:after="20"/>
            </w:pPr>
            <w:r>
              <w:rPr>
                <w:sz w:val="19"/>
              </w:rPr>
            </w:r>
            <w:r>
              <w:rPr>
                <w:b/>
                <w:sz w:val="19"/>
              </w:rPr>
              <w:t>Farbe</w:t>
            </w:r>
          </w:p>
        </w:tc>
        <w:tc>
          <w:tcPr>
            <w:tcW w:type="dxa" w:w="4762"/>
            <w:shd w:val="clear" w:fill="D9E2F3"/>
          </w:tcPr>
          <w:p>
            <w:pPr>
              <w:spacing w:after="20"/>
            </w:pPr>
            <w:r>
              <w:rPr>
                <w:sz w:val="19"/>
              </w:rPr>
            </w:r>
            <w:r>
              <w:rPr>
                <w:b/>
                <w:sz w:val="19"/>
              </w:rPr>
              <w:t>Bedeutung</w:t>
            </w:r>
          </w:p>
        </w:tc>
        <w:tc>
          <w:tcPr>
            <w:tcW w:type="dxa" w:w="3402"/>
            <w:shd w:val="clear" w:fill="D9E2F3"/>
          </w:tcPr>
          <w:p>
            <w:pPr>
              <w:spacing w:after="20"/>
            </w:pPr>
            <w:r>
              <w:rPr>
                <w:sz w:val="19"/>
              </w:rPr>
            </w:r>
            <w:r>
              <w:rPr>
                <w:b/>
                <w:sz w:val="19"/>
              </w:rPr>
              <w:t>Was tun?</w:t>
            </w:r>
          </w:p>
        </w:tc>
      </w:tr>
      <w:tr>
        <w:tc>
          <w:tcPr>
            <w:tcW w:type="dxa" w:w="1247"/>
            <w:shd w:val="clear" w:fill="F4B6B6"/>
          </w:tcPr>
          <w:p>
            <w:pPr>
              <w:spacing w:after="20"/>
            </w:pPr>
            <w:r>
              <w:rPr>
                <w:sz w:val="19"/>
              </w:rPr>
            </w:r>
            <w:r>
              <w:rPr>
                <w:b w:val="0"/>
                <w:sz w:val="19"/>
              </w:rPr>
              <w:t>rot</w:t>
            </w:r>
          </w:p>
        </w:tc>
        <w:tc>
          <w:tcPr>
            <w:tcW w:type="dxa" w:w="4762"/>
          </w:tcPr>
          <w:p>
            <w:pPr>
              <w:spacing w:after="20"/>
            </w:pPr>
            <w:r>
              <w:rPr>
                <w:sz w:val="19"/>
              </w:rPr>
            </w:r>
            <w:r>
              <w:rPr>
                <w:b w:val="0"/>
                <w:sz w:val="19"/>
              </w:rPr>
              <w:t>Pflichtangabe fehlt oder Annahme gelöscht</w:t>
            </w:r>
          </w:p>
        </w:tc>
        <w:tc>
          <w:tcPr>
            <w:tcW w:type="dxa" w:w="3402"/>
          </w:tcPr>
          <w:p>
            <w:pPr>
              <w:spacing w:after="20"/>
            </w:pPr>
            <w:r>
              <w:rPr>
                <w:sz w:val="19"/>
              </w:rPr>
            </w:r>
            <w:r>
              <w:rPr>
                <w:b w:val="0"/>
                <w:sz w:val="19"/>
              </w:rPr>
              <w:t>Wert eintragen</w:t>
            </w:r>
          </w:p>
        </w:tc>
      </w:tr>
      <w:tr>
        <w:tc>
          <w:tcPr>
            <w:tcW w:type="dxa" w:w="1247"/>
            <w:shd w:val="clear" w:fill="F8CBAD"/>
          </w:tcPr>
          <w:p>
            <w:pPr>
              <w:spacing w:after="20"/>
            </w:pPr>
            <w:r>
              <w:rPr>
                <w:sz w:val="19"/>
              </w:rPr>
            </w:r>
            <w:r>
              <w:rPr>
                <w:b w:val="0"/>
                <w:sz w:val="19"/>
              </w:rPr>
              <w:t>orange</w:t>
            </w:r>
          </w:p>
        </w:tc>
        <w:tc>
          <w:tcPr>
            <w:tcW w:type="dxa" w:w="4762"/>
          </w:tcPr>
          <w:p>
            <w:pPr>
              <w:spacing w:after="20"/>
            </w:pPr>
            <w:r>
              <w:rPr>
                <w:sz w:val="19"/>
              </w:rPr>
            </w:r>
            <w:r>
              <w:rPr>
                <w:b w:val="0"/>
                <w:sz w:val="19"/>
              </w:rPr>
              <w:t>Annahme bei verkauftem Objekt (bestimmt Gewinn und Rücklage) oder Wert weicht vom Kostenstellenblatt ab</w:t>
            </w:r>
          </w:p>
        </w:tc>
        <w:tc>
          <w:tcPr>
            <w:tcW w:type="dxa" w:w="3402"/>
          </w:tcPr>
          <w:p>
            <w:pPr>
              <w:spacing w:after="20"/>
            </w:pPr>
            <w:r>
              <w:rPr>
                <w:sz w:val="19"/>
              </w:rPr>
            </w:r>
            <w:r>
              <w:rPr>
                <w:b w:val="0"/>
                <w:sz w:val="19"/>
              </w:rPr>
              <w:t>Wert belegen bzw. abgleichen</w:t>
            </w:r>
          </w:p>
        </w:tc>
      </w:tr>
      <w:tr>
        <w:tc>
          <w:tcPr>
            <w:tcW w:type="dxa" w:w="1247"/>
            <w:shd w:val="clear" w:fill="BDD7EE"/>
          </w:tcPr>
          <w:p>
            <w:pPr>
              <w:spacing w:after="20"/>
            </w:pPr>
            <w:r>
              <w:rPr>
                <w:sz w:val="19"/>
              </w:rPr>
            </w:r>
            <w:r>
              <w:rPr>
                <w:b w:val="0"/>
                <w:sz w:val="19"/>
              </w:rPr>
              <w:t>blau</w:t>
            </w:r>
          </w:p>
        </w:tc>
        <w:tc>
          <w:tcPr>
            <w:tcW w:type="dxa" w:w="4762"/>
          </w:tcPr>
          <w:p>
            <w:pPr>
              <w:spacing w:after="20"/>
            </w:pPr>
            <w:r>
              <w:rPr>
                <w:sz w:val="19"/>
              </w:rPr>
            </w:r>
            <w:r>
              <w:rPr>
                <w:b w:val="0"/>
                <w:sz w:val="19"/>
              </w:rPr>
              <w:t>Annahme aus dem Parameterblatt</w:t>
            </w:r>
          </w:p>
        </w:tc>
        <w:tc>
          <w:tcPr>
            <w:tcW w:type="dxa" w:w="3402"/>
          </w:tcPr>
          <w:p>
            <w:pPr>
              <w:spacing w:after="20"/>
            </w:pPr>
            <w:r>
              <w:rPr>
                <w:sz w:val="19"/>
              </w:rPr>
            </w:r>
            <w:r>
              <w:rPr>
                <w:b w:val="0"/>
                <w:sz w:val="19"/>
              </w:rPr>
              <w:t>bei besserer Kenntnis überschreiben</w:t>
            </w:r>
          </w:p>
        </w:tc>
      </w:tr>
      <w:tr>
        <w:tc>
          <w:tcPr>
            <w:tcW w:type="dxa" w:w="1247"/>
            <w:shd w:val="clear" w:fill="C6E0B4"/>
          </w:tcPr>
          <w:p>
            <w:pPr>
              <w:spacing w:after="20"/>
            </w:pPr>
            <w:r>
              <w:rPr>
                <w:sz w:val="19"/>
              </w:rPr>
            </w:r>
            <w:r>
              <w:rPr>
                <w:b w:val="0"/>
                <w:sz w:val="19"/>
              </w:rPr>
              <w:t>grün</w:t>
            </w:r>
          </w:p>
        </w:tc>
        <w:tc>
          <w:tcPr>
            <w:tcW w:type="dxa" w:w="4762"/>
          </w:tcPr>
          <w:p>
            <w:pPr>
              <w:spacing w:after="20"/>
            </w:pPr>
            <w:r>
              <w:rPr>
                <w:sz w:val="19"/>
              </w:rPr>
            </w:r>
            <w:r>
              <w:rPr>
                <w:b w:val="0"/>
                <w:sz w:val="19"/>
              </w:rPr>
              <w:t>aus Buchhaltung, Kostenstellenblatt oder Anlagen</w:t>
            </w:r>
          </w:p>
        </w:tc>
        <w:tc>
          <w:tcPr>
            <w:tcW w:type="dxa" w:w="3402"/>
          </w:tcPr>
          <w:p>
            <w:pPr>
              <w:spacing w:after="20"/>
            </w:pPr>
            <w:r>
              <w:rPr>
                <w:sz w:val="19"/>
              </w:rPr>
            </w:r>
            <w:r>
              <w:rPr>
                <w:b w:val="0"/>
                <w:sz w:val="19"/>
              </w:rPr>
              <w:t>nichts; zählt nicht als Annahme</w:t>
            </w:r>
          </w:p>
        </w:tc>
      </w:tr>
      <w:tr>
        <w:tc>
          <w:tcPr>
            <w:tcW w:type="dxa" w:w="1247"/>
            <w:shd w:val="clear" w:fill="FFF2CC"/>
          </w:tcPr>
          <w:p>
            <w:pPr>
              <w:spacing w:after="20"/>
            </w:pPr>
            <w:r>
              <w:rPr>
                <w:sz w:val="19"/>
              </w:rPr>
            </w:r>
            <w:r>
              <w:rPr>
                <w:b w:val="0"/>
                <w:sz w:val="19"/>
              </w:rPr>
              <w:t>gelb</w:t>
            </w:r>
          </w:p>
        </w:tc>
        <w:tc>
          <w:tcPr>
            <w:tcW w:type="dxa" w:w="4762"/>
          </w:tcPr>
          <w:p>
            <w:pPr>
              <w:spacing w:after="20"/>
            </w:pPr>
            <w:r>
              <w:rPr>
                <w:sz w:val="19"/>
              </w:rPr>
            </w:r>
            <w:r>
              <w:rPr>
                <w:b w:val="0"/>
                <w:sz w:val="19"/>
              </w:rPr>
              <w:t>händische Eingabe</w:t>
            </w:r>
          </w:p>
        </w:tc>
        <w:tc>
          <w:tcPr>
            <w:tcW w:type="dxa" w:w="3402"/>
          </w:tcPr>
          <w:p>
            <w:pPr>
              <w:spacing w:after="20"/>
            </w:pPr>
            <w:r>
              <w:rPr>
                <w:sz w:val="19"/>
              </w:rPr>
            </w:r>
            <w:r>
              <w:rPr>
                <w:b w:val="0"/>
                <w:sz w:val="19"/>
              </w:rPr>
              <w:t>—</w:t>
            </w:r>
          </w:p>
        </w:tc>
      </w:tr>
      <w:tr>
        <w:tc>
          <w:tcPr>
            <w:tcW w:type="dxa" w:w="1247"/>
            <w:shd w:val="clear" w:fill="D9D9D9"/>
          </w:tcPr>
          <w:p>
            <w:pPr>
              <w:spacing w:after="20"/>
            </w:pPr>
            <w:r>
              <w:rPr>
                <w:sz w:val="19"/>
              </w:rPr>
            </w:r>
            <w:r>
              <w:rPr>
                <w:b w:val="0"/>
                <w:sz w:val="19"/>
              </w:rPr>
              <w:t>grau</w:t>
            </w:r>
          </w:p>
        </w:tc>
        <w:tc>
          <w:tcPr>
            <w:tcW w:type="dxa" w:w="4762"/>
          </w:tcPr>
          <w:p>
            <w:pPr>
              <w:spacing w:after="20"/>
            </w:pPr>
            <w:r>
              <w:rPr>
                <w:sz w:val="19"/>
              </w:rPr>
            </w:r>
            <w:r>
              <w:rPr>
                <w:b w:val="0"/>
                <w:sz w:val="19"/>
              </w:rPr>
              <w:t>Formel</w:t>
            </w:r>
          </w:p>
        </w:tc>
        <w:tc>
          <w:tcPr>
            <w:tcW w:type="dxa" w:w="3402"/>
          </w:tcPr>
          <w:p>
            <w:pPr>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sowie die AfA lt. Buchhaltung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zählen aber nicht zu „Alle Objekte“. Trägt man die Kostenstelle im Blatt Neuobjekte unter „Kostenstelle Neukauf“ ein, übernimmt die Prognose ab dem Jahr nach dem Kauf Miete, Einnahmen, Erhaltung und Ausgaben aus diesem Blatt; Jahre ohne Wert werden mit der Steigerung fortgeschrieben. Die AfA rechnet weiter das Modell aus Kaufpreis, Anteil G+B, AfA-Satz und § 6b-Übertragung.</w:t>
      </w:r>
    </w:p>
    <w:p>
      <w:pPr>
        <w:pStyle w:val="Heading1"/>
      </w:pPr>
      <w:r>
        <w:t>5. Steuerliche Logik in Kürze</w:t>
      </w:r>
    </w:p>
    <w:p>
      <w:pPr>
        <w:pStyle w:val="ListBullet"/>
        <w:spacing w:after="40"/>
      </w:pPr>
      <w:r>
        <w:rPr>
          <w:b/>
        </w:rPr>
        <w:t>Verkauf</w:t>
      </w:r>
      <w:r>
        <w:rPr>
          <w:b w:val="0"/>
        </w:rPr>
        <w:t xml:space="preserve"> zum Jahresende; Miete und AfA laufen im Verkaufsjahr noch. Der Erlös wird nach Kaufvertrag, sonst nach Verkehrswertanteil auf Gebäude und G+B aufgeteilt.</w:t>
      </w:r>
    </w:p>
    <w:p>
      <w:pPr>
        <w:pStyle w:val="ListBullet"/>
        <w:spacing w:after="40"/>
      </w:pPr>
      <w:r>
        <w:rPr>
          <w:b/>
        </w:rPr>
        <w:t>§ 6b-Rücklage</w:t>
      </w:r>
      <w:r>
        <w:rPr>
          <w:b w:val="0"/>
        </w:rPr>
        <w:t xml:space="preserve"> aus den positiven Teilgewinnen, getrennt nach Gebäude und G+B. Frist vier Jahre, mit begonnenem Neubau sechs. Nicht übertragene Rücklage wird im Fristjahr aufgelöst, mit 6 % Zuschlag je Jahr.</w:t>
      </w:r>
    </w:p>
    <w:p>
      <w:pPr>
        <w:pStyle w:val="ListBullet"/>
        <w:spacing w:after="40"/>
      </w:pPr>
      <w:r>
        <w:rPr>
          <w:b/>
        </w:rPr>
        <w:t>Übertragung</w:t>
      </w:r>
      <w:r>
        <w:rPr>
          <w:b w:val="0"/>
        </w:rPr>
        <w:t xml:space="preserve"> in fester Reihenfolge: Gebäudegewinn auf Gebäude, G+B-Gewinn auf G+B, Rest auf das Gebäude. Die AfA des Neuobjekts läuft von der geminderten Basis.</w:t>
      </w:r>
    </w:p>
    <w:p>
      <w:pPr>
        <w:pStyle w:val="ListBullet"/>
        <w:spacing w:after="40"/>
      </w:pPr>
      <w:r>
        <w:rPr>
          <w:b/>
        </w:rPr>
        <w:t>Steuer</w:t>
      </w:r>
      <w:r>
        <w:rPr>
          <w:b w:val="0"/>
        </w:rPr>
        <w:t xml:space="preserve"> = (laufendes Ergebnis + steuerwirksamer Rücklagenbetrag) × Grenzsteuersatz; Verluste werden vorgetragen. Freie Liquidität wird mit der Alternativrendite verzinst.</w:t>
      </w:r>
    </w:p>
    <w:p>
      <w:pPr>
        <w:pStyle w:val="ListBullet"/>
        <w:spacing w:after="40"/>
      </w:pPr>
      <w:r>
        <w:rPr>
          <w:b/>
        </w:rPr>
        <w:t>Erhaltung</w:t>
      </w:r>
      <w:r>
        <w:rPr>
          <w:b w:val="0"/>
        </w:rPr>
        <w:t xml:space="preserve"> steigt ab 30 Jahren Gebäudealter zusätzlich; ab 50 Jahren fällt eine Großmaßnahme an (Standard 15 % des Gebäudewerts). Neuobjekte tragen anfangs die Hälfte.</w:t>
      </w:r>
    </w:p>
    <w:p>
      <w:pPr>
        <w:pStyle w:val="Heading2"/>
      </w:pPr>
      <w:r>
        <w:t>Szenarien</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spacing w:after="20"/>
            </w:pPr>
            <w:r>
              <w:rPr>
                <w:sz w:val="19"/>
              </w:rPr>
            </w:r>
            <w:r>
              <w:rPr>
                <w:b/>
                <w:sz w:val="19"/>
              </w:rPr>
              <w:t>Szenario</w:t>
            </w:r>
          </w:p>
        </w:tc>
        <w:tc>
          <w:tcPr>
            <w:tcW w:type="dxa" w:w="7710"/>
            <w:shd w:val="clear" w:fill="D9E2F3"/>
          </w:tcPr>
          <w:p>
            <w:pPr>
              <w:spacing w:after="20"/>
            </w:pPr>
            <w:r>
              <w:rPr>
                <w:sz w:val="19"/>
              </w:rPr>
            </w:r>
            <w:r>
              <w:rPr>
                <w:b/>
                <w:sz w:val="19"/>
              </w:rPr>
              <w:t>Inhalt</w:t>
            </w:r>
          </w:p>
        </w:tc>
      </w:tr>
      <w:tr>
        <w:tc>
          <w:tcPr>
            <w:tcW w:type="dxa" w:w="1701"/>
          </w:tcPr>
          <w:p>
            <w:pPr>
              <w:spacing w:after="20"/>
            </w:pPr>
            <w:r>
              <w:rPr>
                <w:sz w:val="19"/>
              </w:rPr>
            </w:r>
            <w:r>
              <w:rPr>
                <w:b w:val="0"/>
                <w:sz w:val="19"/>
              </w:rPr>
              <w:t>A Plan</w:t>
            </w:r>
          </w:p>
        </w:tc>
        <w:tc>
          <w:tcPr>
            <w:tcW w:type="dxa" w:w="7710"/>
          </w:tcPr>
          <w:p>
            <w:pPr>
              <w:spacing w:after="20"/>
            </w:pPr>
            <w:r>
              <w:rPr>
                <w:sz w:val="19"/>
              </w:rPr>
            </w:r>
            <w:r>
              <w:rPr>
                <w:b w:val="0"/>
                <w:sz w:val="19"/>
              </w:rPr>
              <w:t>§ 6b-Kette wie erfasst</w:t>
            </w:r>
          </w:p>
        </w:tc>
      </w:tr>
      <w:tr>
        <w:tc>
          <w:tcPr>
            <w:tcW w:type="dxa" w:w="1701"/>
          </w:tcPr>
          <w:p>
            <w:pPr>
              <w:spacing w:after="20"/>
            </w:pPr>
            <w:r>
              <w:rPr>
                <w:sz w:val="19"/>
              </w:rPr>
            </w:r>
            <w:r>
              <w:rPr>
                <w:b w:val="0"/>
                <w:sz w:val="19"/>
              </w:rPr>
              <w:t>B</w:t>
            </w:r>
          </w:p>
        </w:tc>
        <w:tc>
          <w:tcPr>
            <w:tcW w:type="dxa" w:w="7710"/>
          </w:tcPr>
          <w:p>
            <w:pPr>
              <w:spacing w:after="20"/>
            </w:pPr>
            <w:r>
              <w:rPr>
                <w:sz w:val="19"/>
              </w:rPr>
            </w:r>
            <w:r>
              <w:rPr>
                <w:b w:val="0"/>
                <w:sz w:val="19"/>
              </w:rPr>
              <w:t>Gewinn sofort versteuert, kein Neukauf aus der Rücklage, Geld in der Alternativanlage</w:t>
            </w:r>
          </w:p>
        </w:tc>
      </w:tr>
      <w:tr>
        <w:tc>
          <w:tcPr>
            <w:tcW w:type="dxa" w:w="1701"/>
          </w:tcPr>
          <w:p>
            <w:pPr>
              <w:spacing w:after="20"/>
            </w:pPr>
            <w:r>
              <w:rPr>
                <w:sz w:val="19"/>
              </w:rPr>
            </w:r>
            <w:r>
              <w:rPr>
                <w:b w:val="0"/>
                <w:sz w:val="19"/>
              </w:rPr>
              <w:t>C</w:t>
            </w:r>
          </w:p>
        </w:tc>
        <w:tc>
          <w:tcPr>
            <w:tcW w:type="dxa" w:w="7710"/>
          </w:tcPr>
          <w:p>
            <w:pPr>
              <w:spacing w:after="20"/>
            </w:pPr>
            <w:r>
              <w:rPr>
                <w:sz w:val="19"/>
              </w:rPr>
            </w:r>
            <w:r>
              <w:rPr>
                <w:b w:val="0"/>
                <w:sz w:val="19"/>
              </w:rPr>
              <w:t>sofort versteuert, Neuobjekte trotzdem gekauft, volle AfA-Basis</w:t>
            </w:r>
          </w:p>
        </w:tc>
      </w:tr>
      <w:tr>
        <w:tc>
          <w:tcPr>
            <w:tcW w:type="dxa" w:w="1701"/>
          </w:tcPr>
          <w:p>
            <w:pPr>
              <w:spacing w:after="20"/>
            </w:pPr>
            <w:r>
              <w:rPr>
                <w:sz w:val="19"/>
              </w:rPr>
            </w:r>
            <w:r>
              <w:rPr>
                <w:b w:val="0"/>
                <w:sz w:val="19"/>
              </w:rPr>
              <w:t>Baseline</w:t>
            </w:r>
          </w:p>
        </w:tc>
        <w:tc>
          <w:tcPr>
            <w:tcW w:type="dxa" w:w="7710"/>
          </w:tcPr>
          <w:p>
            <w:pPr>
              <w:spacing w:after="20"/>
            </w:pPr>
            <w:r>
              <w:rPr>
                <w:sz w:val="19"/>
              </w:rPr>
            </w:r>
            <w:r>
              <w:rPr>
                <w:b w:val="0"/>
                <w:sz w:val="19"/>
              </w:rPr>
              <w:t>alles halten</w:t>
            </w:r>
          </w:p>
        </w:tc>
      </w:tr>
    </w:tbl>
    <w:p>
      <w:pPr>
        <w:spacing w:after="0"/>
      </w:pPr>
    </w:p>
    <w:p>
      <w:r>
        <w:rPr>
          <w:b w:val="0"/>
        </w:rPr>
        <w:t>A − C zeigt die reine Wirkung von § 6b: der Zins auf die gestundete Steuer.</w:t>
      </w:r>
    </w:p>
    <w:p>
      <w:pPr>
        <w:pStyle w:val="Heading1"/>
      </w:pPr>
      <w:r>
        <w:t>6. Prüfung und Schaltflächen</w:t>
      </w:r>
    </w:p>
    <w:p>
      <w:pPr>
        <w:pStyle w:val="ListBullet"/>
        <w:spacing w:after="40"/>
      </w:pPr>
      <w:r>
        <w:rPr>
          <w:b/>
        </w:rPr>
        <w:t>Fehler:</w:t>
      </w:r>
      <w:r>
        <w:rPr>
          <w:b w:val="0"/>
        </w:rPr>
        <w:t xml:space="preserve"> Status ungleich OK (Objekte, Verkäufe, Neuobjekte), Fristverstoß, Steuerwelt nicht GmbH.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w:t>
      </w:r>
    </w:p>
    <w:p>
      <w:pPr>
        <w:pStyle w:val="ListBullet"/>
        <w:spacing w:after="40"/>
      </w:pPr>
      <w:r>
        <w:rPr>
          <w:b/>
        </w:rPr>
        <w:t>Hinweis:</w:t>
      </w:r>
      <w:r>
        <w:rPr>
          <w:b w:val="0"/>
        </w:rPr>
        <w:t xml:space="preserve"> Frist nach Prognoseende, negative Liquidität, fehlender Verkehrswert, Anlagen ohne Objekt.</w:t>
      </w:r>
    </w:p>
    <w:p>
      <w:r>
        <w:rPr>
          <w:b w:val="0"/>
        </w:rPr>
        <w:t>In der Makro-Fassung (.xlsm) stehen auf dem Parameterblatt: Plausibilität prüfen, Neu berechnen, Variante festhalten (Kennzahlen als feste Werte im Blatt Varianten, etwa für verschiedene Verkaufsjahre), Objekt anlegen, duplizieren, entfernen, Annahmen wiederherstellen, Objekte -&gt; Kostenstellen, leere Prognoseblöcke aus-/einblenden. Makros rechnen nichts; alle Ergebnisse stehen in den Zellformeln.</w:t>
      </w:r>
    </w:p>
    <w:p>
      <w:pPr>
        <w:pStyle w:val="Heading1"/>
      </w:pPr>
      <w:r>
        <w:t>7.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 xml:space="preserve">Der </w:t>
      </w:r>
      <w:r>
        <w:rPr>
          <w:b/>
        </w:rPr>
        <w:t>Schnellcheck</w:t>
      </w:r>
      <w:r>
        <w:rPr>
          <w:b w:val="0"/>
        </w:rPr>
        <w:t xml:space="preserve"> (schlanke Mappe) genügt für eine erste Einschätzung: ObjektID und Miete je Objekt plus ein geplanter Verkauf.</w:t>
      </w:r>
    </w:p>
    <w:p>
      <w:pPr>
        <w:pStyle w:val="ListBullet"/>
        <w:spacing w:after="40"/>
      </w:pPr>
      <w:r>
        <w:rPr>
          <w:b w:val="0"/>
        </w:rPr>
        <w:t>Zinsen und Tilgung sind noch nicht enthalten (Betrachtung vor Finanzierung).</w:t>
      </w:r>
    </w:p>
    <w:p>
      <w:pPr>
        <w:pStyle w:val="ListBullet"/>
        <w:spacing w:after="40"/>
      </w:pPr>
      <w:r>
        <w:rPr>
          <w:b/>
        </w:rPr>
        <w:t>Alle Steuersätze, Fristen und Annahmen vor dem Echteinsatz durch den zuständigen Berufsträger prüfen.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