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AfA-Satz und -Methode,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sowie die AfA lt. Buchhaltung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Finanzierungsbedarf</w:t>
      </w:r>
      <w:r>
        <w:rPr>
          <w:b w:val="0"/>
        </w:rPr>
        <w:t xml:space="preserve"> = Kaufpreis + Nebenkosten − Nettoerlös der Quell-Verkäufe.</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Varianten:</w:t>
      </w:r>
      <w:r>
        <w:rPr>
          <w:b w:val="0"/>
        </w:rPr>
        <w:t xml:space="preserve"> mit „Variante festhalten“ gesicherte Stände, etwa verschiedene Verkaufsjahre.</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Zins und Tilgung gibt es nur für Kredite der Neuobjekte; Bestandsobjekte rechnen ohne Finanzierung.</w:t>
      </w:r>
    </w:p>
    <w:p>
      <w:pPr>
        <w:pStyle w:val="ListBullet"/>
        <w:spacing w:after="40"/>
      </w:pPr>
      <w:r>
        <w:rPr>
          <w:b/>
        </w:rPr>
        <w:t>Alle Steuersätze, Fristen und Annahmen vor dem Echteinsatz durch den zuständigen Berufsträger prüfen.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