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 Kostenstellen ohne Immobilie mit Art „Unternehmen“</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Verkauf aktiv (nein = ausgeschaltet, Rücklage entfällt),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Sonder-AfA § 7b (QNG, 5 % über 4 Jahre vor der regulären AfA),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Ergebnisbrücke</w:t>
            </w:r>
          </w:p>
        </w:tc>
        <w:tc>
          <w:tcPr>
            <w:tcW w:type="dxa" w:w="7030"/>
          </w:tcPr>
          <w:p>
            <w:pPr>
              <w:keepNext/>
              <w:spacing w:after="20"/>
            </w:pPr>
            <w:r>
              <w:rPr>
                <w:sz w:val="19"/>
              </w:rPr>
            </w:r>
            <w:r>
              <w:rPr>
                <w:b w:val="0"/>
                <w:sz w:val="19"/>
              </w:rPr>
              <w:t>Wirkung jedes Verkaufs und Kaufs auf das Ergebnis vor Steuern, von Halten zum Plan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r>
        <w:tc>
          <w:tcPr>
            <w:tcW w:type="dxa" w:w="2381"/>
          </w:tcPr>
          <w:p>
            <w:pPr>
              <w:keepNext/>
              <w:spacing w:after="20"/>
            </w:pPr>
            <w:r>
              <w:rPr>
                <w:sz w:val="19"/>
              </w:rPr>
            </w:r>
            <w:r>
              <w:rPr>
                <w:b/>
                <w:sz w:val="19"/>
              </w:rPr>
              <w:t>Alle Objekte halten</w:t>
            </w:r>
          </w:p>
        </w:tc>
        <w:tc>
          <w:tcPr>
            <w:tcW w:type="dxa" w:w="7030"/>
          </w:tcPr>
          <w:p>
            <w:pPr>
              <w:keepNext/>
              <w:spacing w:after="20"/>
            </w:pPr>
            <w:r>
              <w:rPr>
                <w:sz w:val="19"/>
              </w:rPr>
            </w:r>
            <w:r>
              <w:rPr>
                <w:b w:val="0"/>
                <w:sz w:val="19"/>
              </w:rPr>
              <w:t>Summe im BWA-Format als reine Halten-Ansicht: ohne Verkäufe und Käufe (Abschnitt 5)</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Die Rücklage wirkt nur steuerlich</w:t>
      </w:r>
      <w:r>
        <w:rPr>
          <w:b w:val="0"/>
        </w:rPr>
        <w:t xml:space="preserve"> (Übertragung, AfA-Basis). Die Finanzierung legt man getrennt fest.</w:t>
      </w:r>
    </w:p>
    <w:p>
      <w:pPr>
        <w:pStyle w:val="ListBullet"/>
        <w:spacing w:after="40"/>
      </w:pPr>
      <w:r>
        <w:rPr>
          <w:b/>
        </w:rPr>
        <w:t>Finanzierungsbedarf</w:t>
      </w:r>
      <w:r>
        <w:rPr>
          <w:b w:val="0"/>
        </w:rPr>
        <w:t xml:space="preserve"> = Kaufpreis + Nebenkosten. Mit „Verkaufserlös zur Finanzierung = ja“ abzüglich des Nettoerlöses der Quell-Verkäufe; leer oder „nein“ = ganze AK.</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Ergebnisbrücke:</w:t>
      </w:r>
      <w:r>
        <w:rPr>
          <w:b w:val="0"/>
        </w:rPr>
        <w:t xml:space="preserve"> je Jahr vom Ergebnis vor Steuern bei Halten über die Wirkung jedes Verkaufs (Gewinn und Rücklage minus das entfallende laufende Ergebnis) und jedes Kaufs (Miete − Kosten − AfA − Kreditzinsen) und den Zinseffekt der Liquidität zum Ergebnis vor Steuern im Plan. Die Kontrollzeile muss 0 sein. Kostenstellen der Art „Unternehmen“ (Blatt Objekte, keine Immobilie) stehen getrennt im Ergebnis bei Halten.</w:t>
      </w:r>
    </w:p>
    <w:p>
      <w:pPr>
        <w:pStyle w:val="ListBullet"/>
        <w:spacing w:after="40"/>
      </w:pPr>
      <w:r>
        <w:rPr>
          <w:b/>
        </w:rPr>
        <w:t>Varianten:</w:t>
      </w:r>
      <w:r>
        <w:rPr>
          <w:b w:val="0"/>
        </w:rPr>
        <w:t xml:space="preserve"> mit „Variante festhalten“ gesicherte Stände, etwa verschiedene Verkaufsjahre.</w:t>
      </w:r>
    </w:p>
    <w:p>
      <w:pPr>
        <w:pStyle w:val="ListBullet"/>
        <w:spacing w:after="40"/>
      </w:pPr>
      <w:r>
        <w:rPr>
          <w:b/>
        </w:rPr>
        <w:t>Alle Objekte halten:</w:t>
      </w:r>
      <w:r>
        <w:rPr>
          <w:b w:val="0"/>
        </w:rPr>
        <w:t xml:space="preserve"> die Summen-BWA, als würden alle Objekte gehalten und nichts gekauft (Baseline).</w:t>
      </w:r>
    </w:p>
    <w:p>
      <w:pPr>
        <w:pStyle w:val="ListBullet"/>
        <w:spacing w:after="40"/>
      </w:pPr>
      <w:r>
        <w:rPr>
          <w:b/>
        </w:rPr>
        <w:t>Vergleich mit Halten:</w:t>
      </w:r>
      <w:r>
        <w:rPr>
          <w:b w:val="0"/>
        </w:rPr>
        <w:t xml:space="preserve"> in „Alle Objekte“ D3 auf „ja“ stellen. Rechts neben den Planjahren steht dann je Position und Jahr Plan − Halten, grün mehr, rot weniger.</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Schalter „Vergleich mit Halten“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p>
      <w:pPr>
        <w:pStyle w:val="Heading1"/>
      </w:pPr>
      <w:r>
        <w:t>10. Mandanten-Export</w:t>
      </w:r>
    </w:p>
    <w:p>
      <w:r>
        <w:rPr>
          <w:b w:val="0"/>
        </w:rPr>
        <w:t>Für den Mandanten gibt es eine schlanke Fassung der Mappe mit bis zu sieben Blättern, nur mit Werten: Mappe in Excel speichern und schließen, dann python -m prognosemodell.export Prognose.xlsx. Daneben entsteht Prognose_Mandant.xlsx; mit --ausgabe ein anderer Name. Eine frisch erzeugte, nie geöffnete Mappe rechnet LibreOffice vorher durch.</w:t>
      </w:r>
    </w:p>
    <w:tbl>
      <w:tblPr>
        <w:tblStyle w:val="TableGrid"/>
        <w:tblW w:type="auto" w:w="0"/>
        <w:jc w:val="center"/>
        <w:tblLayout w:type="fixed"/>
        <w:tblLook w:firstColumn="1" w:firstRow="1" w:lastColumn="0" w:lastRow="0" w:noHBand="0" w:noVBand="1" w:val="04A0"/>
      </w:tblPr>
      <w:tblGrid>
        <w:gridCol w:w="2041"/>
        <w:gridCol w:w="7370"/>
      </w:tblGrid>
      <w:tr>
        <w:tc>
          <w:tcPr>
            <w:tcW w:type="dxa" w:w="2041"/>
            <w:shd w:val="clear" w:fill="D9E2F3"/>
          </w:tcPr>
          <w:p>
            <w:pPr>
              <w:keepNext/>
              <w:spacing w:after="20"/>
            </w:pPr>
            <w:r>
              <w:rPr>
                <w:sz w:val="19"/>
              </w:rPr>
            </w:r>
            <w:r>
              <w:rPr>
                <w:b/>
                <w:sz w:val="19"/>
              </w:rPr>
              <w:t>Blatt</w:t>
            </w:r>
          </w:p>
        </w:tc>
        <w:tc>
          <w:tcPr>
            <w:tcW w:type="dxa" w:w="7370"/>
            <w:shd w:val="clear" w:fill="D9E2F3"/>
          </w:tcPr>
          <w:p>
            <w:pPr>
              <w:keepNext/>
              <w:spacing w:after="20"/>
            </w:pPr>
            <w:r>
              <w:rPr>
                <w:sz w:val="19"/>
              </w:rPr>
            </w:r>
            <w:r>
              <w:rPr>
                <w:b/>
                <w:sz w:val="19"/>
              </w:rPr>
              <w:t>Inhalt</w:t>
            </w:r>
          </w:p>
        </w:tc>
      </w:tr>
      <w:tr>
        <w:tc>
          <w:tcPr>
            <w:tcW w:type="dxa" w:w="2041"/>
          </w:tcPr>
          <w:p>
            <w:pPr>
              <w:keepNext/>
              <w:spacing w:after="20"/>
            </w:pPr>
            <w:r>
              <w:rPr>
                <w:sz w:val="19"/>
              </w:rPr>
            </w:r>
            <w:r>
              <w:rPr>
                <w:b w:val="0"/>
                <w:sz w:val="19"/>
              </w:rPr>
              <w:t>Überblick</w:t>
            </w:r>
          </w:p>
        </w:tc>
        <w:tc>
          <w:tcPr>
            <w:tcW w:type="dxa" w:w="7370"/>
          </w:tcPr>
          <w:p>
            <w:pPr>
              <w:keepNext/>
              <w:spacing w:after="20"/>
            </w:pPr>
            <w:r>
              <w:rPr>
                <w:sz w:val="19"/>
              </w:rPr>
            </w:r>
            <w:r>
              <w:rPr>
                <w:b w:val="0"/>
                <w:sz w:val="19"/>
              </w:rPr>
              <w:t>Empfehlung, Endvermögen je Option, Datenlage, Verkehrswert und Gesamtvermögen je Jahr mit Diagrammen</w:t>
            </w:r>
          </w:p>
        </w:tc>
      </w:tr>
      <w:tr>
        <w:tc>
          <w:tcPr>
            <w:tcW w:type="dxa" w:w="2041"/>
          </w:tcPr>
          <w:p>
            <w:pPr>
              <w:keepNext/>
              <w:spacing w:after="20"/>
            </w:pPr>
            <w:r>
              <w:rPr>
                <w:sz w:val="19"/>
              </w:rPr>
            </w:r>
            <w:r>
              <w:rPr>
                <w:b w:val="0"/>
                <w:sz w:val="19"/>
              </w:rPr>
              <w:t>Jahresrechnung</w:t>
            </w:r>
          </w:p>
        </w:tc>
        <w:tc>
          <w:tcPr>
            <w:tcW w:type="dxa" w:w="7370"/>
          </w:tcPr>
          <w:p>
            <w:pPr>
              <w:keepNext/>
              <w:spacing w:after="20"/>
            </w:pPr>
            <w:r>
              <w:rPr>
                <w:sz w:val="19"/>
              </w:rPr>
            </w:r>
            <w:r>
              <w:rPr>
                <w:b w:val="0"/>
                <w:sz w:val="19"/>
              </w:rPr>
              <w:t>je Jahr vom Ergebnis über Steuer und Geldfluss zum Vermögen, Plan und Halten, Differenz; jede Spalte rechnet von oben nach unten</w:t>
            </w:r>
          </w:p>
        </w:tc>
      </w:tr>
      <w:tr>
        <w:tc>
          <w:tcPr>
            <w:tcW w:type="dxa" w:w="2041"/>
          </w:tcPr>
          <w:p>
            <w:pPr>
              <w:keepNext/>
              <w:spacing w:after="20"/>
            </w:pPr>
            <w:r>
              <w:rPr>
                <w:sz w:val="19"/>
              </w:rPr>
            </w:r>
            <w:r>
              <w:rPr>
                <w:b w:val="0"/>
                <w:sz w:val="19"/>
              </w:rPr>
              <w:t>Ergebnisbrücke</w:t>
            </w:r>
          </w:p>
        </w:tc>
        <w:tc>
          <w:tcPr>
            <w:tcW w:type="dxa" w:w="7370"/>
          </w:tcPr>
          <w:p>
            <w:pPr>
              <w:keepNext/>
              <w:spacing w:after="20"/>
            </w:pPr>
            <w:r>
              <w:rPr>
                <w:sz w:val="19"/>
              </w:rPr>
            </w:r>
            <w:r>
              <w:rPr>
                <w:b w:val="0"/>
                <w:sz w:val="19"/>
              </w:rPr>
              <w:t>vom Ergebnis bei Halten je Verkauf und Kauf zum Ergebnis im Plan (entfällt ohne Verkauf und Kauf)</w:t>
            </w:r>
          </w:p>
        </w:tc>
      </w:tr>
      <w:tr>
        <w:tc>
          <w:tcPr>
            <w:tcW w:type="dxa" w:w="2041"/>
          </w:tcPr>
          <w:p>
            <w:pPr>
              <w:keepNext/>
              <w:spacing w:after="20"/>
            </w:pPr>
            <w:r>
              <w:rPr>
                <w:sz w:val="19"/>
              </w:rPr>
            </w:r>
            <w:r>
              <w:rPr>
                <w:b w:val="0"/>
                <w:sz w:val="19"/>
              </w:rPr>
              <w:t>BWA gesamt</w:t>
            </w:r>
          </w:p>
        </w:tc>
        <w:tc>
          <w:tcPr>
            <w:tcW w:type="dxa" w:w="7370"/>
          </w:tcPr>
          <w:p>
            <w:pPr>
              <w:keepNext/>
              <w:spacing w:after="20"/>
            </w:pPr>
            <w:r>
              <w:rPr>
                <w:sz w:val="19"/>
              </w:rPr>
            </w:r>
            <w:r>
              <w:rPr>
                <w:b w:val="0"/>
                <w:sz w:val="19"/>
              </w:rPr>
              <w:t>Summen-BWA aller Objekte, Ist-Jahre und Planjahre, Herleitung der Sonderposten; bei „Vergleich mit Halten = ja“ auch Halten und Differenz</w:t>
            </w:r>
          </w:p>
        </w:tc>
      </w:tr>
      <w:tr>
        <w:tc>
          <w:tcPr>
            <w:tcW w:type="dxa" w:w="2041"/>
          </w:tcPr>
          <w:p>
            <w:pPr>
              <w:keepNext/>
              <w:spacing w:after="20"/>
            </w:pPr>
            <w:r>
              <w:rPr>
                <w:sz w:val="19"/>
              </w:rPr>
            </w:r>
            <w:r>
              <w:rPr>
                <w:b w:val="0"/>
                <w:sz w:val="19"/>
              </w:rPr>
              <w:t>BWA je Objekt</w:t>
            </w:r>
          </w:p>
        </w:tc>
        <w:tc>
          <w:tcPr>
            <w:tcW w:type="dxa" w:w="7370"/>
          </w:tcPr>
          <w:p>
            <w:pPr>
              <w:keepNext/>
              <w:spacing w:after="20"/>
            </w:pPr>
            <w:r>
              <w:rPr>
                <w:sz w:val="19"/>
              </w:rPr>
            </w:r>
            <w:r>
              <w:rPr>
                <w:b w:val="0"/>
                <w:sz w:val="19"/>
              </w:rPr>
              <w:t>alle Kostenstellenblätter untereinander, mit Inhaltsverzeichnis</w:t>
            </w:r>
          </w:p>
        </w:tc>
      </w:tr>
      <w:tr>
        <w:tc>
          <w:tcPr>
            <w:tcW w:type="dxa" w:w="2041"/>
          </w:tcPr>
          <w:p>
            <w:pPr>
              <w:keepNext/>
              <w:spacing w:after="20"/>
            </w:pPr>
            <w:r>
              <w:rPr>
                <w:sz w:val="19"/>
              </w:rPr>
            </w:r>
            <w:r>
              <w:rPr>
                <w:b w:val="0"/>
                <w:sz w:val="19"/>
              </w:rPr>
              <w:t>Verkauf und Kauf</w:t>
            </w:r>
          </w:p>
        </w:tc>
        <w:tc>
          <w:tcPr>
            <w:tcW w:type="dxa" w:w="7370"/>
          </w:tcPr>
          <w:p>
            <w:pPr>
              <w:keepNext/>
              <w:spacing w:after="20"/>
            </w:pPr>
            <w:r>
              <w:rPr>
                <w:sz w:val="19"/>
              </w:rPr>
            </w:r>
            <w:r>
              <w:rPr>
                <w:b w:val="0"/>
                <w:sz w:val="19"/>
              </w:rPr>
              <w:t>Verkäufe, Neuobjekte, Ergebnis und Herleitung je Vorgang (entfällt ohne Verkauf und Kauf)</w:t>
            </w:r>
          </w:p>
        </w:tc>
      </w:tr>
      <w:tr>
        <w:tc>
          <w:tcPr>
            <w:tcW w:type="dxa" w:w="2041"/>
          </w:tcPr>
          <w:p>
            <w:pPr>
              <w:keepNext/>
              <w:spacing w:after="20"/>
            </w:pPr>
            <w:r>
              <w:rPr>
                <w:sz w:val="19"/>
              </w:rPr>
            </w:r>
            <w:r>
              <w:rPr>
                <w:b w:val="0"/>
                <w:sz w:val="19"/>
              </w:rPr>
              <w:t>Annahmen</w:t>
            </w:r>
          </w:p>
        </w:tc>
        <w:tc>
          <w:tcPr>
            <w:tcW w:type="dxa" w:w="7370"/>
          </w:tcPr>
          <w:p>
            <w:pPr>
              <w:keepNext/>
              <w:spacing w:after="20"/>
            </w:pPr>
            <w:r>
              <w:rPr>
                <w:sz w:val="19"/>
              </w:rPr>
            </w:r>
            <w:r>
              <w:rPr>
                <w:b w:val="0"/>
                <w:sz w:val="19"/>
              </w:rPr>
              <w:t>zentrale Annahmen, Daten je Objekt mit Herkunft (blau Annahme, grün Buchhaltung), auffällige Prüfungen</w:t>
            </w:r>
          </w:p>
        </w:tc>
      </w:tr>
    </w:tbl>
    <w:p>
      <w:pPr>
        <w:spacing w:after="0"/>
      </w:pPr>
    </w:p>
    <w:p>
      <w:pPr>
        <w:pStyle w:val="ListBullet"/>
        <w:spacing w:after="40"/>
      </w:pPr>
      <w:r>
        <w:rPr>
          <w:b w:val="0"/>
        </w:rPr>
        <w:t>Zeilen ohne Wert, Monatsspalten, Hilfszeilen und ausgeschaltete Vorgänge entfallen; Ist-Vorjahre erscheinen nur, wenn sie eingelesen sind.</w:t>
      </w:r>
    </w:p>
    <w:p>
      <w:pPr>
        <w:pStyle w:val="ListBullet"/>
        <w:spacing w:after="40"/>
      </w:pPr>
      <w:r>
        <w:rPr>
          <w:b w:val="0"/>
        </w:rPr>
        <w:t>Jedes Blatt ist für den Druck eingerichtet: Querformat, eine Seite breit, Blattname und Seitenzahl in der Fußzeile.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