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im Blatt Parameter zuerst die Kernparameter (★, fett: Steuersatz, Steigerungen, Alternativrendite), dann die blauen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(AK G+B und AK Gebäude daraus vorbelegt, in Euro überschreibbar), AfA-Satz und -Methode,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r>
        <w:rPr>
          <w:b/>
        </w:rPr>
        <w:t>Die Mappe erklärt sich selbst:</w:t>
      </w:r>
      <w:r>
        <w:rPr>
          <w:b w:val="0"/>
        </w:rPr>
        <w:t xml:space="preserve"> Spaltenköpfe in Objekte, Verkäufe, Neuobjekte und Anlagen sind rot mit * (Pflichtfeld), blau (optional) oder grau (berechnet). Ein rotes Dreieck am Kopf heißt: Maus darüber zeigt die Erläuterung, bei berechneten Spalten die Herleitung in Worten; das gilt auch für Prognose, Rücklagen, Darlehen, Liquidität und Auswertung. Im Blatt Parameter zeigt die Maus über der Bezeichnung, was der Parameter beeinflusst; Abschnitte ohne Kernparameter sind eingeklappt (+ am linken Rand).</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die AfA lt. Buchhaltung und der Zinsaufwand (1310)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Die Rücklage wirkt nur steuerlich</w:t>
      </w:r>
      <w:r>
        <w:rPr>
          <w:b w:val="0"/>
        </w:rPr>
        <w:t xml:space="preserve"> (Übertragung, AfA-Basis). Die Finanzierung legt man getrennt fest.</w:t>
      </w:r>
    </w:p>
    <w:p>
      <w:pPr>
        <w:pStyle w:val="ListBullet"/>
        <w:spacing w:after="40"/>
      </w:pPr>
      <w:r>
        <w:rPr>
          <w:b/>
        </w:rPr>
        <w:t>Finanzierungsbedarf</w:t>
      </w:r>
      <w:r>
        <w:rPr>
          <w:b w:val="0"/>
        </w:rPr>
        <w:t xml:space="preserve"> = Kaufpreis + Nebenkosten. Mit „Verkaufserlös zur Finanzierung = ja“ abzüglich des Nettoerlöses der Quell-Verkäufe; leer oder „nein“ = ganze AK.</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2"/>
      </w:pPr>
      <w:r>
        <w:t>Darlehen der Bestandsobjekte</w:t>
      </w:r>
    </w:p>
    <w:p>
      <w:pPr>
        <w:pStyle w:val="ListBullet"/>
        <w:spacing w:after="40"/>
      </w:pPr>
      <w:r>
        <w:rPr>
          <w:b/>
        </w:rPr>
        <w:t>Grob, ohne weitere Daten:</w:t>
      </w:r>
      <w:r>
        <w:rPr>
          <w:b w:val="0"/>
        </w:rPr>
        <w:t xml:space="preserve"> Der Zinsaufwand des Basisjahrs (BWA 1310) läuft bis zum Verkaufsjahr weiter und sinkt je Jahr um den Satz vom Parameterblatt (Standard 3 %). Tilgung und Ablösung beim Verkauf fehlen; die Prüfung weist darauf hin.</w:t>
      </w:r>
    </w:p>
    <w:p>
      <w:pPr>
        <w:pStyle w:val="ListBullet"/>
        <w:spacing w:after="40"/>
      </w:pPr>
      <w:r>
        <w:rPr>
          <w:b/>
        </w:rPr>
        <w:t>Genau:</w:t>
      </w:r>
      <w:r>
        <w:rPr>
          <w:b w:val="0"/>
        </w:rPr>
        <w:t xml:space="preserve"> Im Blatt Objekte die </w:t>
      </w:r>
      <w:r>
        <w:rPr>
          <w:b/>
        </w:rPr>
        <w:t>Restschuld zum 31.12.</w:t>
      </w:r>
      <w:r>
        <w:rPr>
          <w:b w:val="0"/>
        </w:rPr>
        <w:t xml:space="preserve"> des Basisjahrs eintragen (Saldenliste oder Bankauszug), möglichst auch Zinssatz und Jahresrate. Dann rechnet die Prognose Zins und Tilgung je Jahr und löst die Restschuld im Verkaufsjahr aus dem Erlös ab. Fehlen Zinssatz oder Rate, stehen Annahmen (blau) in den Zellen.</w:t>
      </w:r>
    </w:p>
    <w:p>
      <w:pPr>
        <w:pStyle w:val="ListBullet"/>
        <w:spacing w:after="40"/>
      </w:pPr>
      <w:r>
        <w:rPr>
          <w:b w:val="0"/>
        </w:rPr>
        <w:t>Eine Vorfälligkeitsentschädigung gehört in die Verkaufskosten.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Varianten:</w:t>
      </w:r>
      <w:r>
        <w:rPr>
          <w:b w:val="0"/>
        </w:rPr>
        <w:t xml:space="preserve"> mit „Variante festhalten“ gesicherte Stände, etwa verschiedene Verkaufsjahre.</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 Verkauf ohne Restschuld trotz Zinsaufwand.</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Bei Objekten mit Darlehen die Restschuld eintragen, vor allem vor einem Verkauf: sonst fehlt die Ablösung, Liquidität und Kapitalanlage sind zu hoch.</w:t>
      </w:r>
    </w:p>
    <w:p>
      <w:pPr>
        <w:pStyle w:val="ListBullet"/>
        <w:spacing w:after="40"/>
      </w:pPr>
      <w:r>
        <w:rPr>
          <w:b/>
        </w:rPr>
        <w:t>Alle Steuersätze, Fristen und Annahmen vor dem Echteinsatz durch den zuständigen Berufsträger prüfen.</w:t>
      </w:r>
    </w:p>
    <w:p>
      <w:pPr>
        <w:pStyle w:val="Heading1"/>
      </w:pPr>
      <w:r>
        <w:t>9. Neue Version der Mappe: Eingaben übernehmen</w:t>
      </w:r>
    </w:p>
    <w:p>
      <w:r>
        <w:rPr>
          <w:b w:val="0"/>
        </w:rPr>
        <w:t>Eine neue Version wird mit denselben Dateien erzeugt und bekommt die alte Mappe mit: python -m prognosemodell --kostenstellen Kostenstellen.xlsx --inventar Inventar.xlsx --uebernehmen Alte_Mappe.xlsx --ausgabe Neue_Mappe.xlsx. Die alte Mappe bleibt unverändert, der Bericht nennt je Blatt die übernommenen Werte.</w:t>
      </w:r>
    </w:p>
    <w:p>
      <w:pPr>
        <w:pStyle w:val="ListBullet"/>
        <w:spacing w:after="40"/>
      </w:pPr>
      <w:r>
        <w:rPr>
          <w:b/>
        </w:rPr>
        <w:t>Übernommen werden eingetippte Werte</w:t>
      </w:r>
      <w:r>
        <w:rPr>
          <w:b w:val="0"/>
        </w:rPr>
        <w:t xml:space="preserve"> aus Parameter, Objekte, Anlagen (Zuordnung zum Objekt, AfA von Hand), AfA-Plan, Neukauf-KSt, Verkäufe, Neuobjekte, BWA-Zuordnung und Varianten. Blaue Annahmen (Formeln) rechnet die neue Mappe selbst.</w:t>
      </w:r>
    </w:p>
    <w:p>
      <w:pPr>
        <w:pStyle w:val="ListBullet"/>
        <w:spacing w:after="40"/>
      </w:pPr>
      <w:r>
        <w:rPr>
          <w:b/>
        </w:rPr>
        <w:t>Spalten nach Überschrift:</w:t>
      </w:r>
      <w:r>
        <w:rPr>
          <w:b w:val="0"/>
        </w:rPr>
        <w:t xml:space="preserve"> neue Spalten einer neuen Version behalten ihre Vorbelegung; Spalten, die es nicht mehr gibt, meldet der Bericht.</w:t>
      </w:r>
    </w:p>
    <w:p>
      <w:pPr>
        <w:pStyle w:val="ListBullet"/>
        <w:spacing w:after="40"/>
      </w:pPr>
      <w:r>
        <w:rPr>
          <w:b/>
        </w:rPr>
        <w:t>Kostenstellen-Datei geht vor:</w:t>
      </w:r>
      <w:r>
        <w:rPr>
          <w:b w:val="0"/>
        </w:rPr>
        <w:t xml:space="preserve"> Werte, die beim Einlesen entstanden sind, kommen aus der neuen Kostenstellen-Datei; nur abweichend eingetippte Werte (orange) bleiben. Änderungen in den Kostenstellenblättern der Mappe werden nicht übernommen, dafür die Kostenstellen-Datei pflegen.</w:t>
      </w:r>
    </w:p>
    <w:p>
      <w:pPr>
        <w:pStyle w:val="ListBullet"/>
        <w:spacing w:after="40"/>
      </w:pPr>
      <w:r>
        <w:rPr>
          <w:b w:val="0"/>
        </w:rPr>
        <w:t>Verkäufe und Neuobjekte behalten ihre Zeilennummer (Rücklage und Reinvestition hängen daran); Objekte, Anlagen und Neukauf-Kostenstellen werden über ihre ID zugeordnet.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