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mit AK G+B in Euro darf der Anteil leer bleiben und wird berechnet),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ListBullet"/>
        <w:spacing w:after="40"/>
      </w:pPr>
      <w:r>
        <w:rPr>
          <w:b/>
        </w:rPr>
        <w:t>Steigerung je Objekt:</w:t>
      </w:r>
      <w:r>
        <w:rPr>
          <w:b w:val="0"/>
        </w:rPr>
        <w:t xml:space="preserve"> Die Spalten Mietsteigerung und Erhaltungssteigerung im Blatt Objekte sind mit dem Parameter vorbelegt (blau) und lassen sich je Objekt überschreiben; leer gilt wieder der Parameter. „Miete eingefroren ab Jahr“: ab diesem Jahr bleibt die Miete auf dem Stand des Vorjahrs (weitere Einnahmen steigen weiter).</w:t>
      </w:r>
    </w:p>
    <w:p>
      <w:pPr>
        <w:pStyle w:val="ListBullet"/>
        <w:spacing w:after="40"/>
      </w:pPr>
      <w:r>
        <w:rPr>
          <w:b/>
        </w:rPr>
        <w:t>Mietsteigerung der Neuobjekte:</w:t>
      </w:r>
      <w:r>
        <w:rPr>
          <w:b w:val="0"/>
        </w:rPr>
        <w:t xml:space="preserve"> eigener Parameter „Mietsteigerung Neuobjekte p. a.“, getrennt vom Bestand. Im Blatt Neuobjekte kann jedes Neuobjekt einen eigenen Satz haben (leer = Parameter). „Mietsteigerung erst nach Jahren“, z. B. 10 bei Neubau oder Staffelmiete über dem Mietspiegel: so viele Jahre nach dem Kauf bleibt die Miete auf dem Anfangsstand und steigt erst danach. Das gilt auch für die Fortschreibung im Blatt Neukauf-KSt.</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 Alternativ gibt die Kreditquote den Kredit in % von Kaufpreis + Nebenkosten vor. Betrag und Quote stehen fest: der Verkaufserlös deckt dann nur den Eigenkapitalteil, der Rest bleibt für spätere Käufe bzw. in der Liquidität.</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 und tilgungsfreie Jahre (anfangs nur Zins).</w:t>
      </w:r>
    </w:p>
    <w:p>
      <w:pPr>
        <w:pStyle w:val="ListBullet"/>
        <w:spacing w:after="40"/>
      </w:pPr>
      <w:r>
        <w:rPr>
          <w:b/>
        </w:rPr>
        <w:t>Zweitkredit:</w:t>
      </w:r>
      <w:r>
        <w:rPr>
          <w:b w:val="0"/>
        </w:rPr>
        <w:t xml:space="preserve"> Ein Teil des Kredits zu eigenen Konditionen, z. B. ein günstiger Förderkredit. „Zweitkredit Anteil“ (in % des Kredits) oder „Zweitkredit Betrag“ (geht vor) und der Zinssatz; Tilgungsart, Tilgung, Laufzeit und tilgungsfreie Jahre leer = wie der Hauptkredit. Der Kredit insgesamt bleibt gleich, im Blatt Darlehen stehen die Zweitkredite unter den Hauptkrediten.</w:t>
      </w:r>
    </w:p>
    <w:p>
      <w:pPr>
        <w:pStyle w:val="ListBullet"/>
        <w:spacing w:after="40"/>
      </w:pPr>
      <w:r>
        <w:rPr>
          <w:b/>
        </w:rPr>
        <w:t>Restschuld des Zweitkredits nach der Laufzeit:</w:t>
      </w:r>
      <w:r>
        <w:rPr>
          <w:b w:val="0"/>
        </w:rPr>
        <w:t xml:space="preserve"> leer bzw. „ablösen“ tilgt sie nach der Laufzeit auf einmal aus der Liquidität. „auf Hauptkredit“ finanziert sie über den Hauptkredit weiter: Zum Ende des letzten Laufzeitjahrs (nach der regulären Rate) geht sie auf den Hauptkredit über, dessen Rate ab dem Folgejahr um übernommener Betrag × (Zinssatz + Tilgung) steigt, bei linearer Tilgung um Betrag × Tilgung. Braucht eine Laufzeit; das Blatt Darlehen zeigt Übernahmejahr, Betrag und neue Rate.</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Pakete und den Zinseffekt der Liquidität zum Ergebnis vor Steuern im Plan. Ein Paket ist ein Verkauf (Gewinn und Rücklage minus das entfallende laufende Ergebnis) mit den Käufen aus seiner Rücklage oder seinem Erlös (Miete − Kosten − AfA − Kreditzinsen), mit Zwischensumme; Käufe ohne Quelle stehen getrennt, darunter alle Käufe einzeln mit ihrem Paket.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r>
        <w:rPr>
          <w:b/>
        </w:rPr>
        <w:t>Übersichtskostenstelle:</w:t>
      </w:r>
      <w:r>
        <w:rPr>
          <w:b w:val="0"/>
        </w:rPr>
        <w:t xml:space="preserve"> Gehören mehrere Kostenstellen zu einem Gebäude, fasst --uebersicht "Musterstraße 5=KSt 10,KSt 11" sie in einem eigenen BWA-Blatt zusammen (mehrfach möglich; ObjektID oder Blattname). Das Blatt summiert nur die Kostenstellenblätter, rechnet nicht mit und erscheint im Mandanten-Export unter BWA je Objekt.</w:t>
      </w:r>
    </w:p>
    <w:p>
      <w:pPr>
        <w:pStyle w:val="Heading1"/>
      </w:pPr>
      <w:r>
        <w:t>10. Mandanten-Export</w:t>
      </w:r>
    </w:p>
    <w:p>
      <w:r>
        <w:rPr>
          <w:b w:val="0"/>
        </w:rPr>
        <w:t>Für den Mandanten gibt es eine schlanke Fassung der Mappe mit bis zu acht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 Gesamtvermögen aller Optionen je Jahr in einem Diagramm</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die Differenz zu Halten</w:t>
            </w:r>
          </w:p>
        </w:tc>
      </w:tr>
      <w:tr>
        <w:tc>
          <w:tcPr>
            <w:tcW w:type="dxa" w:w="2041"/>
          </w:tcPr>
          <w:p>
            <w:pPr>
              <w:keepNext/>
              <w:spacing w:after="20"/>
            </w:pPr>
            <w:r>
              <w:rPr>
                <w:sz w:val="19"/>
              </w:rPr>
            </w:r>
            <w:r>
              <w:rPr>
                <w:b w:val="0"/>
                <w:sz w:val="19"/>
              </w:rPr>
              <w:t>BWA halten</w:t>
            </w:r>
          </w:p>
        </w:tc>
        <w:tc>
          <w:tcPr>
            <w:tcW w:type="dxa" w:w="7370"/>
          </w:tcPr>
          <w:p>
            <w:pPr>
              <w:keepNext/>
              <w:spacing w:after="20"/>
            </w:pPr>
            <w:r>
              <w:rPr>
                <w:sz w:val="19"/>
              </w:rPr>
            </w:r>
            <w:r>
              <w:rPr>
                <w:b w:val="0"/>
                <w:sz w:val="19"/>
              </w:rPr>
              <w:t>dieselbe Summen-BWA als Status quo: alle Objekte behalten, ohne Verkäufe und Neuobjekte (entfällt ohne Verkauf und Kauf)</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 dazu die Übersichtskostenstellen</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