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Cashflow</w:t>
            </w:r>
          </w:p>
        </w:tc>
        <w:tc>
          <w:tcPr>
            <w:tcW w:type="dxa" w:w="7030"/>
          </w:tcPr>
          <w:p>
            <w:pPr>
              <w:keepNext/>
              <w:spacing w:after="20"/>
            </w:pPr>
            <w:r>
              <w:rPr>
                <w:sz w:val="19"/>
              </w:rPr>
            </w:r>
            <w:r>
              <w:rPr>
                <w:b w:val="0"/>
                <w:sz w:val="19"/>
              </w:rPr>
              <w:t>Kapitalflussrechnung je Jahr für ein wählbares Szenario: operativ, Investition, Finanzierung, Kapitaldienst, Diagramm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ListBullet"/>
        <w:spacing w:after="40"/>
      </w:pPr>
      <w:r>
        <w:rPr>
          <w:b/>
        </w:rPr>
        <w:t>Mietsteigerung der Neuobjekte:</w:t>
      </w:r>
      <w:r>
        <w:rPr>
          <w:b w:val="0"/>
        </w:rPr>
        <w:t xml:space="preserve"> eigener Parameter „Mietsteigerung Neuobjekte p. a.“, getrennt vom Bestand. Im Blatt Neuobjekte kann jedes Neuobjekt einen eigenen Satz haben (leer = Parameter). „Mietsteigerung erst nach Jahren“, z. B. 10 bei Neubau oder Staffelmiete über dem Mietspiegel: so viele Jahre nach dem Kauf bleibt die Miete auf dem Anfangsstand und steigt erst danach. Das gilt auch für die Fortschreibung im Blatt Neukauf-KSt.</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rPr>
        <w:t>Restschuld des Zweitkredits nach der Laufzeit:</w:t>
      </w:r>
      <w:r>
        <w:rPr>
          <w:b w:val="0"/>
        </w:rPr>
        <w:t xml:space="preserve"> leer bzw. „ablösen“ tilgt sie nach der Laufzeit auf einmal aus der Liquidität. „auf Hauptkredit“ finanziert sie über den Hauptkredit weiter: Zum Ende des letzten Laufzeitjahrs (nach der regulären Rate) geht sie auf den Hauptkredit über, dessen Rate ab dem Folgejahr um übernommener Betrag × (Zinssatz + Tilgung) steigt, bei linearer Tilgung um Betrag × Tilgung. Braucht eine Laufzeit; das Blatt Darlehen zeigt Übernahmejahr, Betrag und neue Rate.</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Cashflow:</w:t>
      </w:r>
      <w:r>
        <w:rPr>
          <w:b w:val="0"/>
        </w:rPr>
        <w:t xml:space="preserve"> Kapitalflussrechnung je Jahr; das Szenario wählen Sie in Zelle B3. Der operative Cashflow rechnet indirekt vom Jahresüberschuss: plus AfA, minus Veräußerungsgewinne, plus Einstellung in die § 6b-Rücklage, minus Auflösung und Gewinnzuschlag. Darunter Investition (Verkaufserlöse, Käufe) und Finanzierung (Kreditauszahlung, planmäßige Tilgung, Ablösung bei Verkauf), die Liquidität am Jahresende und die Kapitaldienstdeckung (Einnahmen − Ausgaben je Euro Zins und Tilgung, unter 1 rot). Das Diagramm zeigt die drei Bereiche als Säulen und die Liquidität als Linie.</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r>
        <w:rPr>
          <w:b/>
        </w:rPr>
        <w:t>Übersichtskostenstelle:</w:t>
      </w:r>
      <w:r>
        <w:rPr>
          <w:b w:val="0"/>
        </w:rPr>
        <w:t xml:space="preserve"> Gehören mehrere Kostenstellen zu einem Gebäude, fasst --uebersicht "Musterstraße 5=KSt 10,KSt 11" sie in einem eigenen BWA-Blatt zusammen (mehrfach möglich; ObjektID oder Blattname). Das Blatt summiert nur die Kostenstellenblätter, rechnet nicht mit und erscheint im Mandanten-Export unter BWA je Objekt.</w:t>
      </w:r>
    </w:p>
    <w:p>
      <w:pPr>
        <w:pStyle w:val="Heading1"/>
      </w:pPr>
      <w:r>
        <w:t>10. Mandanten-Export</w:t>
      </w:r>
    </w:p>
    <w:p>
      <w:r>
        <w:rPr>
          <w:b w:val="0"/>
        </w:rPr>
        <w:t>Für den Mandanten gibt es eine schlanke Fassung der Mappe mit bis zu neun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 Gesamtvermögen aller Optionen je Jahr in einem Diagramm</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Cashflow</w:t>
            </w:r>
          </w:p>
        </w:tc>
        <w:tc>
          <w:tcPr>
            <w:tcW w:type="dxa" w:w="7370"/>
          </w:tcPr>
          <w:p>
            <w:pPr>
              <w:keepNext/>
              <w:spacing w:after="20"/>
            </w:pPr>
            <w:r>
              <w:rPr>
                <w:sz w:val="19"/>
              </w:rPr>
            </w:r>
            <w:r>
              <w:rPr>
                <w:b w:val="0"/>
                <w:sz w:val="19"/>
              </w:rPr>
              <w:t>Kapitalflussrechnung je Jahr für das im Blatt Cashflow gewählte Szenario: operativ, Investition, Finanzierung, Liquidität, Kennzahlen, Diagramm</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 dazu die Übersichtskostenstellen</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