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Prognosemodell V+V</w:t>
      </w:r>
    </w:p>
    <w:p>
      <w:r>
        <w:rPr>
          <w:b/>
        </w:rPr>
        <w:t>Kurzanleitung für die Steuerberatung:</w:t>
      </w:r>
      <w:r>
        <w:rPr>
          <w:b w:val="0"/>
        </w:rPr>
        <w:t xml:space="preserve"> 20-Jahres-Prognose für Immobilien im Betriebsvermögen einer GmbH mit AfA, Verkauf, § 6b-Rücklage und Reinvestition. Die Mappe vergleicht Halten, § 6b-Kette und sofortiges Versteuern.</w:t>
      </w:r>
    </w:p>
    <w:p>
      <w:pPr>
        <w:pStyle w:val="Heading1"/>
      </w:pPr>
      <w:r>
        <w:t>1. Ablauf in fünf Schritten</w:t>
      </w:r>
    </w:p>
    <w:p>
      <w:pPr>
        <w:pStyle w:val="ListNumber"/>
        <w:spacing w:after="40"/>
      </w:pPr>
      <w:r>
        <w:rPr>
          <w:b/>
        </w:rPr>
        <w:t>Blatt Start öffnen:</w:t>
      </w:r>
      <w:r>
        <w:rPr>
          <w:b w:val="0"/>
        </w:rPr>
        <w:t xml:space="preserve"> Handlungsempfehlung, Belastbarkeit der Daten und Farblegende ansehen.</w:t>
      </w:r>
    </w:p>
    <w:p>
      <w:pPr>
        <w:pStyle w:val="ListNumber"/>
        <w:spacing w:after="40"/>
      </w:pPr>
      <w:r>
        <w:rPr>
          <w:b/>
        </w:rPr>
        <w:t>Kostenstellen prüfen:</w:t>
      </w:r>
      <w:r>
        <w:rPr>
          <w:b w:val="0"/>
        </w:rPr>
        <w:t xml:space="preserve"> Werte des Basisjahrs in den Kostenstellenblättern kontrollieren und dort korrigieren.</w:t>
      </w:r>
    </w:p>
    <w:p>
      <w:pPr>
        <w:pStyle w:val="ListNumber"/>
        <w:spacing w:after="40"/>
      </w:pPr>
      <w:r>
        <w:rPr>
          <w:b/>
        </w:rPr>
        <w:t>Annahmen prüfen:</w:t>
      </w:r>
      <w:r>
        <w:rPr>
          <w:b w:val="0"/>
        </w:rPr>
        <w:t xml:space="preserve"> im Blatt Parameter zuerst die Kernparameter (★, fett: Steuersatz, Steigerungen, Alternativrendite), dann die blauen Zellen im Blatt Objekte. Wo bessere Werte bekannt sind, eintippen.</w:t>
      </w:r>
    </w:p>
    <w:p>
      <w:pPr>
        <w:pStyle w:val="ListNumber"/>
        <w:spacing w:after="40"/>
      </w:pPr>
      <w:r>
        <w:rPr>
          <w:b/>
        </w:rPr>
        <w:t>Planung erfassen:</w:t>
      </w:r>
      <w:r>
        <w:rPr>
          <w:b w:val="0"/>
        </w:rPr>
        <w:t xml:space="preserve"> geplante Verkäufe im Blatt Verkäufe, Käufe im Blatt Neuobjekte.</w:t>
      </w:r>
    </w:p>
    <w:p>
      <w:pPr>
        <w:pStyle w:val="ListNumber"/>
        <w:spacing w:after="40"/>
      </w:pPr>
      <w:r>
        <w:rPr>
          <w:b/>
        </w:rPr>
        <w:t>Prüfen und lesen:</w:t>
      </w:r>
      <w:r>
        <w:rPr>
          <w:b w:val="0"/>
        </w:rPr>
        <w:t xml:space="preserve"> „Plausibilität prüfen“ drücken, Fehler beheben, dann Start, Übersicht und Vergleich lesen.</w:t>
      </w:r>
    </w:p>
    <w:p>
      <w:pPr>
        <w:pStyle w:val="Heading1"/>
      </w:pPr>
      <w:r>
        <w:t>2. Die wichtigsten Blätter</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fill="D9E2F3"/>
          </w:tcPr>
          <w:p>
            <w:pPr>
              <w:keepNext/>
              <w:spacing w:after="20"/>
            </w:pPr>
            <w:r>
              <w:rPr>
                <w:sz w:val="19"/>
              </w:rPr>
            </w:r>
            <w:r>
              <w:rPr>
                <w:b/>
                <w:sz w:val="19"/>
              </w:rPr>
              <w:t>Blatt</w:t>
            </w:r>
          </w:p>
        </w:tc>
        <w:tc>
          <w:tcPr>
            <w:tcW w:type="dxa" w:w="7030"/>
            <w:shd w:val="clear" w:fill="D9E2F3"/>
          </w:tcPr>
          <w:p>
            <w:pPr>
              <w:keepNext/>
              <w:spacing w:after="20"/>
            </w:pPr>
            <w:r>
              <w:rPr>
                <w:sz w:val="19"/>
              </w:rPr>
            </w:r>
            <w:r>
              <w:rPr>
                <w:b/>
                <w:sz w:val="19"/>
              </w:rPr>
              <w:t>Wofür</w:t>
            </w:r>
          </w:p>
        </w:tc>
      </w:tr>
      <w:tr>
        <w:tc>
          <w:tcPr>
            <w:tcW w:type="dxa" w:w="2381"/>
          </w:tcPr>
          <w:p>
            <w:pPr>
              <w:keepNext/>
              <w:spacing w:after="20"/>
            </w:pPr>
            <w:r>
              <w:rPr>
                <w:sz w:val="19"/>
              </w:rPr>
            </w:r>
            <w:r>
              <w:rPr>
                <w:b/>
                <w:sz w:val="19"/>
              </w:rPr>
              <w:t>Start</w:t>
            </w:r>
          </w:p>
        </w:tc>
        <w:tc>
          <w:tcPr>
            <w:tcW w:type="dxa" w:w="7030"/>
          </w:tcPr>
          <w:p>
            <w:pPr>
              <w:keepNext/>
              <w:spacing w:after="20"/>
            </w:pPr>
            <w:r>
              <w:rPr>
                <w:sz w:val="19"/>
              </w:rPr>
            </w:r>
            <w:r>
              <w:rPr>
                <w:b w:val="0"/>
                <w:sz w:val="19"/>
              </w:rPr>
              <w:t>Empfehlung (Option mit dem höchsten Endvermögen nach latenter Steuer), Vorsprung gegenüber Halten, tiefster Liquiditätsstand, Anleitung mit Links</w:t>
            </w:r>
          </w:p>
        </w:tc>
      </w:tr>
      <w:tr>
        <w:tc>
          <w:tcPr>
            <w:tcW w:type="dxa" w:w="2381"/>
          </w:tcPr>
          <w:p>
            <w:pPr>
              <w:keepNext/>
              <w:spacing w:after="20"/>
            </w:pPr>
            <w:r>
              <w:rPr>
                <w:sz w:val="19"/>
              </w:rPr>
            </w:r>
            <w:r>
              <w:rPr>
                <w:b/>
                <w:sz w:val="19"/>
              </w:rPr>
              <w:t>Parameter</w:t>
            </w:r>
          </w:p>
        </w:tc>
        <w:tc>
          <w:tcPr>
            <w:tcW w:type="dxa" w:w="7030"/>
          </w:tcPr>
          <w:p>
            <w:pPr>
              <w:keepNext/>
              <w:spacing w:after="20"/>
            </w:pPr>
            <w:r>
              <w:rPr>
                <w:sz w:val="19"/>
              </w:rPr>
            </w:r>
            <w:r>
              <w:rPr>
                <w:b w:val="0"/>
                <w:sz w:val="19"/>
              </w:rPr>
              <w:t>Alle Sätze und Annahmen zentral; Schaltflächen (Abschnitt 7)</w:t>
            </w:r>
          </w:p>
        </w:tc>
      </w:tr>
      <w:tr>
        <w:tc>
          <w:tcPr>
            <w:tcW w:type="dxa" w:w="2381"/>
          </w:tcPr>
          <w:p>
            <w:pPr>
              <w:keepNext/>
              <w:spacing w:after="20"/>
            </w:pPr>
            <w:r>
              <w:rPr>
                <w:sz w:val="19"/>
              </w:rPr>
            </w:r>
            <w:r>
              <w:rPr>
                <w:b/>
                <w:sz w:val="19"/>
              </w:rPr>
              <w:t>Objekte</w:t>
            </w:r>
          </w:p>
        </w:tc>
        <w:tc>
          <w:tcPr>
            <w:tcW w:type="dxa" w:w="7030"/>
          </w:tcPr>
          <w:p>
            <w:pPr>
              <w:keepNext/>
              <w:spacing w:after="20"/>
            </w:pPr>
            <w:r>
              <w:rPr>
                <w:sz w:val="19"/>
              </w:rPr>
            </w:r>
            <w:r>
              <w:rPr>
                <w:b w:val="0"/>
                <w:sz w:val="19"/>
              </w:rPr>
              <w:t>Ein Bestandsobjekt je Zeile: Miete, Kosten, AK, Kaufjahr, Verkehrswert, Status; Kostenstellen ohne Immobilie mit Art „Unternehmen“</w:t>
            </w:r>
          </w:p>
        </w:tc>
      </w:tr>
      <w:tr>
        <w:tc>
          <w:tcPr>
            <w:tcW w:type="dxa" w:w="2381"/>
          </w:tcPr>
          <w:p>
            <w:pPr>
              <w:keepNext/>
              <w:spacing w:after="20"/>
            </w:pPr>
            <w:r>
              <w:rPr>
                <w:sz w:val="19"/>
              </w:rPr>
            </w:r>
            <w:r>
              <w:rPr>
                <w:b/>
                <w:sz w:val="19"/>
              </w:rPr>
              <w:t>Verkäufe</w:t>
            </w:r>
          </w:p>
        </w:tc>
        <w:tc>
          <w:tcPr>
            <w:tcW w:type="dxa" w:w="7030"/>
          </w:tcPr>
          <w:p>
            <w:pPr>
              <w:keepNext/>
              <w:spacing w:after="20"/>
            </w:pPr>
            <w:r>
              <w:rPr>
                <w:sz w:val="19"/>
              </w:rPr>
            </w:r>
            <w:r>
              <w:rPr>
                <w:b w:val="0"/>
                <w:sz w:val="19"/>
              </w:rPr>
              <w:t>ObjektID, Verkauf aktiv (nein = ausgeschaltet, Rücklage entfällt), Jahr, Preis, Kosten, Anteil G+B lt. Kaufvertrag, § 6b ja/nein, „reinvestieren = ja“ legt ein Neuobjekt aus Annahmen an</w:t>
            </w:r>
          </w:p>
        </w:tc>
      </w:tr>
      <w:tr>
        <w:tc>
          <w:tcPr>
            <w:tcW w:type="dxa" w:w="2381"/>
          </w:tcPr>
          <w:p>
            <w:pPr>
              <w:keepNext/>
              <w:spacing w:after="20"/>
            </w:pPr>
            <w:r>
              <w:rPr>
                <w:sz w:val="19"/>
              </w:rPr>
            </w:r>
            <w:r>
              <w:rPr>
                <w:b/>
                <w:sz w:val="19"/>
              </w:rPr>
              <w:t>Neuobjekte</w:t>
            </w:r>
          </w:p>
        </w:tc>
        <w:tc>
          <w:tcPr>
            <w:tcW w:type="dxa" w:w="7030"/>
          </w:tcPr>
          <w:p>
            <w:pPr>
              <w:keepNext/>
              <w:spacing w:after="20"/>
            </w:pPr>
            <w:r>
              <w:rPr>
                <w:sz w:val="19"/>
              </w:rPr>
            </w:r>
            <w:r>
              <w:rPr>
                <w:b w:val="0"/>
                <w:sz w:val="19"/>
              </w:rPr>
              <w:t>Kaufjahr, Kaufpreis, Anteil G+B (AK G+B und AK Gebäude daraus vorbelegt, in Euro überschreibbar; mit AK G+B in Euro darf der Anteil leer bleiben und wird berechnet), AfA-Satz und -Methode, Sonder-AfA § 7b (QNG, 5 % über 4 Jahre vor der regulären AfA), bis zu drei Quell-Rücklagen, „Kostenstelle Neukauf“, Finanzierung (Abschnitt 4)</w:t>
            </w:r>
          </w:p>
        </w:tc>
      </w:tr>
      <w:tr>
        <w:tc>
          <w:tcPr>
            <w:tcW w:type="dxa" w:w="2381"/>
          </w:tcPr>
          <w:p>
            <w:pPr>
              <w:keepNext/>
              <w:spacing w:after="20"/>
            </w:pPr>
            <w:r>
              <w:rPr>
                <w:sz w:val="19"/>
              </w:rPr>
            </w:r>
            <w:r>
              <w:rPr>
                <w:b/>
                <w:sz w:val="19"/>
              </w:rPr>
              <w:t>Darlehen</w:t>
            </w:r>
          </w:p>
        </w:tc>
        <w:tc>
          <w:tcPr>
            <w:tcW w:type="dxa" w:w="7030"/>
          </w:tcPr>
          <w:p>
            <w:pPr>
              <w:keepNext/>
              <w:spacing w:after="20"/>
            </w:pPr>
            <w:r>
              <w:rPr>
                <w:sz w:val="19"/>
              </w:rPr>
            </w:r>
            <w:r>
              <w:rPr>
                <w:b w:val="0"/>
                <w:sz w:val="19"/>
              </w:rPr>
              <w:t>Tilgungsplan je Kredit: Zins, Tilgung und Restschuld je Jahr</w:t>
            </w:r>
          </w:p>
        </w:tc>
      </w:tr>
      <w:tr>
        <w:tc>
          <w:tcPr>
            <w:tcW w:type="dxa" w:w="2381"/>
          </w:tcPr>
          <w:p>
            <w:pPr>
              <w:keepNext/>
              <w:spacing w:after="20"/>
            </w:pPr>
            <w:r>
              <w:rPr>
                <w:sz w:val="19"/>
              </w:rPr>
            </w:r>
            <w:r>
              <w:rPr>
                <w:b/>
                <w:sz w:val="19"/>
              </w:rPr>
              <w:t>Anlagen</w:t>
            </w:r>
          </w:p>
        </w:tc>
        <w:tc>
          <w:tcPr>
            <w:tcW w:type="dxa" w:w="7030"/>
          </w:tcPr>
          <w:p>
            <w:pPr>
              <w:keepNext/>
              <w:spacing w:after="20"/>
            </w:pPr>
            <w:r>
              <w:rPr>
                <w:sz w:val="19"/>
              </w:rPr>
            </w:r>
            <w:r>
              <w:rPr>
                <w:b w:val="0"/>
                <w:sz w:val="19"/>
              </w:rPr>
              <w:t>Anlagenverzeichnis: AK, Buchwert und AfA je Anlage und Jahr</w:t>
            </w:r>
          </w:p>
        </w:tc>
      </w:tr>
      <w:tr>
        <w:tc>
          <w:tcPr>
            <w:tcW w:type="dxa" w:w="2381"/>
          </w:tcPr>
          <w:p>
            <w:pPr>
              <w:keepNext/>
              <w:spacing w:after="20"/>
            </w:pPr>
            <w:r>
              <w:rPr>
                <w:sz w:val="19"/>
              </w:rPr>
            </w:r>
            <w:r>
              <w:rPr>
                <w:b/>
                <w:sz w:val="19"/>
              </w:rPr>
              <w:t>Übersicht / Vergleich</w:t>
            </w:r>
          </w:p>
        </w:tc>
        <w:tc>
          <w:tcPr>
            <w:tcW w:type="dxa" w:w="7030"/>
          </w:tcPr>
          <w:p>
            <w:pPr>
              <w:keepNext/>
              <w:spacing w:after="20"/>
            </w:pPr>
            <w:r>
              <w:rPr>
                <w:sz w:val="19"/>
              </w:rPr>
            </w:r>
            <w:r>
              <w:rPr>
                <w:b w:val="0"/>
                <w:sz w:val="19"/>
              </w:rPr>
              <w:t>Ergebnis je Jahr und Szenarien nebeneinander (Abschnitt 5)</w:t>
            </w:r>
          </w:p>
        </w:tc>
      </w:tr>
      <w:tr>
        <w:tc>
          <w:tcPr>
            <w:tcW w:type="dxa" w:w="2381"/>
          </w:tcPr>
          <w:p>
            <w:pPr>
              <w:keepNext/>
              <w:spacing w:after="20"/>
            </w:pPr>
            <w:r>
              <w:rPr>
                <w:sz w:val="19"/>
              </w:rPr>
            </w:r>
            <w:r>
              <w:rPr>
                <w:b/>
                <w:sz w:val="19"/>
              </w:rPr>
              <w:t>Ergebnisbrücke</w:t>
            </w:r>
          </w:p>
        </w:tc>
        <w:tc>
          <w:tcPr>
            <w:tcW w:type="dxa" w:w="7030"/>
          </w:tcPr>
          <w:p>
            <w:pPr>
              <w:keepNext/>
              <w:spacing w:after="20"/>
            </w:pPr>
            <w:r>
              <w:rPr>
                <w:sz w:val="19"/>
              </w:rPr>
            </w:r>
            <w:r>
              <w:rPr>
                <w:b w:val="0"/>
                <w:sz w:val="19"/>
              </w:rPr>
              <w:t>Wirkung jedes Verkaufs und Kaufs auf das Ergebnis vor Steuern, von Halten zum Plan (Abschnitt 5)</w:t>
            </w:r>
          </w:p>
        </w:tc>
      </w:tr>
      <w:tr>
        <w:tc>
          <w:tcPr>
            <w:tcW w:type="dxa" w:w="2381"/>
          </w:tcPr>
          <w:p>
            <w:pPr>
              <w:keepNext/>
              <w:spacing w:after="20"/>
            </w:pPr>
            <w:r>
              <w:rPr>
                <w:sz w:val="19"/>
              </w:rPr>
            </w:r>
            <w:r>
              <w:rPr>
                <w:b/>
                <w:sz w:val="19"/>
              </w:rPr>
              <w:t>Prüfung</w:t>
            </w:r>
          </w:p>
        </w:tc>
        <w:tc>
          <w:tcPr>
            <w:tcW w:type="dxa" w:w="7030"/>
          </w:tcPr>
          <w:p>
            <w:pPr>
              <w:keepNext/>
              <w:spacing w:after="20"/>
            </w:pPr>
            <w:r>
              <w:rPr>
                <w:sz w:val="19"/>
              </w:rPr>
            </w:r>
            <w:r>
              <w:rPr>
                <w:b w:val="0"/>
                <w:sz w:val="19"/>
              </w:rPr>
              <w:t>Alle Plausibilitätsprüfungen als Fehler, Warnung oder Hinweis</w:t>
            </w:r>
          </w:p>
        </w:tc>
      </w:tr>
      <w:tr>
        <w:tc>
          <w:tcPr>
            <w:tcW w:type="dxa" w:w="2381"/>
          </w:tcPr>
          <w:p>
            <w:pPr>
              <w:keepNext/>
              <w:spacing w:after="20"/>
            </w:pPr>
            <w:r>
              <w:rPr>
                <w:sz w:val="19"/>
              </w:rPr>
            </w:r>
            <w:r>
              <w:rPr>
                <w:b/>
                <w:sz w:val="19"/>
              </w:rPr>
              <w:t>Alle Objekte, KSt-Blätter</w:t>
            </w:r>
          </w:p>
        </w:tc>
        <w:tc>
          <w:tcPr>
            <w:tcW w:type="dxa" w:w="7030"/>
          </w:tcPr>
          <w:p>
            <w:pPr>
              <w:keepNext/>
              <w:spacing w:after="20"/>
            </w:pPr>
            <w:r>
              <w:rPr>
                <w:sz w:val="19"/>
              </w:rPr>
            </w:r>
            <w:r>
              <w:rPr>
                <w:b w:val="0"/>
                <w:sz w:val="19"/>
              </w:rPr>
              <w:t>Ist und Plan im BWA-Format je Kostenstelle und als Summe; Verkauf und Kauf als eigenes Blatt</w:t>
            </w:r>
          </w:p>
        </w:tc>
      </w:tr>
      <w:tr>
        <w:tc>
          <w:tcPr>
            <w:tcW w:type="dxa" w:w="2381"/>
          </w:tcPr>
          <w:p>
            <w:pPr>
              <w:keepNext/>
              <w:spacing w:after="20"/>
            </w:pPr>
            <w:r>
              <w:rPr>
                <w:sz w:val="19"/>
              </w:rPr>
            </w:r>
            <w:r>
              <w:rPr>
                <w:b/>
                <w:sz w:val="19"/>
              </w:rPr>
              <w:t>Alle Objekte halten</w:t>
            </w:r>
          </w:p>
        </w:tc>
        <w:tc>
          <w:tcPr>
            <w:tcW w:type="dxa" w:w="7030"/>
          </w:tcPr>
          <w:p>
            <w:pPr>
              <w:keepNext/>
              <w:spacing w:after="20"/>
            </w:pPr>
            <w:r>
              <w:rPr>
                <w:sz w:val="19"/>
              </w:rPr>
            </w:r>
            <w:r>
              <w:rPr>
                <w:b w:val="0"/>
                <w:sz w:val="19"/>
              </w:rPr>
              <w:t>Summe im BWA-Format als reine Halten-Ansicht: ohne Verkäufe und Käufe (Abschnitt 5)</w:t>
            </w:r>
          </w:p>
        </w:tc>
      </w:tr>
    </w:tbl>
    <w:p>
      <w:pPr>
        <w:spacing w:after="0"/>
      </w:pPr>
    </w:p>
    <w:p>
      <w:pPr>
        <w:pStyle w:val="Heading1"/>
      </w:pPr>
      <w:r>
        <w:t>3. Farben der Eingabezellen</w:t>
      </w:r>
    </w:p>
    <w:tbl>
      <w:tblPr>
        <w:tblStyle w:val="TableGrid"/>
        <w:tblW w:type="auto" w:w="0"/>
        <w:jc w:val="center"/>
        <w:tblLayout w:type="fixed"/>
        <w:tblLook w:firstColumn="1" w:firstRow="1" w:lastColumn="0" w:lastRow="0" w:noHBand="0" w:noVBand="1" w:val="04A0"/>
      </w:tblPr>
      <w:tblGrid>
        <w:gridCol w:w="1247"/>
        <w:gridCol w:w="4762"/>
        <w:gridCol w:w="3402"/>
      </w:tblGrid>
      <w:tr>
        <w:tc>
          <w:tcPr>
            <w:tcW w:type="dxa" w:w="1247"/>
            <w:shd w:val="clear" w:fill="D9E2F3"/>
          </w:tcPr>
          <w:p>
            <w:pPr>
              <w:keepNext/>
              <w:spacing w:after="20"/>
            </w:pPr>
            <w:r>
              <w:rPr>
                <w:sz w:val="19"/>
              </w:rPr>
            </w:r>
            <w:r>
              <w:rPr>
                <w:b/>
                <w:sz w:val="19"/>
              </w:rPr>
              <w:t>Farbe</w:t>
            </w:r>
          </w:p>
        </w:tc>
        <w:tc>
          <w:tcPr>
            <w:tcW w:type="dxa" w:w="4762"/>
            <w:shd w:val="clear" w:fill="D9E2F3"/>
          </w:tcPr>
          <w:p>
            <w:pPr>
              <w:keepNext/>
              <w:spacing w:after="20"/>
            </w:pPr>
            <w:r>
              <w:rPr>
                <w:sz w:val="19"/>
              </w:rPr>
            </w:r>
            <w:r>
              <w:rPr>
                <w:b/>
                <w:sz w:val="19"/>
              </w:rPr>
              <w:t>Bedeutung</w:t>
            </w:r>
          </w:p>
        </w:tc>
        <w:tc>
          <w:tcPr>
            <w:tcW w:type="dxa" w:w="3402"/>
            <w:shd w:val="clear" w:fill="D9E2F3"/>
          </w:tcPr>
          <w:p>
            <w:pPr>
              <w:keepNext/>
              <w:spacing w:after="20"/>
            </w:pPr>
            <w:r>
              <w:rPr>
                <w:sz w:val="19"/>
              </w:rPr>
            </w:r>
            <w:r>
              <w:rPr>
                <w:b/>
                <w:sz w:val="19"/>
              </w:rPr>
              <w:t>Was tun?</w:t>
            </w:r>
          </w:p>
        </w:tc>
      </w:tr>
      <w:tr>
        <w:tc>
          <w:tcPr>
            <w:tcW w:type="dxa" w:w="1247"/>
            <w:shd w:val="clear" w:fill="F4B6B6"/>
          </w:tcPr>
          <w:p>
            <w:pPr>
              <w:keepNext/>
              <w:spacing w:after="20"/>
            </w:pPr>
            <w:r>
              <w:rPr>
                <w:sz w:val="19"/>
              </w:rPr>
            </w:r>
            <w:r>
              <w:rPr>
                <w:b w:val="0"/>
                <w:sz w:val="19"/>
              </w:rPr>
              <w:t>rot</w:t>
            </w:r>
          </w:p>
        </w:tc>
        <w:tc>
          <w:tcPr>
            <w:tcW w:type="dxa" w:w="4762"/>
          </w:tcPr>
          <w:p>
            <w:pPr>
              <w:keepNext/>
              <w:spacing w:after="20"/>
            </w:pPr>
            <w:r>
              <w:rPr>
                <w:sz w:val="19"/>
              </w:rPr>
            </w:r>
            <w:r>
              <w:rPr>
                <w:b w:val="0"/>
                <w:sz w:val="19"/>
              </w:rPr>
              <w:t>Pflichtangabe fehlt oder Annahme gelöscht</w:t>
            </w:r>
          </w:p>
        </w:tc>
        <w:tc>
          <w:tcPr>
            <w:tcW w:type="dxa" w:w="3402"/>
          </w:tcPr>
          <w:p>
            <w:pPr>
              <w:keepNext/>
              <w:spacing w:after="20"/>
            </w:pPr>
            <w:r>
              <w:rPr>
                <w:sz w:val="19"/>
              </w:rPr>
            </w:r>
            <w:r>
              <w:rPr>
                <w:b w:val="0"/>
                <w:sz w:val="19"/>
              </w:rPr>
              <w:t>Wert eintragen</w:t>
            </w:r>
          </w:p>
        </w:tc>
      </w:tr>
      <w:tr>
        <w:tc>
          <w:tcPr>
            <w:tcW w:type="dxa" w:w="1247"/>
            <w:shd w:val="clear" w:fill="F8CBAD"/>
          </w:tcPr>
          <w:p>
            <w:pPr>
              <w:keepNext/>
              <w:spacing w:after="20"/>
            </w:pPr>
            <w:r>
              <w:rPr>
                <w:sz w:val="19"/>
              </w:rPr>
            </w:r>
            <w:r>
              <w:rPr>
                <w:b w:val="0"/>
                <w:sz w:val="19"/>
              </w:rPr>
              <w:t>orange</w:t>
            </w:r>
          </w:p>
        </w:tc>
        <w:tc>
          <w:tcPr>
            <w:tcW w:type="dxa" w:w="4762"/>
          </w:tcPr>
          <w:p>
            <w:pPr>
              <w:keepNext/>
              <w:spacing w:after="20"/>
            </w:pPr>
            <w:r>
              <w:rPr>
                <w:sz w:val="19"/>
              </w:rPr>
            </w:r>
            <w:r>
              <w:rPr>
                <w:b w:val="0"/>
                <w:sz w:val="19"/>
              </w:rPr>
              <w:t>Annahme bei verkauftem Objekt (bestimmt Gewinn und Rücklage) oder Wert weicht vom Kostenstellenblatt ab</w:t>
            </w:r>
          </w:p>
        </w:tc>
        <w:tc>
          <w:tcPr>
            <w:tcW w:type="dxa" w:w="3402"/>
          </w:tcPr>
          <w:p>
            <w:pPr>
              <w:keepNext/>
              <w:spacing w:after="20"/>
            </w:pPr>
            <w:r>
              <w:rPr>
                <w:sz w:val="19"/>
              </w:rPr>
            </w:r>
            <w:r>
              <w:rPr>
                <w:b w:val="0"/>
                <w:sz w:val="19"/>
              </w:rPr>
              <w:t>Wert belegen bzw. abgleichen</w:t>
            </w:r>
          </w:p>
        </w:tc>
      </w:tr>
      <w:tr>
        <w:tc>
          <w:tcPr>
            <w:tcW w:type="dxa" w:w="1247"/>
            <w:shd w:val="clear" w:fill="BDD7EE"/>
          </w:tcPr>
          <w:p>
            <w:pPr>
              <w:keepNext/>
              <w:spacing w:after="20"/>
            </w:pPr>
            <w:r>
              <w:rPr>
                <w:sz w:val="19"/>
              </w:rPr>
            </w:r>
            <w:r>
              <w:rPr>
                <w:b w:val="0"/>
                <w:sz w:val="19"/>
              </w:rPr>
              <w:t>blau</w:t>
            </w:r>
          </w:p>
        </w:tc>
        <w:tc>
          <w:tcPr>
            <w:tcW w:type="dxa" w:w="4762"/>
          </w:tcPr>
          <w:p>
            <w:pPr>
              <w:keepNext/>
              <w:spacing w:after="20"/>
            </w:pPr>
            <w:r>
              <w:rPr>
                <w:sz w:val="19"/>
              </w:rPr>
            </w:r>
            <w:r>
              <w:rPr>
                <w:b w:val="0"/>
                <w:sz w:val="19"/>
              </w:rPr>
              <w:t>Annahme aus dem Parameterblatt</w:t>
            </w:r>
          </w:p>
        </w:tc>
        <w:tc>
          <w:tcPr>
            <w:tcW w:type="dxa" w:w="3402"/>
          </w:tcPr>
          <w:p>
            <w:pPr>
              <w:keepNext/>
              <w:spacing w:after="20"/>
            </w:pPr>
            <w:r>
              <w:rPr>
                <w:sz w:val="19"/>
              </w:rPr>
            </w:r>
            <w:r>
              <w:rPr>
                <w:b w:val="0"/>
                <w:sz w:val="19"/>
              </w:rPr>
              <w:t>bei besserer Kenntnis überschreiben</w:t>
            </w:r>
          </w:p>
        </w:tc>
      </w:tr>
      <w:tr>
        <w:tc>
          <w:tcPr>
            <w:tcW w:type="dxa" w:w="1247"/>
            <w:shd w:val="clear" w:fill="C6E0B4"/>
          </w:tcPr>
          <w:p>
            <w:pPr>
              <w:keepNext/>
              <w:spacing w:after="20"/>
            </w:pPr>
            <w:r>
              <w:rPr>
                <w:sz w:val="19"/>
              </w:rPr>
            </w:r>
            <w:r>
              <w:rPr>
                <w:b w:val="0"/>
                <w:sz w:val="19"/>
              </w:rPr>
              <w:t>grün</w:t>
            </w:r>
          </w:p>
        </w:tc>
        <w:tc>
          <w:tcPr>
            <w:tcW w:type="dxa" w:w="4762"/>
          </w:tcPr>
          <w:p>
            <w:pPr>
              <w:keepNext/>
              <w:spacing w:after="20"/>
            </w:pPr>
            <w:r>
              <w:rPr>
                <w:sz w:val="19"/>
              </w:rPr>
            </w:r>
            <w:r>
              <w:rPr>
                <w:b w:val="0"/>
                <w:sz w:val="19"/>
              </w:rPr>
              <w:t>aus Buchhaltung, Kostenstellenblatt oder Anlagen</w:t>
            </w:r>
          </w:p>
        </w:tc>
        <w:tc>
          <w:tcPr>
            <w:tcW w:type="dxa" w:w="3402"/>
          </w:tcPr>
          <w:p>
            <w:pPr>
              <w:keepNext/>
              <w:spacing w:after="20"/>
            </w:pPr>
            <w:r>
              <w:rPr>
                <w:sz w:val="19"/>
              </w:rPr>
            </w:r>
            <w:r>
              <w:rPr>
                <w:b w:val="0"/>
                <w:sz w:val="19"/>
              </w:rPr>
              <w:t>nichts; zählt nicht als Annahme</w:t>
            </w:r>
          </w:p>
        </w:tc>
      </w:tr>
      <w:tr>
        <w:tc>
          <w:tcPr>
            <w:tcW w:type="dxa" w:w="1247"/>
            <w:shd w:val="clear" w:fill="FFF2CC"/>
          </w:tcPr>
          <w:p>
            <w:pPr>
              <w:keepNext/>
              <w:spacing w:after="20"/>
            </w:pPr>
            <w:r>
              <w:rPr>
                <w:sz w:val="19"/>
              </w:rPr>
            </w:r>
            <w:r>
              <w:rPr>
                <w:b w:val="0"/>
                <w:sz w:val="19"/>
              </w:rPr>
              <w:t>gelb</w:t>
            </w:r>
          </w:p>
        </w:tc>
        <w:tc>
          <w:tcPr>
            <w:tcW w:type="dxa" w:w="4762"/>
          </w:tcPr>
          <w:p>
            <w:pPr>
              <w:keepNext/>
              <w:spacing w:after="20"/>
            </w:pPr>
            <w:r>
              <w:rPr>
                <w:sz w:val="19"/>
              </w:rPr>
            </w:r>
            <w:r>
              <w:rPr>
                <w:b w:val="0"/>
                <w:sz w:val="19"/>
              </w:rPr>
              <w:t>händische Eingabe</w:t>
            </w:r>
          </w:p>
        </w:tc>
        <w:tc>
          <w:tcPr>
            <w:tcW w:type="dxa" w:w="3402"/>
          </w:tcPr>
          <w:p>
            <w:pPr>
              <w:keepNext/>
              <w:spacing w:after="20"/>
            </w:pPr>
            <w:r>
              <w:rPr>
                <w:sz w:val="19"/>
              </w:rPr>
            </w:r>
            <w:r>
              <w:rPr>
                <w:b w:val="0"/>
                <w:sz w:val="19"/>
              </w:rPr>
              <w:t>—</w:t>
            </w:r>
          </w:p>
        </w:tc>
      </w:tr>
      <w:tr>
        <w:tc>
          <w:tcPr>
            <w:tcW w:type="dxa" w:w="1247"/>
            <w:shd w:val="clear" w:fill="D9D9D9"/>
          </w:tcPr>
          <w:p>
            <w:pPr>
              <w:keepNext/>
              <w:spacing w:after="20"/>
            </w:pPr>
            <w:r>
              <w:rPr>
                <w:sz w:val="19"/>
              </w:rPr>
            </w:r>
            <w:r>
              <w:rPr>
                <w:b w:val="0"/>
                <w:sz w:val="19"/>
              </w:rPr>
              <w:t>grau</w:t>
            </w:r>
          </w:p>
        </w:tc>
        <w:tc>
          <w:tcPr>
            <w:tcW w:type="dxa" w:w="4762"/>
          </w:tcPr>
          <w:p>
            <w:pPr>
              <w:keepNext/>
              <w:spacing w:after="20"/>
            </w:pPr>
            <w:r>
              <w:rPr>
                <w:sz w:val="19"/>
              </w:rPr>
            </w:r>
            <w:r>
              <w:rPr>
                <w:b w:val="0"/>
                <w:sz w:val="19"/>
              </w:rPr>
              <w:t>Formel</w:t>
            </w:r>
          </w:p>
        </w:tc>
        <w:tc>
          <w:tcPr>
            <w:tcW w:type="dxa" w:w="3402"/>
          </w:tcPr>
          <w:p>
            <w:pPr>
              <w:keepNext/>
              <w:spacing w:after="20"/>
            </w:pPr>
            <w:r>
              <w:rPr>
                <w:sz w:val="19"/>
              </w:rPr>
            </w:r>
            <w:r>
              <w:rPr>
                <w:b w:val="0"/>
                <w:sz w:val="19"/>
              </w:rPr>
              <w:t>nicht überschreiben</w:t>
            </w:r>
          </w:p>
        </w:tc>
      </w:tr>
    </w:tbl>
    <w:p>
      <w:pPr>
        <w:spacing w:after="0"/>
      </w:pPr>
    </w:p>
    <w:p>
      <w:r>
        <w:rPr>
          <w:b w:val="0"/>
        </w:rPr>
        <w:t>Ein eingetippter Wert ersetzt die Annahme. Wird ein Feld geleert, stellt die Schaltfläche „Annahmen wiederherstellen“ die Annahme wieder her.</w:t>
      </w:r>
    </w:p>
    <w:p>
      <w:r>
        <w:rPr>
          <w:b/>
        </w:rPr>
        <w:t>Die Mappe erklärt sich selbst:</w:t>
      </w:r>
      <w:r>
        <w:rPr>
          <w:b w:val="0"/>
        </w:rPr>
        <w:t xml:space="preserve"> Spaltenköpfe in Objekte, Verkäufe, Neuobjekte und Anlagen sind rot mit * (Pflichtfeld), blau (optional) oder grau (berechnet). Ein rotes Dreieck am Kopf heißt: Maus darüber zeigt die Erläuterung, bei berechneten Spalten die Herleitung in Worten; das gilt auch für Prognose, Rücklagen, Darlehen, Liquidität und Auswertung. Im Blatt Parameter zeigt die Maus über der Bezeichnung, was der Parameter beeinflusst; Abschnitte ohne Kernparameter sind eingeklappt (+ am linken Rand).</w:t>
      </w:r>
    </w:p>
    <w:p>
      <w:pPr>
        <w:pStyle w:val="Heading1"/>
      </w:pPr>
      <w:r>
        <w:t>4. Kostenstellenblätter sind führend</w:t>
      </w:r>
    </w:p>
    <w:p>
      <w:pPr>
        <w:pStyle w:val="ListBullet"/>
        <w:spacing w:after="40"/>
      </w:pPr>
      <w:r>
        <w:rPr>
          <w:b w:val="0"/>
        </w:rPr>
        <w:t xml:space="preserve">Die Blätter je Kostenstelle und „Alle Objekte“ sind die Datenbasis. Werte des Basisjahrs (gelbe Spalte) werden </w:t>
      </w:r>
      <w:r>
        <w:rPr>
          <w:b/>
        </w:rPr>
        <w:t>dort</w:t>
      </w:r>
      <w:r>
        <w:rPr>
          <w:b w:val="0"/>
        </w:rPr>
        <w:t xml:space="preserve"> geändert; sie fließen automatisch in Objekte, Prognose und „Alle Objekte“.</w:t>
      </w:r>
    </w:p>
    <w:p>
      <w:pPr>
        <w:pStyle w:val="ListBullet"/>
        <w:spacing w:after="40"/>
      </w:pPr>
      <w:r>
        <w:rPr>
          <w:b w:val="0"/>
        </w:rPr>
        <w:t>Im Blatt Objekte verweisen Miete, Erhaltung, weitere Einnahmen und Ausgaben, die AfA lt. Buchhaltung und der Zinsaufwand (1310) auf das Kostenstellenblatt (grün).</w:t>
      </w:r>
    </w:p>
    <w:p>
      <w:pPr>
        <w:pStyle w:val="ListBullet"/>
        <w:spacing w:after="40"/>
      </w:pPr>
      <w:r>
        <w:rPr>
          <w:b w:val="0"/>
        </w:rPr>
        <w:t xml:space="preserve">Wird ein solcher Wert im Blatt Objekte überschrieben, rechnet nur die Prognose damit. Die Zelle wird orange, das Prüfungsblatt warnt. Die Schaltfläche </w:t>
      </w:r>
      <w:r>
        <w:rPr>
          <w:b/>
        </w:rPr>
        <w:t>„Objekte -&gt; Kostenstellen“</w:t>
      </w:r>
      <w:r>
        <w:rPr>
          <w:b w:val="0"/>
        </w:rPr>
        <w:t xml:space="preserve"> überträgt den Wert ins Kostenstellenblatt und stellt die Verknüpfung wieder her.</w:t>
      </w:r>
    </w:p>
    <w:p>
      <w:pPr>
        <w:pStyle w:val="ListBullet"/>
        <w:spacing w:after="40"/>
      </w:pPr>
      <w:r>
        <w:rPr>
          <w:b w:val="0"/>
        </w:rPr>
        <w:t>Die Monatsspalten des Basisjahrs sind eingeklappt; das „+“ über der Jahresspalte öffnet sie.</w:t>
      </w:r>
    </w:p>
    <w:p>
      <w:pPr>
        <w:pStyle w:val="Heading2"/>
      </w:pPr>
      <w:r>
        <w:t>Neukauf-Kostenstellen (KSt 31–35)</w:t>
      </w:r>
    </w:p>
    <w:p>
      <w:r>
        <w:rPr>
          <w:b w:val="0"/>
        </w:rPr>
        <w:t>Alle Kostenstellen hinter „KSt 9999“ gelten als geplante Käufe. Sie erhalten ein eigenes Blatt (Basisjahr und Planjahre gelb). Wählt man die Kostenstelle im Blatt Neuobjekte unter „Kostenstelle Neukauf“ aus, übernimmt die Prognose ab dem Jahr nach dem Kauf Miete, Einnahmen, Erhaltung und Ausgaben aus diesem Blatt; Jahre ohne Wert werden mit der Steigerung fortgeschrieben. Das Blatt ist dann zugleich das Blatt des Neuobjekts: AfA und Kreditzinsen kommen grau aus dem Modell, das Neuobjekt zählt in „Alle Objekte“. Kaufpreis, Anteil G+B und AfA-Satz bleiben Eingaben im Blatt Neuobjekte.</w:t>
      </w:r>
    </w:p>
    <w:p>
      <w:pPr>
        <w:pStyle w:val="Heading2"/>
      </w:pPr>
      <w:r>
        <w:t>Rücklagen und Finanzierung eines Kaufs</w:t>
      </w:r>
    </w:p>
    <w:p>
      <w:pPr>
        <w:pStyle w:val="ListBullet"/>
        <w:spacing w:after="40"/>
      </w:pPr>
      <w:r>
        <w:rPr>
          <w:b/>
        </w:rPr>
        <w:t>Quell-Rücklagen:</w:t>
      </w:r>
      <w:r>
        <w:rPr>
          <w:b w:val="0"/>
        </w:rPr>
        <w:t xml:space="preserve"> bis zu drei Rücklagen je Neuobjekt aus der Auswahlliste. Übertragen werden erst alle Gebäudegewinne auf das Gebäude, dann die G+B-Gewinne auf G+B, der Rest auf das Gebäude. Ob die Übertragung im Einzelfall gewollt ist, entscheidet der Berater.</w:t>
      </w:r>
    </w:p>
    <w:p>
      <w:pPr>
        <w:pStyle w:val="ListBullet"/>
        <w:spacing w:after="40"/>
      </w:pPr>
      <w:r>
        <w:rPr>
          <w:b/>
        </w:rPr>
        <w:t>Die Rücklage wirkt nur steuerlich</w:t>
      </w:r>
      <w:r>
        <w:rPr>
          <w:b w:val="0"/>
        </w:rPr>
        <w:t xml:space="preserve"> (Übertragung, AfA-Basis). Die Finanzierung legt man getrennt fest.</w:t>
      </w:r>
    </w:p>
    <w:p>
      <w:pPr>
        <w:pStyle w:val="ListBullet"/>
        <w:spacing w:after="40"/>
      </w:pPr>
      <w:r>
        <w:rPr>
          <w:b/>
        </w:rPr>
        <w:t>Finanzierungsbedarf</w:t>
      </w:r>
      <w:r>
        <w:rPr>
          <w:b w:val="0"/>
        </w:rPr>
        <w:t xml:space="preserve"> = Kaufpreis + Nebenkosten. Mit „Verkaufserlös zur Finanzierung = ja“ abzüglich des Nettoerlöses der Quell-Verkäufe; leer oder „nein“ = ganze AK.</w:t>
      </w:r>
    </w:p>
    <w:p>
      <w:pPr>
        <w:pStyle w:val="ListBullet"/>
        <w:spacing w:after="40"/>
      </w:pPr>
      <w:r>
        <w:rPr>
          <w:b/>
        </w:rPr>
        <w:t>Finanzierung Rest:</w:t>
      </w:r>
      <w:r>
        <w:rPr>
          <w:b w:val="0"/>
        </w:rPr>
        <w:t xml:space="preserve"> leer bzw. „Eigenmittel“ zahlt den Bedarf aus der Liquidität; „Kredit“ finanziert ihn. Kreditbetrag leer = ganzer Bedarf, sonst der eingetragene Betrag, der Rest kommt aus Eigenmitteln.</w:t>
      </w:r>
    </w:p>
    <w:p>
      <w:pPr>
        <w:pStyle w:val="ListBullet"/>
        <w:spacing w:after="40"/>
      </w:pPr>
      <w:r>
        <w:rPr>
          <w:b/>
        </w:rPr>
        <w:t>Kreditangaben:</w:t>
      </w:r>
      <w:r>
        <w:rPr>
          <w:b w:val="0"/>
        </w:rPr>
        <w:t xml:space="preserve"> Zinssatz, Tilgungsart (Annuität mit anfänglicher Tilgung, linear oder endfällig), Tilgung p. a., optional die Laufzeit, nach der die Restschuld getilgt wird.</w:t>
      </w:r>
    </w:p>
    <w:p>
      <w:pPr>
        <w:pStyle w:val="ListBullet"/>
        <w:spacing w:after="40"/>
      </w:pPr>
      <w:r>
        <w:rPr>
          <w:b w:val="0"/>
        </w:rPr>
        <w:t>Zinsen mindern das Ergebnis und die Steuer, die Tilgung nur die Liquidität, die Restschuld das Gesamtvermögen. Ist der Kredit getilgt, entfallen Zins und Tilgung (Blatt Darlehen).</w:t>
      </w:r>
    </w:p>
    <w:p>
      <w:pPr>
        <w:pStyle w:val="Heading2"/>
      </w:pPr>
      <w:r>
        <w:t>Darlehen der Bestandsobjekte</w:t>
      </w:r>
    </w:p>
    <w:p>
      <w:pPr>
        <w:pStyle w:val="ListBullet"/>
        <w:spacing w:after="40"/>
      </w:pPr>
      <w:r>
        <w:rPr>
          <w:b/>
        </w:rPr>
        <w:t>Grob, ohne weitere Daten:</w:t>
      </w:r>
      <w:r>
        <w:rPr>
          <w:b w:val="0"/>
        </w:rPr>
        <w:t xml:space="preserve"> Der Zinsaufwand des Basisjahrs (BWA 1310) läuft bis zum Verkaufsjahr weiter und sinkt je Jahr um den Satz vom Parameterblatt (Standard 3 %). Tilgung und Ablösung beim Verkauf fehlen; die Prüfung weist darauf hin.</w:t>
      </w:r>
    </w:p>
    <w:p>
      <w:pPr>
        <w:pStyle w:val="ListBullet"/>
        <w:spacing w:after="40"/>
      </w:pPr>
      <w:r>
        <w:rPr>
          <w:b/>
        </w:rPr>
        <w:t>Genau:</w:t>
      </w:r>
      <w:r>
        <w:rPr>
          <w:b w:val="0"/>
        </w:rPr>
        <w:t xml:space="preserve"> Im Blatt Objekte die </w:t>
      </w:r>
      <w:r>
        <w:rPr>
          <w:b/>
        </w:rPr>
        <w:t>Restschuld zum 31.12.</w:t>
      </w:r>
      <w:r>
        <w:rPr>
          <w:b w:val="0"/>
        </w:rPr>
        <w:t xml:space="preserve"> des Basisjahrs eintragen (Saldenliste oder Bankauszug), möglichst auch Zinssatz und Jahresrate. Dann rechnet die Prognose Zins und Tilgung je Jahr und löst die Restschuld im Verkaufsjahr aus dem Erlös ab. Fehlen Zinssatz oder Rate, stehen Annahmen (blau) in den Zellen.</w:t>
      </w:r>
    </w:p>
    <w:p>
      <w:pPr>
        <w:pStyle w:val="ListBullet"/>
        <w:spacing w:after="40"/>
      </w:pPr>
      <w:r>
        <w:rPr>
          <w:b w:val="0"/>
        </w:rPr>
        <w:t>Eine Vorfälligkeitsentschädigung gehört in die Verkaufskosten.</w:t>
      </w:r>
    </w:p>
    <w:p>
      <w:pPr>
        <w:pStyle w:val="Heading1"/>
      </w:pPr>
      <w:r>
        <w:t>5. Ergebnis lesen</w:t>
      </w:r>
    </w:p>
    <w:p>
      <w:pPr>
        <w:pStyle w:val="ListBullet"/>
        <w:spacing w:after="40"/>
      </w:pPr>
      <w:r>
        <w:rPr>
          <w:b/>
        </w:rPr>
        <w:t>Start:</w:t>
      </w:r>
      <w:r>
        <w:rPr>
          <w:b w:val="0"/>
        </w:rPr>
        <w:t xml:space="preserve"> empfohlene Option mit dem höchsten Endvermögen nach latenter Steuer, Vorsprung gegenüber Halten und tiefster Liquiditätsstand.</w:t>
      </w:r>
    </w:p>
    <w:p>
      <w:pPr>
        <w:pStyle w:val="ListBullet"/>
        <w:spacing w:after="40"/>
      </w:pPr>
      <w:r>
        <w:rPr>
          <w:b/>
        </w:rPr>
        <w:t>Übersicht:</w:t>
      </w:r>
      <w:r>
        <w:rPr>
          <w:b w:val="0"/>
        </w:rPr>
        <w:t xml:space="preserve"> Wert der Immobilien und Gesamtvermögen je Jahr, als Tabelle und Diagramm, mit und ohne die geplanten Verkäufe.</w:t>
      </w:r>
    </w:p>
    <w:p>
      <w:pPr>
        <w:pStyle w:val="ListBullet"/>
        <w:spacing w:after="40"/>
      </w:pPr>
      <w:r>
        <w:rPr>
          <w:b/>
        </w:rPr>
        <w:t>Vergleich:</w:t>
      </w:r>
      <w:r>
        <w:rPr>
          <w:b w:val="0"/>
        </w:rPr>
        <w:t xml:space="preserve"> Kennzahlen der Szenarien am Ende des Prognosezeitraums nebeneinander.</w:t>
      </w:r>
    </w:p>
    <w:p>
      <w:pPr>
        <w:pStyle w:val="ListBullet"/>
        <w:spacing w:after="40"/>
      </w:pPr>
      <w:r>
        <w:rPr>
          <w:b/>
        </w:rPr>
        <w:t>Ergebnisbrücke:</w:t>
      </w:r>
      <w:r>
        <w:rPr>
          <w:b w:val="0"/>
        </w:rPr>
        <w:t xml:space="preserve"> je Jahr vom Ergebnis vor Steuern bei Halten über die Pakete und den Zinseffekt der Liquidität zum Ergebnis vor Steuern im Plan. Ein Paket ist ein Verkauf (Gewinn und Rücklage minus das entfallende laufende Ergebnis) mit den Käufen aus seiner Rücklage oder seinem Erlös (Miete − Kosten − AfA − Kreditzinsen), mit Zwischensumme; Käufe ohne Quelle stehen getrennt, darunter alle Käufe einzeln mit ihrem Paket. Die Kontrollzeile muss 0 sein. Kostenstellen der Art „Unternehmen“ (Blatt Objekte, keine Immobilie) stehen getrennt im Ergebnis bei Halten.</w:t>
      </w:r>
    </w:p>
    <w:p>
      <w:pPr>
        <w:pStyle w:val="ListBullet"/>
        <w:spacing w:after="40"/>
      </w:pPr>
      <w:r>
        <w:rPr>
          <w:b/>
        </w:rPr>
        <w:t>Varianten:</w:t>
      </w:r>
      <w:r>
        <w:rPr>
          <w:b w:val="0"/>
        </w:rPr>
        <w:t xml:space="preserve"> mit „Variante festhalten“ gesicherte Stände, etwa verschiedene Verkaufsjahre.</w:t>
      </w:r>
    </w:p>
    <w:p>
      <w:pPr>
        <w:pStyle w:val="ListBullet"/>
        <w:spacing w:after="40"/>
      </w:pPr>
      <w:r>
        <w:rPr>
          <w:b/>
        </w:rPr>
        <w:t>Alle Objekte halten:</w:t>
      </w:r>
      <w:r>
        <w:rPr>
          <w:b w:val="0"/>
        </w:rPr>
        <w:t xml:space="preserve"> die Summen-BWA, als würden alle Objekte gehalten und nichts gekauft (Baseline).</w:t>
      </w:r>
    </w:p>
    <w:p>
      <w:pPr>
        <w:pStyle w:val="ListBullet"/>
        <w:spacing w:after="40"/>
      </w:pPr>
      <w:r>
        <w:rPr>
          <w:b/>
        </w:rPr>
        <w:t>Vergleich mit Halten:</w:t>
      </w:r>
      <w:r>
        <w:rPr>
          <w:b w:val="0"/>
        </w:rPr>
        <w:t xml:space="preserve"> in „Alle Objekte“ D3 auf „ja“ stellen. Rechts neben den Planjahren steht dann je Position und Jahr Plan − Halten, grün mehr, rot weniger.</w:t>
      </w:r>
    </w:p>
    <w:tbl>
      <w:tblPr>
        <w:tblStyle w:val="TableGrid"/>
        <w:tblW w:type="auto" w:w="0"/>
        <w:jc w:val="center"/>
        <w:tblLayout w:type="fixed"/>
        <w:tblLook w:firstColumn="1" w:firstRow="1" w:lastColumn="0" w:lastRow="0" w:noHBand="0" w:noVBand="1" w:val="04A0"/>
      </w:tblPr>
      <w:tblGrid>
        <w:gridCol w:w="1701"/>
        <w:gridCol w:w="7710"/>
      </w:tblGrid>
      <w:tr>
        <w:tc>
          <w:tcPr>
            <w:tcW w:type="dxa" w:w="1701"/>
            <w:shd w:val="clear" w:fill="D9E2F3"/>
          </w:tcPr>
          <w:p>
            <w:pPr>
              <w:keepNext/>
              <w:spacing w:after="20"/>
            </w:pPr>
            <w:r>
              <w:rPr>
                <w:sz w:val="19"/>
              </w:rPr>
            </w:r>
            <w:r>
              <w:rPr>
                <w:b/>
                <w:sz w:val="19"/>
              </w:rPr>
              <w:t>Szenario</w:t>
            </w:r>
          </w:p>
        </w:tc>
        <w:tc>
          <w:tcPr>
            <w:tcW w:type="dxa" w:w="7710"/>
            <w:shd w:val="clear" w:fill="D9E2F3"/>
          </w:tcPr>
          <w:p>
            <w:pPr>
              <w:keepNext/>
              <w:spacing w:after="20"/>
            </w:pPr>
            <w:r>
              <w:rPr>
                <w:sz w:val="19"/>
              </w:rPr>
            </w:r>
            <w:r>
              <w:rPr>
                <w:b/>
                <w:sz w:val="19"/>
              </w:rPr>
              <w:t>Inhalt</w:t>
            </w:r>
          </w:p>
        </w:tc>
      </w:tr>
      <w:tr>
        <w:tc>
          <w:tcPr>
            <w:tcW w:type="dxa" w:w="1701"/>
          </w:tcPr>
          <w:p>
            <w:pPr>
              <w:keepNext/>
              <w:spacing w:after="20"/>
            </w:pPr>
            <w:r>
              <w:rPr>
                <w:sz w:val="19"/>
              </w:rPr>
            </w:r>
            <w:r>
              <w:rPr>
                <w:b w:val="0"/>
                <w:sz w:val="19"/>
              </w:rPr>
              <w:t>A Plan</w:t>
            </w:r>
          </w:p>
        </w:tc>
        <w:tc>
          <w:tcPr>
            <w:tcW w:type="dxa" w:w="7710"/>
          </w:tcPr>
          <w:p>
            <w:pPr>
              <w:keepNext/>
              <w:spacing w:after="20"/>
            </w:pPr>
            <w:r>
              <w:rPr>
                <w:sz w:val="19"/>
              </w:rPr>
            </w:r>
            <w:r>
              <w:rPr>
                <w:b w:val="0"/>
                <w:sz w:val="19"/>
              </w:rPr>
              <w:t>§ 6b-Kette wie erfasst</w:t>
            </w:r>
          </w:p>
        </w:tc>
      </w:tr>
      <w:tr>
        <w:tc>
          <w:tcPr>
            <w:tcW w:type="dxa" w:w="1701"/>
          </w:tcPr>
          <w:p>
            <w:pPr>
              <w:keepNext/>
              <w:spacing w:after="20"/>
            </w:pPr>
            <w:r>
              <w:rPr>
                <w:sz w:val="19"/>
              </w:rPr>
            </w:r>
            <w:r>
              <w:rPr>
                <w:b w:val="0"/>
                <w:sz w:val="19"/>
              </w:rPr>
              <w:t>B</w:t>
            </w:r>
          </w:p>
        </w:tc>
        <w:tc>
          <w:tcPr>
            <w:tcW w:type="dxa" w:w="7710"/>
          </w:tcPr>
          <w:p>
            <w:pPr>
              <w:keepNext/>
              <w:spacing w:after="20"/>
            </w:pPr>
            <w:r>
              <w:rPr>
                <w:sz w:val="19"/>
              </w:rPr>
            </w:r>
            <w:r>
              <w:rPr>
                <w:b w:val="0"/>
                <w:sz w:val="19"/>
              </w:rPr>
              <w:t>Gewinn sofort versteuert, kein Neukauf aus der Rücklage, Geld angelegt</w:t>
            </w:r>
          </w:p>
        </w:tc>
      </w:tr>
      <w:tr>
        <w:tc>
          <w:tcPr>
            <w:tcW w:type="dxa" w:w="1701"/>
          </w:tcPr>
          <w:p>
            <w:pPr>
              <w:keepNext/>
              <w:spacing w:after="20"/>
            </w:pPr>
            <w:r>
              <w:rPr>
                <w:sz w:val="19"/>
              </w:rPr>
            </w:r>
            <w:r>
              <w:rPr>
                <w:b w:val="0"/>
                <w:sz w:val="19"/>
              </w:rPr>
              <w:t>C</w:t>
            </w:r>
          </w:p>
        </w:tc>
        <w:tc>
          <w:tcPr>
            <w:tcW w:type="dxa" w:w="7710"/>
          </w:tcPr>
          <w:p>
            <w:pPr>
              <w:keepNext/>
              <w:spacing w:after="20"/>
            </w:pPr>
            <w:r>
              <w:rPr>
                <w:sz w:val="19"/>
              </w:rPr>
            </w:r>
            <w:r>
              <w:rPr>
                <w:b w:val="0"/>
                <w:sz w:val="19"/>
              </w:rPr>
              <w:t>sofort versteuert, Neuobjekte trotzdem gekauft</w:t>
            </w:r>
          </w:p>
        </w:tc>
      </w:tr>
      <w:tr>
        <w:tc>
          <w:tcPr>
            <w:tcW w:type="dxa" w:w="1701"/>
          </w:tcPr>
          <w:p>
            <w:pPr>
              <w:keepNext/>
              <w:spacing w:after="20"/>
            </w:pPr>
            <w:r>
              <w:rPr>
                <w:sz w:val="19"/>
              </w:rPr>
            </w:r>
            <w:r>
              <w:rPr>
                <w:b w:val="0"/>
                <w:sz w:val="19"/>
              </w:rPr>
              <w:t>Baseline</w:t>
            </w:r>
          </w:p>
        </w:tc>
        <w:tc>
          <w:tcPr>
            <w:tcW w:type="dxa" w:w="7710"/>
          </w:tcPr>
          <w:p>
            <w:pPr>
              <w:keepNext/>
              <w:spacing w:after="20"/>
            </w:pPr>
            <w:r>
              <w:rPr>
                <w:sz w:val="19"/>
              </w:rPr>
            </w:r>
            <w:r>
              <w:rPr>
                <w:b w:val="0"/>
                <w:sz w:val="19"/>
              </w:rPr>
              <w:t>alles halten</w:t>
            </w:r>
          </w:p>
        </w:tc>
      </w:tr>
    </w:tbl>
    <w:p>
      <w:pPr>
        <w:spacing w:after="0"/>
      </w:pPr>
    </w:p>
    <w:p>
      <w:pPr>
        <w:pStyle w:val="Heading1"/>
      </w:pPr>
      <w:r>
        <w:t>6. Prüfung</w:t>
      </w:r>
    </w:p>
    <w:p>
      <w:pPr>
        <w:pStyle w:val="ListBullet"/>
        <w:spacing w:after="40"/>
      </w:pPr>
      <w:r>
        <w:rPr>
          <w:b/>
        </w:rPr>
        <w:t>Fehler:</w:t>
      </w:r>
      <w:r>
        <w:rPr>
          <w:b w:val="0"/>
        </w:rPr>
        <w:t xml:space="preserve"> Status ungleich OK in Objekten, Verkäufen oder Neuobjekten, Fristverstoß. Vor jeder Auswertung beheben.</w:t>
      </w:r>
    </w:p>
    <w:p>
      <w:pPr>
        <w:pStyle w:val="ListBullet"/>
        <w:spacing w:after="40"/>
      </w:pPr>
      <w:r>
        <w:rPr>
          <w:b/>
        </w:rPr>
        <w:t>Warnung:</w:t>
      </w:r>
      <w:r>
        <w:rPr>
          <w:b w:val="0"/>
        </w:rPr>
        <w:t xml:space="preserve"> Vorbesitzzeit für § 6b zu kurz, Rücklage nicht voll übertragen, Drei-Objekt-Grenze, Abweichung vom Kostenstellenblatt, unbekannte Neukauf-Kostenstelle, Verkauf ohne Restschuld trotz Zinsaufwand.</w:t>
      </w:r>
    </w:p>
    <w:p>
      <w:pPr>
        <w:pStyle w:val="ListBullet"/>
        <w:spacing w:after="40"/>
      </w:pPr>
      <w:r>
        <w:rPr>
          <w:b/>
        </w:rPr>
        <w:t>Hinweis:</w:t>
      </w:r>
      <w:r>
        <w:rPr>
          <w:b w:val="0"/>
        </w:rPr>
        <w:t xml:space="preserve"> Frist nach Prognoseende, negative Liquidität, fehlender Verkehrswert, Anlagen ohne Objekt.</w:t>
      </w:r>
    </w:p>
    <w:p>
      <w:pPr>
        <w:pStyle w:val="Heading1"/>
      </w:pPr>
      <w:r>
        <w:t>7. Schaltflächen (Blatt Parameter)</w:t>
      </w:r>
    </w:p>
    <w:tbl>
      <w:tblPr>
        <w:tblStyle w:val="TableGrid"/>
        <w:tblW w:type="auto" w:w="0"/>
        <w:jc w:val="center"/>
        <w:tblLayout w:type="fixed"/>
        <w:tblLook w:firstColumn="1" w:firstRow="1" w:lastColumn="0" w:lastRow="0" w:noHBand="0" w:noVBand="1" w:val="04A0"/>
      </w:tblPr>
      <w:tblGrid>
        <w:gridCol w:w="3515"/>
        <w:gridCol w:w="5896"/>
      </w:tblGrid>
      <w:tr>
        <w:tc>
          <w:tcPr>
            <w:tcW w:type="dxa" w:w="3515"/>
            <w:shd w:val="clear" w:fill="D9E2F3"/>
          </w:tcPr>
          <w:p>
            <w:pPr>
              <w:keepNext/>
              <w:spacing w:after="20"/>
            </w:pPr>
            <w:r>
              <w:rPr>
                <w:sz w:val="19"/>
              </w:rPr>
            </w:r>
            <w:r>
              <w:rPr>
                <w:b/>
                <w:sz w:val="19"/>
              </w:rPr>
              <w:t>Schaltfläche</w:t>
            </w:r>
          </w:p>
        </w:tc>
        <w:tc>
          <w:tcPr>
            <w:tcW w:type="dxa" w:w="5896"/>
            <w:shd w:val="clear" w:fill="D9E2F3"/>
          </w:tcPr>
          <w:p>
            <w:pPr>
              <w:keepNext/>
              <w:spacing w:after="20"/>
            </w:pPr>
            <w:r>
              <w:rPr>
                <w:sz w:val="19"/>
              </w:rPr>
            </w:r>
            <w:r>
              <w:rPr>
                <w:b/>
                <w:sz w:val="19"/>
              </w:rPr>
              <w:t>Wirkung</w:t>
            </w:r>
          </w:p>
        </w:tc>
      </w:tr>
      <w:tr>
        <w:tc>
          <w:tcPr>
            <w:tcW w:type="dxa" w:w="3515"/>
          </w:tcPr>
          <w:p>
            <w:pPr>
              <w:keepNext/>
              <w:spacing w:after="20"/>
            </w:pPr>
            <w:r>
              <w:rPr>
                <w:sz w:val="19"/>
              </w:rPr>
            </w:r>
            <w:r>
              <w:rPr>
                <w:b w:val="0"/>
                <w:sz w:val="19"/>
              </w:rPr>
              <w:t>Plausibilität prüfen</w:t>
            </w:r>
          </w:p>
        </w:tc>
        <w:tc>
          <w:tcPr>
            <w:tcW w:type="dxa" w:w="5896"/>
          </w:tcPr>
          <w:p>
            <w:pPr>
              <w:keepNext/>
              <w:spacing w:after="20"/>
            </w:pPr>
            <w:r>
              <w:rPr>
                <w:sz w:val="19"/>
              </w:rPr>
            </w:r>
            <w:r>
              <w:rPr>
                <w:b w:val="0"/>
                <w:sz w:val="19"/>
              </w:rPr>
              <w:t>zeigt alle Fehler, Warnungen und Hinweise</w:t>
            </w:r>
          </w:p>
        </w:tc>
      </w:tr>
      <w:tr>
        <w:tc>
          <w:tcPr>
            <w:tcW w:type="dxa" w:w="3515"/>
          </w:tcPr>
          <w:p>
            <w:pPr>
              <w:keepNext/>
              <w:spacing w:after="20"/>
            </w:pPr>
            <w:r>
              <w:rPr>
                <w:sz w:val="19"/>
              </w:rPr>
            </w:r>
            <w:r>
              <w:rPr>
                <w:b w:val="0"/>
                <w:sz w:val="19"/>
              </w:rPr>
              <w:t>Neu berechnen</w:t>
            </w:r>
          </w:p>
        </w:tc>
        <w:tc>
          <w:tcPr>
            <w:tcW w:type="dxa" w:w="5896"/>
          </w:tcPr>
          <w:p>
            <w:pPr>
              <w:keepNext/>
              <w:spacing w:after="20"/>
            </w:pPr>
            <w:r>
              <w:rPr>
                <w:sz w:val="19"/>
              </w:rPr>
            </w:r>
            <w:r>
              <w:rPr>
                <w:b w:val="0"/>
                <w:sz w:val="19"/>
              </w:rPr>
              <w:t>rechnet die Mappe vollständig neu</w:t>
            </w:r>
          </w:p>
        </w:tc>
      </w:tr>
      <w:tr>
        <w:tc>
          <w:tcPr>
            <w:tcW w:type="dxa" w:w="3515"/>
          </w:tcPr>
          <w:p>
            <w:pPr>
              <w:keepNext/>
              <w:spacing w:after="20"/>
            </w:pPr>
            <w:r>
              <w:rPr>
                <w:sz w:val="19"/>
              </w:rPr>
            </w:r>
            <w:r>
              <w:rPr>
                <w:b w:val="0"/>
                <w:sz w:val="19"/>
              </w:rPr>
              <w:t>Variante festhalten</w:t>
            </w:r>
          </w:p>
        </w:tc>
        <w:tc>
          <w:tcPr>
            <w:tcW w:type="dxa" w:w="5896"/>
          </w:tcPr>
          <w:p>
            <w:pPr>
              <w:keepNext/>
              <w:spacing w:after="20"/>
            </w:pPr>
            <w:r>
              <w:rPr>
                <w:sz w:val="19"/>
              </w:rPr>
            </w:r>
            <w:r>
              <w:rPr>
                <w:b w:val="0"/>
                <w:sz w:val="19"/>
              </w:rPr>
              <w:t>speichert die Kennzahlen des Vergleichs im Blatt Varianten</w:t>
            </w:r>
          </w:p>
        </w:tc>
      </w:tr>
      <w:tr>
        <w:tc>
          <w:tcPr>
            <w:tcW w:type="dxa" w:w="3515"/>
          </w:tcPr>
          <w:p>
            <w:pPr>
              <w:keepNext/>
              <w:spacing w:after="20"/>
            </w:pPr>
            <w:r>
              <w:rPr>
                <w:sz w:val="19"/>
              </w:rPr>
            </w:r>
            <w:r>
              <w:rPr>
                <w:b w:val="0"/>
                <w:sz w:val="19"/>
              </w:rPr>
              <w:t>Objekt anlegen / duplizieren / entfernen</w:t>
            </w:r>
          </w:p>
        </w:tc>
        <w:tc>
          <w:tcPr>
            <w:tcW w:type="dxa" w:w="5896"/>
          </w:tcPr>
          <w:p>
            <w:pPr>
              <w:keepNext/>
              <w:spacing w:after="20"/>
            </w:pPr>
            <w:r>
              <w:rPr>
                <w:sz w:val="19"/>
              </w:rPr>
            </w:r>
            <w:r>
              <w:rPr>
                <w:b w:val="0"/>
                <w:sz w:val="19"/>
              </w:rPr>
              <w:t>pflegt die Zeilen im Blatt Objekte</w:t>
            </w:r>
          </w:p>
        </w:tc>
      </w:tr>
      <w:tr>
        <w:tc>
          <w:tcPr>
            <w:tcW w:type="dxa" w:w="3515"/>
          </w:tcPr>
          <w:p>
            <w:pPr>
              <w:keepNext/>
              <w:spacing w:after="20"/>
            </w:pPr>
            <w:r>
              <w:rPr>
                <w:sz w:val="19"/>
              </w:rPr>
            </w:r>
            <w:r>
              <w:rPr>
                <w:b w:val="0"/>
                <w:sz w:val="19"/>
              </w:rPr>
              <w:t>Annahmen wiederherstellen</w:t>
            </w:r>
          </w:p>
        </w:tc>
        <w:tc>
          <w:tcPr>
            <w:tcW w:type="dxa" w:w="5896"/>
          </w:tcPr>
          <w:p>
            <w:pPr>
              <w:keepNext/>
              <w:spacing w:after="20"/>
            </w:pPr>
            <w:r>
              <w:rPr>
                <w:sz w:val="19"/>
              </w:rPr>
            </w:r>
            <w:r>
              <w:rPr>
                <w:b w:val="0"/>
                <w:sz w:val="19"/>
              </w:rPr>
              <w:t>setzt geleerte Felder wieder auf die Annahme</w:t>
            </w:r>
          </w:p>
        </w:tc>
      </w:tr>
      <w:tr>
        <w:tc>
          <w:tcPr>
            <w:tcW w:type="dxa" w:w="3515"/>
          </w:tcPr>
          <w:p>
            <w:pPr>
              <w:keepNext/>
              <w:spacing w:after="20"/>
            </w:pPr>
            <w:r>
              <w:rPr>
                <w:sz w:val="19"/>
              </w:rPr>
            </w:r>
            <w:r>
              <w:rPr>
                <w:b w:val="0"/>
                <w:sz w:val="19"/>
              </w:rPr>
              <w:t>Objekte -&gt; Kostenstellen</w:t>
            </w:r>
          </w:p>
        </w:tc>
        <w:tc>
          <w:tcPr>
            <w:tcW w:type="dxa" w:w="5896"/>
          </w:tcPr>
          <w:p>
            <w:pPr>
              <w:keepNext/>
              <w:spacing w:after="20"/>
            </w:pPr>
            <w:r>
              <w:rPr>
                <w:sz w:val="19"/>
              </w:rPr>
            </w:r>
            <w:r>
              <w:rPr>
                <w:b w:val="0"/>
                <w:sz w:val="19"/>
              </w:rPr>
              <w:t>überträgt überschriebene Werte ins Kostenstellenblatt</w:t>
            </w:r>
          </w:p>
        </w:tc>
      </w:tr>
      <w:tr>
        <w:tc>
          <w:tcPr>
            <w:tcW w:type="dxa" w:w="3515"/>
          </w:tcPr>
          <w:p>
            <w:pPr>
              <w:keepNext/>
              <w:spacing w:after="20"/>
            </w:pPr>
            <w:r>
              <w:rPr>
                <w:sz w:val="19"/>
              </w:rPr>
            </w:r>
            <w:r>
              <w:rPr>
                <w:b w:val="0"/>
                <w:sz w:val="19"/>
              </w:rPr>
              <w:t>Leere Prognoseblöcke aus-/einblenden</w:t>
            </w:r>
          </w:p>
        </w:tc>
        <w:tc>
          <w:tcPr>
            <w:tcW w:type="dxa" w:w="5896"/>
          </w:tcPr>
          <w:p>
            <w:pPr>
              <w:keepNext/>
              <w:spacing w:after="20"/>
            </w:pPr>
            <w:r>
              <w:rPr>
                <w:sz w:val="19"/>
              </w:rPr>
            </w:r>
            <w:r>
              <w:rPr>
                <w:b w:val="0"/>
                <w:sz w:val="19"/>
              </w:rPr>
              <w:t>blendet ungenutzte Zeilen der Prognose aus</w:t>
            </w:r>
          </w:p>
        </w:tc>
      </w:tr>
    </w:tbl>
    <w:p>
      <w:pPr>
        <w:spacing w:after="0"/>
      </w:pPr>
    </w:p>
    <w:p>
      <w:pPr>
        <w:pStyle w:val="Heading1"/>
      </w:pPr>
      <w:r>
        <w:t>8. Praxistipps</w:t>
      </w:r>
    </w:p>
    <w:p>
      <w:pPr>
        <w:pStyle w:val="ListBullet"/>
        <w:spacing w:after="40"/>
      </w:pPr>
      <w:r>
        <w:rPr>
          <w:b w:val="0"/>
        </w:rPr>
        <w:t>Bei verkauften Objekten AK, Kaufjahr und Anteil G+B belegen; orange Zellen bestimmen den Gewinn direkt.</w:t>
      </w:r>
    </w:p>
    <w:p>
      <w:pPr>
        <w:pStyle w:val="ListBullet"/>
        <w:spacing w:after="40"/>
      </w:pPr>
      <w:r>
        <w:rPr>
          <w:b w:val="0"/>
        </w:rPr>
        <w:t>Graue Formelzellen nicht überschreiben; Änderungen immer in gelben oder blauen Zellen.</w:t>
      </w:r>
    </w:p>
    <w:p>
      <w:pPr>
        <w:pStyle w:val="ListBullet"/>
        <w:spacing w:after="40"/>
      </w:pPr>
      <w:r>
        <w:rPr>
          <w:b w:val="0"/>
        </w:rPr>
        <w:t>Bei Objekten mit Darlehen die Restschuld eintragen, vor allem vor einem Verkauf: sonst fehlt die Ablösung, Liquidität und Kapitalanlage sind zu hoch.</w:t>
      </w:r>
    </w:p>
    <w:p>
      <w:pPr>
        <w:pStyle w:val="ListBullet"/>
        <w:spacing w:after="40"/>
      </w:pPr>
      <w:r>
        <w:rPr>
          <w:b/>
        </w:rPr>
        <w:t>Alle Steuersätze, Fristen und Annahmen vor dem Echteinsatz durch den zuständigen Berufsträger prüfen.</w:t>
      </w:r>
    </w:p>
    <w:p>
      <w:pPr>
        <w:pStyle w:val="Heading1"/>
      </w:pPr>
      <w:r>
        <w:t>9. Neue Version der Mappe: Eingaben übernehmen</w:t>
      </w:r>
    </w:p>
    <w:p>
      <w:r>
        <w:rPr>
          <w:b w:val="0"/>
        </w:rPr>
        <w:t>Eine neue Version wird mit denselben Dateien erzeugt und bekommt die alte Mappe mit: python -m prognosemodell --kostenstellen Kostenstellen.xlsx --inventar Inventar.xlsx --uebernehmen Alte_Mappe.xlsx --ausgabe Neue_Mappe.xlsx. Die alte Mappe bleibt unverändert, der Bericht nennt je Blatt die übernommenen Werte.</w:t>
      </w:r>
    </w:p>
    <w:p>
      <w:pPr>
        <w:pStyle w:val="ListBullet"/>
        <w:spacing w:after="40"/>
      </w:pPr>
      <w:r>
        <w:rPr>
          <w:b/>
        </w:rPr>
        <w:t>Übernommen werden eingetippte Werte</w:t>
      </w:r>
      <w:r>
        <w:rPr>
          <w:b w:val="0"/>
        </w:rPr>
        <w:t xml:space="preserve"> aus Parameter, Objekte, Anlagen (Zuordnung zum Objekt, AfA von Hand), AfA-Plan, Neukauf-KSt, Verkäufe, Neuobjekte, BWA-Zuordnung, Schalter „Vergleich mit Halten“ und Varianten. Blaue Annahmen (Formeln) rechnet die neue Mappe selbst.</w:t>
      </w:r>
    </w:p>
    <w:p>
      <w:pPr>
        <w:pStyle w:val="ListBullet"/>
        <w:spacing w:after="40"/>
      </w:pPr>
      <w:r>
        <w:rPr>
          <w:b/>
        </w:rPr>
        <w:t>Spalten nach Überschrift:</w:t>
      </w:r>
      <w:r>
        <w:rPr>
          <w:b w:val="0"/>
        </w:rPr>
        <w:t xml:space="preserve"> neue Spalten einer neuen Version behalten ihre Vorbelegung; Spalten, die es nicht mehr gibt, meldet der Bericht.</w:t>
      </w:r>
    </w:p>
    <w:p>
      <w:pPr>
        <w:pStyle w:val="ListBullet"/>
        <w:spacing w:after="40"/>
      </w:pPr>
      <w:r>
        <w:rPr>
          <w:b/>
        </w:rPr>
        <w:t>Kostenstellen-Datei geht vor:</w:t>
      </w:r>
      <w:r>
        <w:rPr>
          <w:b w:val="0"/>
        </w:rPr>
        <w:t xml:space="preserve"> Werte, die beim Einlesen entstanden sind, kommen aus der neuen Kostenstellen-Datei; nur abweichend eingetippte Werte (orange) bleiben. Änderungen in den Kostenstellenblättern der Mappe werden nicht übernommen, dafür die Kostenstellen-Datei pflegen.</w:t>
      </w:r>
    </w:p>
    <w:p>
      <w:pPr>
        <w:pStyle w:val="ListBullet"/>
        <w:spacing w:after="40"/>
      </w:pPr>
      <w:r>
        <w:rPr>
          <w:b w:val="0"/>
        </w:rPr>
        <w:t>Verkäufe und Neuobjekte behalten ihre Zeilennummer (Rücklage und Reinvestition hängen daran); Objekte, Anlagen und Neukauf-Kostenstellen werden über ihre ID zugeordnet.</w:t>
      </w:r>
    </w:p>
    <w:p>
      <w:pPr>
        <w:pStyle w:val="Heading1"/>
      </w:pPr>
      <w:r>
        <w:t>10. Mandanten-Export</w:t>
      </w:r>
    </w:p>
    <w:p>
      <w:r>
        <w:rPr>
          <w:b w:val="0"/>
        </w:rPr>
        <w:t>Für den Mandanten gibt es eine schlanke Fassung der Mappe mit bis zu sieben Blättern, nur mit Werten: Mappe in Excel speichern und schließen, dann python -m prognosemodell.export Prognose.xlsx. Daneben entsteht Prognose_Mandant.xlsx; mit --ausgabe ein anderer Name. Eine frisch erzeugte, nie geöffnete Mappe rechnet LibreOffice vorher durch.</w:t>
      </w:r>
    </w:p>
    <w:tbl>
      <w:tblPr>
        <w:tblStyle w:val="TableGrid"/>
        <w:tblW w:type="auto" w:w="0"/>
        <w:jc w:val="center"/>
        <w:tblLayout w:type="fixed"/>
        <w:tblLook w:firstColumn="1" w:firstRow="1" w:lastColumn="0" w:lastRow="0" w:noHBand="0" w:noVBand="1" w:val="04A0"/>
      </w:tblPr>
      <w:tblGrid>
        <w:gridCol w:w="2041"/>
        <w:gridCol w:w="7370"/>
      </w:tblGrid>
      <w:tr>
        <w:tc>
          <w:tcPr>
            <w:tcW w:type="dxa" w:w="2041"/>
            <w:shd w:val="clear" w:fill="D9E2F3"/>
          </w:tcPr>
          <w:p>
            <w:pPr>
              <w:keepNext/>
              <w:spacing w:after="20"/>
            </w:pPr>
            <w:r>
              <w:rPr>
                <w:sz w:val="19"/>
              </w:rPr>
            </w:r>
            <w:r>
              <w:rPr>
                <w:b/>
                <w:sz w:val="19"/>
              </w:rPr>
              <w:t>Blatt</w:t>
            </w:r>
          </w:p>
        </w:tc>
        <w:tc>
          <w:tcPr>
            <w:tcW w:type="dxa" w:w="7370"/>
            <w:shd w:val="clear" w:fill="D9E2F3"/>
          </w:tcPr>
          <w:p>
            <w:pPr>
              <w:keepNext/>
              <w:spacing w:after="20"/>
            </w:pPr>
            <w:r>
              <w:rPr>
                <w:sz w:val="19"/>
              </w:rPr>
            </w:r>
            <w:r>
              <w:rPr>
                <w:b/>
                <w:sz w:val="19"/>
              </w:rPr>
              <w:t>Inhalt</w:t>
            </w:r>
          </w:p>
        </w:tc>
      </w:tr>
      <w:tr>
        <w:tc>
          <w:tcPr>
            <w:tcW w:type="dxa" w:w="2041"/>
          </w:tcPr>
          <w:p>
            <w:pPr>
              <w:keepNext/>
              <w:spacing w:after="20"/>
            </w:pPr>
            <w:r>
              <w:rPr>
                <w:sz w:val="19"/>
              </w:rPr>
            </w:r>
            <w:r>
              <w:rPr>
                <w:b w:val="0"/>
                <w:sz w:val="19"/>
              </w:rPr>
              <w:t>Überblick</w:t>
            </w:r>
          </w:p>
        </w:tc>
        <w:tc>
          <w:tcPr>
            <w:tcW w:type="dxa" w:w="7370"/>
          </w:tcPr>
          <w:p>
            <w:pPr>
              <w:keepNext/>
              <w:spacing w:after="20"/>
            </w:pPr>
            <w:r>
              <w:rPr>
                <w:sz w:val="19"/>
              </w:rPr>
            </w:r>
            <w:r>
              <w:rPr>
                <w:b w:val="0"/>
                <w:sz w:val="19"/>
              </w:rPr>
              <w:t>Empfehlung, Endvermögen je Option, Datenlage, Verkehrswert und Gesamtvermögen je Jahr mit Diagrammen</w:t>
            </w:r>
          </w:p>
        </w:tc>
      </w:tr>
      <w:tr>
        <w:tc>
          <w:tcPr>
            <w:tcW w:type="dxa" w:w="2041"/>
          </w:tcPr>
          <w:p>
            <w:pPr>
              <w:keepNext/>
              <w:spacing w:after="20"/>
            </w:pPr>
            <w:r>
              <w:rPr>
                <w:sz w:val="19"/>
              </w:rPr>
            </w:r>
            <w:r>
              <w:rPr>
                <w:b w:val="0"/>
                <w:sz w:val="19"/>
              </w:rPr>
              <w:t>Jahresrechnung</w:t>
            </w:r>
          </w:p>
        </w:tc>
        <w:tc>
          <w:tcPr>
            <w:tcW w:type="dxa" w:w="7370"/>
          </w:tcPr>
          <w:p>
            <w:pPr>
              <w:keepNext/>
              <w:spacing w:after="20"/>
            </w:pPr>
            <w:r>
              <w:rPr>
                <w:sz w:val="19"/>
              </w:rPr>
            </w:r>
            <w:r>
              <w:rPr>
                <w:b w:val="0"/>
                <w:sz w:val="19"/>
              </w:rPr>
              <w:t>je Jahr vom Ergebnis über Steuer und Geldfluss zum Vermögen, Plan und Halten, Differenz; jede Spalte rechnet von oben nach unten</w:t>
            </w:r>
          </w:p>
        </w:tc>
      </w:tr>
      <w:tr>
        <w:tc>
          <w:tcPr>
            <w:tcW w:type="dxa" w:w="2041"/>
          </w:tcPr>
          <w:p>
            <w:pPr>
              <w:keepNext/>
              <w:spacing w:after="20"/>
            </w:pPr>
            <w:r>
              <w:rPr>
                <w:sz w:val="19"/>
              </w:rPr>
            </w:r>
            <w:r>
              <w:rPr>
                <w:b w:val="0"/>
                <w:sz w:val="19"/>
              </w:rPr>
              <w:t>Ergebnisbrücke</w:t>
            </w:r>
          </w:p>
        </w:tc>
        <w:tc>
          <w:tcPr>
            <w:tcW w:type="dxa" w:w="7370"/>
          </w:tcPr>
          <w:p>
            <w:pPr>
              <w:keepNext/>
              <w:spacing w:after="20"/>
            </w:pPr>
            <w:r>
              <w:rPr>
                <w:sz w:val="19"/>
              </w:rPr>
            </w:r>
            <w:r>
              <w:rPr>
                <w:b w:val="0"/>
                <w:sz w:val="19"/>
              </w:rPr>
              <w:t>vom Ergebnis bei Halten je Verkauf und Kauf zum Ergebnis im Plan (entfällt ohne Verkauf und Kauf)</w:t>
            </w:r>
          </w:p>
        </w:tc>
      </w:tr>
      <w:tr>
        <w:tc>
          <w:tcPr>
            <w:tcW w:type="dxa" w:w="2041"/>
          </w:tcPr>
          <w:p>
            <w:pPr>
              <w:keepNext/>
              <w:spacing w:after="20"/>
            </w:pPr>
            <w:r>
              <w:rPr>
                <w:sz w:val="19"/>
              </w:rPr>
            </w:r>
            <w:r>
              <w:rPr>
                <w:b w:val="0"/>
                <w:sz w:val="19"/>
              </w:rPr>
              <w:t>BWA gesamt</w:t>
            </w:r>
          </w:p>
        </w:tc>
        <w:tc>
          <w:tcPr>
            <w:tcW w:type="dxa" w:w="7370"/>
          </w:tcPr>
          <w:p>
            <w:pPr>
              <w:keepNext/>
              <w:spacing w:after="20"/>
            </w:pPr>
            <w:r>
              <w:rPr>
                <w:sz w:val="19"/>
              </w:rPr>
            </w:r>
            <w:r>
              <w:rPr>
                <w:b w:val="0"/>
                <w:sz w:val="19"/>
              </w:rPr>
              <w:t>Summen-BWA aller Objekte, Ist-Jahre und Planjahre, Herleitung der Sonderposten; bei „Vergleich mit Halten = ja“ auch Halten und Differenz</w:t>
            </w:r>
          </w:p>
        </w:tc>
      </w:tr>
      <w:tr>
        <w:tc>
          <w:tcPr>
            <w:tcW w:type="dxa" w:w="2041"/>
          </w:tcPr>
          <w:p>
            <w:pPr>
              <w:keepNext/>
              <w:spacing w:after="20"/>
            </w:pPr>
            <w:r>
              <w:rPr>
                <w:sz w:val="19"/>
              </w:rPr>
            </w:r>
            <w:r>
              <w:rPr>
                <w:b w:val="0"/>
                <w:sz w:val="19"/>
              </w:rPr>
              <w:t>BWA je Objekt</w:t>
            </w:r>
          </w:p>
        </w:tc>
        <w:tc>
          <w:tcPr>
            <w:tcW w:type="dxa" w:w="7370"/>
          </w:tcPr>
          <w:p>
            <w:pPr>
              <w:keepNext/>
              <w:spacing w:after="20"/>
            </w:pPr>
            <w:r>
              <w:rPr>
                <w:sz w:val="19"/>
              </w:rPr>
            </w:r>
            <w:r>
              <w:rPr>
                <w:b w:val="0"/>
                <w:sz w:val="19"/>
              </w:rPr>
              <w:t>alle Kostenstellenblätter untereinander, mit Inhaltsverzeichnis</w:t>
            </w:r>
          </w:p>
        </w:tc>
      </w:tr>
      <w:tr>
        <w:tc>
          <w:tcPr>
            <w:tcW w:type="dxa" w:w="2041"/>
          </w:tcPr>
          <w:p>
            <w:pPr>
              <w:keepNext/>
              <w:spacing w:after="20"/>
            </w:pPr>
            <w:r>
              <w:rPr>
                <w:sz w:val="19"/>
              </w:rPr>
            </w:r>
            <w:r>
              <w:rPr>
                <w:b w:val="0"/>
                <w:sz w:val="19"/>
              </w:rPr>
              <w:t>Verkauf und Kauf</w:t>
            </w:r>
          </w:p>
        </w:tc>
        <w:tc>
          <w:tcPr>
            <w:tcW w:type="dxa" w:w="7370"/>
          </w:tcPr>
          <w:p>
            <w:pPr>
              <w:keepNext/>
              <w:spacing w:after="20"/>
            </w:pPr>
            <w:r>
              <w:rPr>
                <w:sz w:val="19"/>
              </w:rPr>
            </w:r>
            <w:r>
              <w:rPr>
                <w:b w:val="0"/>
                <w:sz w:val="19"/>
              </w:rPr>
              <w:t>Verkäufe, Neuobjekte, Ergebnis und Herleitung je Vorgang (entfällt ohne Verkauf und Kauf)</w:t>
            </w:r>
          </w:p>
        </w:tc>
      </w:tr>
      <w:tr>
        <w:tc>
          <w:tcPr>
            <w:tcW w:type="dxa" w:w="2041"/>
          </w:tcPr>
          <w:p>
            <w:pPr>
              <w:keepNext/>
              <w:spacing w:after="20"/>
            </w:pPr>
            <w:r>
              <w:rPr>
                <w:sz w:val="19"/>
              </w:rPr>
            </w:r>
            <w:r>
              <w:rPr>
                <w:b w:val="0"/>
                <w:sz w:val="19"/>
              </w:rPr>
              <w:t>Annahmen</w:t>
            </w:r>
          </w:p>
        </w:tc>
        <w:tc>
          <w:tcPr>
            <w:tcW w:type="dxa" w:w="7370"/>
          </w:tcPr>
          <w:p>
            <w:pPr>
              <w:keepNext/>
              <w:spacing w:after="20"/>
            </w:pPr>
            <w:r>
              <w:rPr>
                <w:sz w:val="19"/>
              </w:rPr>
            </w:r>
            <w:r>
              <w:rPr>
                <w:b w:val="0"/>
                <w:sz w:val="19"/>
              </w:rPr>
              <w:t>zentrale Annahmen, Daten je Objekt mit Herkunft (blau Annahme, grün Buchhaltung), auffällige Prüfungen</w:t>
            </w:r>
          </w:p>
        </w:tc>
      </w:tr>
    </w:tbl>
    <w:p>
      <w:pPr>
        <w:spacing w:after="0"/>
      </w:pPr>
    </w:p>
    <w:p>
      <w:pPr>
        <w:pStyle w:val="ListBullet"/>
        <w:spacing w:after="40"/>
      </w:pPr>
      <w:r>
        <w:rPr>
          <w:b w:val="0"/>
        </w:rPr>
        <w:t>Zeilen ohne Wert, Monatsspalten, Hilfszeilen und ausgeschaltete Vorgänge entfallen; Ist-Vorjahre erscheinen nur, wenn sie eingelesen sind.</w:t>
      </w:r>
    </w:p>
    <w:p>
      <w:pPr>
        <w:pStyle w:val="ListBullet"/>
        <w:spacing w:after="40"/>
      </w:pPr>
      <w:r>
        <w:rPr>
          <w:b w:val="0"/>
        </w:rPr>
        <w:t>Jedes Blatt ist für den Druck eingerichtet: Querformat, eine Seite breit, Blattname und Seitenzahl in der Fußzeile.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