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Aptos Display" w:hAnsi="Aptos Display"/>
          <w:b/>
          <w:color w:val="16324F"/>
          <w:sz w:val="56"/>
        </w:rPr>
        <w:t>Individual Project Write-up</w:t>
      </w:r>
    </w:p>
    <w:p>
      <w:pPr>
        <w:spacing w:after="280"/>
      </w:pPr>
      <w:r>
        <w:rPr>
          <w:color w:val="087E8B"/>
          <w:sz w:val="28"/>
        </w:rPr>
        <w:t>UTF-8 validation with processor-independent SIMD</w:t>
      </w:r>
    </w:p>
    <w:p>
      <w:pPr>
        <w:spacing w:after="360"/>
      </w:pPr>
      <w:r>
        <w:rPr>
          <w:b/>
        </w:rPr>
        <w:t>[Student name]  |  Undergraduate submission  |  August 9,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087E8B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4"/>
          </w:tcPr>
          <w:p>
            <w:r>
              <w:rPr>
                <w:b/>
                <w:color w:val="16324F"/>
              </w:rPr>
              <w:t xml:space="preserve">Evidence status  </w:t>
            </w:r>
            <w:r>
              <w:t>Replace bracketed identity fields and insert final commit hashes and measured performance observations before submission.</w:t>
            </w:r>
          </w:p>
        </w:tc>
      </w:tr>
    </w:tbl>
    <w:p>
      <w:pPr>
        <w:spacing w:after="0"/>
      </w:pPr>
    </w:p>
    <w:p>
      <w:pPr>
        <w:pStyle w:val="Heading1"/>
      </w:pPr>
      <w:r>
        <w:t>1. Role in the Overall Project</w:t>
      </w:r>
    </w:p>
    <w:p>
      <w:r>
        <w:t>My role was to own correctness and the second compiler-generated implementation, while my groupmate owned performance benchmarking and plots. I translated the professor's final-block question into a reproducible acceptance criterion, defined the boundary-test matrix, implemented the corrective EOF behavior, derived a validation-only Pablo kernel from u8u16, and integrated both implementations behind one command-line interface. I also led the design and implementation sections of the group report and the technical portion of the poster.</w:t>
      </w:r>
    </w:p>
    <w:p>
      <w:pPr>
        <w:pStyle w:val="Heading1"/>
      </w:pPr>
      <w:r>
        <w:t>2. Leadership</w:t>
      </w:r>
    </w:p>
    <w:p>
      <w:pPr>
        <w:pStyle w:val="ListBullet"/>
      </w:pPr>
      <w:r>
        <w:t>Converted an open-ended correctness concern into exact tests at B, 2B, and 3B boundaries for multiple SIMD widths.</w:t>
      </w:r>
    </w:p>
    <w:p>
      <w:pPr>
        <w:pStyle w:val="ListBullet"/>
      </w:pPr>
      <w:r>
        <w:t>Established the rule that correctness must be verified before any benchmark result is accepted.</w:t>
      </w:r>
    </w:p>
    <w:p>
      <w:pPr>
        <w:pStyle w:val="ListBullet"/>
      </w:pPr>
      <w:r>
        <w:t>Separated ownership cleanly: I supplied tested binaries, semantics, and interpretation criteria; my groupmate supplied reproducible timing data and plots.</w:t>
      </w:r>
    </w:p>
    <w:p>
      <w:pPr>
        <w:pStyle w:val="ListBullet"/>
      </w:pPr>
      <w:r>
        <w:t>Created a benchmark handoff specifying environment capture, warmups, trials, raw CSV columns, variability, and thread scaling.</w:t>
      </w:r>
    </w:p>
    <w:p>
      <w:pPr>
        <w:pStyle w:val="ListBullet"/>
      </w:pPr>
      <w:r>
        <w:t>Integrated code, report structure, poster narrative, and contribution records so the final work answers one research question.</w:t>
      </w:r>
    </w:p>
    <w:p>
      <w:pPr>
        <w:pStyle w:val="Heading1"/>
      </w:pPr>
      <w:r>
        <w:t>3. Technical Contribution</w:t>
      </w:r>
    </w:p>
    <w:p>
      <w:pPr>
        <w:pStyle w:val="Heading2"/>
      </w:pPr>
      <w:r>
        <w:t>3.1 Exact-block EOF correctness</w:t>
      </w:r>
    </w:p>
    <w:p>
      <w:r>
        <w:t>The initial validator carried the prior SIMD block and correctly detected many malformed byte patterns, but it relied on a following padded block to expose required continuation bytes after a final leader. I reproduced the case where the input length is an exact multiple of the block width and the file ends with an unfinished two-, three-, or four-byte sequence. Those cases were incorrectly reported as valid.</w:t>
      </w:r>
    </w:p>
    <w:p>
      <w:r>
        <w:t>I refactored the direct validator into a block-oriented kernel and added a narrow EOF guard expressed over the original byte stream. The guard advances legal leaders to their required continuation positions and applies Pablo's AtEOF operation to the outstanding scope. Its Add1-position result is counted with the direct kernel's errors. This makes EOF validity explicit and independent of source padding behavior.</w:t>
      </w:r>
    </w:p>
    <w:p>
      <w:pPr>
        <w:pStyle w:val="Heading2"/>
      </w:pPr>
      <w:r>
        <w:t>3.2 Validation-only u8u16/Pablo implementation</w:t>
      </w:r>
    </w:p>
    <w:p>
      <w:r>
        <w:t>I created a second implementation from the logical validation portion of u8u16. It retains leader classification, continuation scopes, scope/suffix mismatch, illegal leader checks, narrow second-byte ranges, and EOF detection. It removes all sixteen UTF-16 output streams, selectors, deletion/compression stages, P2S conversion, and file output. The application selects it with --algorithm=pablo; --algorithm=direct remains the default.</w:t>
      </w:r>
    </w:p>
    <w:p>
      <w:pPr>
        <w:pStyle w:val="Heading2"/>
      </w:pPr>
      <w:r>
        <w:t>3.3 Tests and verified result</w:t>
      </w:r>
    </w:p>
    <w:p>
      <w:r>
        <w:t>The generated test suite uses Python's strict UTF-8 decoder as an independent oracle. It checks valid and invalid inputs, sequences crossing boundaries, exact-boundary truncation, and lengths within three bytes of one and two block boundaries. Both Parabix implementations passed all 496 cases across 64-, 128-, 256-, and 512-bit block sizes.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600"/>
            <w:shd w:fill="16324F"/>
            <w:vAlign w:val="center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6192"/>
            <w:shd w:fill="16324F"/>
            <w:vAlign w:val="center"/>
          </w:tcPr>
          <w:p>
            <w:r>
              <w:rPr>
                <w:b/>
                <w:color w:val="FFFFFF"/>
              </w:rPr>
              <w:t>Evidence to insert</w:t>
            </w:r>
          </w:p>
        </w:tc>
      </w:tr>
      <w:tr>
        <w:tc>
          <w:tcPr>
            <w:tcW w:type="dxa" w:w="3600"/>
            <w:vAlign w:val="center"/>
          </w:tcPr>
          <w:p>
            <w:r>
              <w:t>Direct/EOF implementation</w:t>
            </w:r>
          </w:p>
        </w:tc>
        <w:tc>
          <w:tcPr>
            <w:tcW w:type="dxa" w:w="6192"/>
            <w:vAlign w:val="center"/>
          </w:tcPr>
          <w:p>
            <w:r>
              <w:t>[final commit hash]</w:t>
            </w:r>
          </w:p>
        </w:tc>
      </w:tr>
      <w:tr>
        <w:tc>
          <w:tcPr>
            <w:tcW w:type="dxa" w:w="3600"/>
            <w:vAlign w:val="center"/>
            <w:shd w:fill="F3F6F8"/>
          </w:tcPr>
          <w:p>
            <w:r>
              <w:t>Pablo implementation</w:t>
            </w:r>
          </w:p>
        </w:tc>
        <w:tc>
          <w:tcPr>
            <w:tcW w:type="dxa" w:w="6192"/>
            <w:vAlign w:val="center"/>
            <w:shd w:fill="F3F6F8"/>
          </w:tcPr>
          <w:p>
            <w:r>
              <w:t>[final commit hash]</w:t>
            </w:r>
          </w:p>
        </w:tc>
      </w:tr>
      <w:tr>
        <w:tc>
          <w:tcPr>
            <w:tcW w:type="dxa" w:w="3600"/>
            <w:vAlign w:val="center"/>
          </w:tcPr>
          <w:p>
            <w:r>
              <w:t>Differential test suite</w:t>
            </w:r>
          </w:p>
        </w:tc>
        <w:tc>
          <w:tcPr>
            <w:tcW w:type="dxa" w:w="6192"/>
            <w:vAlign w:val="center"/>
          </w:tcPr>
          <w:p>
            <w:r>
              <w:t>496/496 cases passed</w:t>
            </w:r>
          </w:p>
        </w:tc>
      </w:tr>
      <w:tr>
        <w:tc>
          <w:tcPr>
            <w:tcW w:type="dxa" w:w="3600"/>
            <w:vAlign w:val="center"/>
            <w:shd w:fill="F3F6F8"/>
          </w:tcPr>
          <w:p>
            <w:r>
              <w:t>Report sections</w:t>
            </w:r>
          </w:p>
        </w:tc>
        <w:tc>
          <w:tcPr>
            <w:tcW w:type="dxa" w:w="6192"/>
            <w:vAlign w:val="center"/>
            <w:shd w:fill="F3F6F8"/>
          </w:tcPr>
          <w:p>
            <w:r>
              <w:t>Design, Implementation Details, correctness evaluation, conclusion draft</w:t>
            </w:r>
          </w:p>
        </w:tc>
      </w:tr>
      <w:tr>
        <w:tc>
          <w:tcPr>
            <w:tcW w:type="dxa" w:w="3600"/>
            <w:vAlign w:val="center"/>
          </w:tcPr>
          <w:p>
            <w:r>
              <w:t>Poster sections</w:t>
            </w:r>
          </w:p>
        </w:tc>
        <w:tc>
          <w:tcPr>
            <w:tcW w:type="dxa" w:w="6192"/>
            <w:vAlign w:val="center"/>
          </w:tcPr>
          <w:p>
            <w:r>
              <w:t>UTF-8 rules, designs, EOF case, technical conclusion</w:t>
            </w:r>
          </w:p>
        </w:tc>
      </w:tr>
    </w:tbl>
    <w:p>
      <w:pPr>
        <w:spacing w:after="0"/>
      </w:pPr>
    </w:p>
    <w:p>
      <w:pPr>
        <w:pStyle w:val="Heading1"/>
      </w:pPr>
      <w:r>
        <w:t>4. Insight and Lessons Learned</w:t>
      </w:r>
    </w:p>
    <w:p>
      <w:r>
        <w:t>First, SIMD streaming correctness depends on termination semantics, not only on correct vector operations. A test corpus with short files can exercise padding and still miss exact-boundary behavior. Boundary lengths must therefore be treated as semantic test dimensions.</w:t>
      </w:r>
    </w:p>
    <w:p>
      <w:r>
        <w:t>Second, processor-independent SIMD improves portability of expression but does not guarantee optimal generated code. The direct implementation avoids S2P conversion but has lower-level state and an EOF guard; the Pablo implementation expresses scopes clearly but pays for transposition. A fair evaluation must measure those representation costs rather than treating each executable as a black box.</w:t>
      </w:r>
    </w:p>
    <w:p>
      <w:r>
        <w:t>Third, performance evidence is only meaningful when JIT/setup, file I/O, validation, and synchronization are distinguished. The most useful unexpected result from the final benchmark should be inserted here: [describe one result that contradicted the team's expectation, cite the measured data, and explain the likely compiler or memory-system cause].</w:t>
      </w:r>
    </w:p>
    <w:p>
      <w:pPr>
        <w:pStyle w:val="Heading1"/>
      </w:pPr>
      <w:r>
        <w:t>5. Final Contribution Statement</w:t>
      </w:r>
    </w:p>
    <w:p>
      <w:r>
        <w:t>My individual contribution was the correctness resolution, the additional validation-only compiler implementation, the differential boundary suite, and the technical synthesis connecting those results to the compiler-study objective. I did not produce or claim my groupmate's benchmark measurements; I defined their acceptance criteria and reviewed their interpretation for consistency with the validated implementations.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CMPT 980 - Summer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670"/>
        <w:sz w:val="16"/>
      </w:rPr>
      <w:t>Individual Project Write-up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228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