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8">
      <w:pPr>
        <w:spacing w:after="0" w:before="0" w:line="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09">
      <w:pPr>
        <w:pStyle w:val="Title"/>
        <w:spacing w:line="240" w:lineRule="auto"/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</w:rPr>
      </w:pPr>
      <w:r>
        <w:rPr>
          <w:rFonts w:ascii="Arial Unicode MS" w:cs="Arial Unicode MS" w:eastAsia="Arial Unicode MS" w:hAnsi="Arial Unicode MS"/>
          <w:b w:val="0"/>
          <w:bCs w:val="0"/>
          <w:color w:val="5E7B92"/>
          <w:sz w:val="50"/>
          <w:szCs w:val="72"/>
          <w:rtl w:val="0"/>
        </w:rPr>
        <w:t>Materials Benchmark Authoring</w:t>
      </w:r>
    </w:p>
    <w:p w14:paraId="0000000A">
      <w:pPr>
        <w:pStyle w:val="Title"/>
        <w:spacing w:line="240" w:lineRule="auto"/>
        <w:rPr>
          <w:rFonts w:ascii="Helvetica Neue" w:cs="Helvetica Neue" w:eastAsia="Helvetica Neue" w:hAnsi="Helvetica Neue"/>
          <w:sz w:val="72"/>
          <w:szCs w:val="72"/>
        </w:rPr>
      </w:pPr>
      <w:r>
        <w:rPr>
          <w:rFonts w:ascii="Arial Unicode MS" w:cs="Arial Unicode MS" w:eastAsia="Arial Unicode MS" w:hAnsi="Arial Unicode MS"/>
          <w:b/>
          <w:color w:val="0B2948"/>
          <w:sz w:val="56"/>
          <w:szCs w:val="72"/>
          <w:rtl w:val="0"/>
        </w:rPr>
        <w:t>From Paper PDF to Review-Ready Enhanced Harbor Tasks</w:t>
      </w:r>
    </w:p>
    <w:p w14:paraId="0000000B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0C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0D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0E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0F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10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11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12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13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p w14:paraId="00000014">
      <w:pPr>
        <w:spacing w:before="0" w:after="0" w:line="20" w:lineRule="exact"/>
        <w:rPr>
          <w:rFonts w:ascii="Helvetica Neue" w:cs="Helvetica Neue" w:eastAsia="Helvetica Neue" w:hAnsi="Helvetica Neue"/>
        </w:rPr>
      </w:pPr>
      <w:r>
        <w:rPr>
          <w:sz w:val="2"/>
          <w:rtl w:val="0"/>
        </w:rPr>
      </w:r>
    </w:p>
    <w:tbl>
      <w:tblPr>
        <w:tblStyle w:val="Table1"/>
        <w:tblW w:w="10400.0" w:type="dxa"/>
        <w:jc w:val="center"/>
        <w:tblLayout w:type="fixed"/>
        <w:tblLook w:val="0600"/>
      </w:tblPr>
      <w:tblGrid>
        <w:gridCol w:w="3200"/>
        <w:gridCol w:w="400"/>
        <w:gridCol w:w="3200"/>
        <w:gridCol w:w="400"/>
        <w:gridCol w:w="3200"/>
        <w:tblGridChange w:id="0">
          <w:tblGrid>
            <w:gridCol w:w="3200"/>
            <w:gridCol w:w="400"/>
            <w:gridCol w:w="3200"/>
            <w:gridCol w:w="400"/>
            <w:gridCol w:w="3200"/>
          </w:tblGrid>
        </w:tblGridChange>
      </w:tblGrid>
      <w:tr>
        <w:trPr>
          <w:cantSplit w:val="0"/>
          <w:tblHeader w:val="0"/>
        </w:trPr>
        <w:tc>
          <w:tcPr/>
          <w:p w14:paraId="00000015">
            <w:pPr>
              <w:pStyle w:val="Heading3"/>
              <w:rPr/>
            </w:pPr>
            <w:bookmarkStart w:colFirst="0" w:colLast="0" w:name="_heading=h.7ykrt4nkacae" w:id="0"/>
            <w:bookmarkEnd w:id="0"/>
            <w:r>
              <w:rPr>
                <w:rFonts w:ascii="Arial Unicode MS" w:hAnsi="Arial Unicode MS" w:eastAsia="Arial Unicode MS" w:cs="Arial Unicode MS"/>
                <w:b/>
                <w:sz w:val="16"/>
                <w:rtl w:val="0"/>
              </w:rPr>
              <w:t>STATUS</w:t>
              <w:br/>
              <w:t>Proposed</w:t>
            </w:r>
          </w:p>
          <w:p w14:paraId="00000016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color w:val="233447"/>
                <w:rtl w:val="0"/>
              </w:rPr>
            </w:r>
          </w:p>
        </w:tc>
        <w:tc>
          <w:tcPr/>
          <w:p w14:paraId="00000017">
            <w:pPr>
              <w:rPr>
                <w:rFonts w:ascii="Helvetica Neue" w:cs="Helvetica Neue" w:eastAsia="Helvetica Neue" w:hAnsi="Helvetica Neue"/>
              </w:rPr>
            </w:pPr>
            <w:r>
              <w:rPr>
                <w:rtl w:val="0"/>
              </w:rPr>
            </w:r>
          </w:p>
        </w:tc>
        <w:tc>
          <w:tcPr/>
          <w:p w14:paraId="00000018">
            <w:pPr>
              <w:pStyle w:val="Heading3"/>
              <w:rPr/>
            </w:pPr>
            <w:bookmarkStart w:colFirst="0" w:colLast="0" w:name="_heading=h.yfftl1hqu8kl" w:id="1"/>
            <w:bookmarkEnd w:id="1"/>
            <w:r>
              <w:rPr>
                <w:rFonts w:ascii="Arial Unicode MS" w:hAnsi="Arial Unicode MS" w:eastAsia="Arial Unicode MS" w:cs="Arial Unicode MS"/>
                <w:b/>
                <w:sz w:val="16"/>
                <w:rtl w:val="0"/>
              </w:rPr>
              <w:t>OWNER</w:t>
              <w:br/>
              <w:t>MatBenchGuard / qa-review</w:t>
            </w:r>
          </w:p>
          <w:p w14:paraId="00000019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color w:val="233447"/>
                <w:rtl w:val="0"/>
              </w:rPr>
            </w:r>
          </w:p>
        </w:tc>
        <w:tc>
          <w:tcPr/>
          <w:p w14:paraId="0000001A">
            <w:pPr>
              <w:rPr>
                <w:rFonts w:ascii="Helvetica Neue" w:cs="Helvetica Neue" w:eastAsia="Helvetica Neue" w:hAnsi="Helvetica Neue"/>
              </w:rPr>
            </w:pPr>
            <w:r>
              <w:rPr>
                <w:rtl w:val="0"/>
              </w:rPr>
            </w:r>
          </w:p>
        </w:tc>
        <w:tc>
          <w:tcPr/>
          <w:p w14:paraId="0000001B">
            <w:pPr>
              <w:pStyle w:val="Heading3"/>
              <w:rPr/>
            </w:pPr>
            <w:bookmarkStart w:colFirst="0" w:colLast="0" w:name="_heading=h.jp27tbh10tsa" w:id="2"/>
            <w:bookmarkEnd w:id="2"/>
            <w:r>
              <w:rPr>
                <w:rFonts w:ascii="Arial Unicode MS" w:hAnsi="Arial Unicode MS" w:eastAsia="Arial Unicode MS" w:cs="Arial Unicode MS"/>
                <w:b/>
                <w:sz w:val="16"/>
                <w:rtl w:val="0"/>
              </w:rPr>
              <w:t>LAST UPDATED</w:t>
              <w:br/>
              <w:t>August 3, 2026</w:t>
            </w:r>
          </w:p>
          <w:p w14:paraId="0000001C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rtl w:val="0"/>
              </w:rPr>
            </w:r>
          </w:p>
        </w:tc>
      </w:tr>
    </w:tbl>
    <w:p w14:paraId="0000001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2"/>
        <w:tblW w:w="10155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815"/>
        <w:gridCol w:w="8340"/>
        <w:tblGridChange w:id="0">
          <w:tblGrid>
            <w:gridCol w:w="1815"/>
            <w:gridCol w:w="8340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1E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000000"/>
                <w:sz w:val="17"/>
                <w:rtl w:val="0"/>
              </w:rPr>
              <w:t>Authors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1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color w:val="233447"/>
                <w:sz w:val="17"/>
                <w:rtl w:val="0"/>
              </w:rPr>
              <w:t>Codex; MatBenchGuard project team</w:t>
            </w:r>
          </w:p>
        </w:tc>
      </w:tr>
      <w:tr>
        <w:trPr>
          <w:cantSplit w:val="1"/>
          <w:trHeight w:val="404.3103027343749" w:hRule="atLeast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0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Arial Unicode MS" w:cs="Arial Unicode MS" w:eastAsia="Arial Unicode MS" w:hAnsi="Arial Unicode MS"/>
                <w:b w:val="0"/>
                <w:bCs w:val="1"/>
                <w:color w:val="000000"/>
                <w:sz w:val="17"/>
                <w:rtl w:val="0"/>
              </w:rPr>
              <w:t>Reviewers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Independent Review Agent; materials-science reviewer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2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Arial Unicode MS" w:cs="Arial Unicode MS" w:eastAsia="Arial Unicode MS" w:hAnsi="Arial Unicode MS"/>
                <w:b w:val="0"/>
                <w:bCs w:val="1"/>
                <w:color w:val="000000"/>
                <w:sz w:val="17"/>
                <w:rtl w:val="0"/>
              </w:rPr>
              <w:t>Related docs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Authoring, Review, and Repair Skills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4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Arial Unicode MS" w:cs="Arial Unicode MS" w:eastAsia="Arial Unicode MS" w:hAnsi="Arial Unicode MS"/>
                <w:b w:val="0"/>
                <w:bCs w:val="1"/>
                <w:color w:val="000000"/>
                <w:sz w:val="17"/>
                <w:rtl w:val="0"/>
              </w:rPr>
              <w:t>Scope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PDF to paper-Gold-centered RESULT_ENHANCED Paper2Arm task.</w:t>
            </w:r>
          </w:p>
        </w:tc>
      </w:tr>
    </w:tbl>
    <w:p w14:paraId="00000026"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rPr>
          <w:rFonts w:ascii="Arial Unicode MS" w:cs="Arial Unicode MS" w:eastAsia="Arial Unicode MS" w:hAnsi="Arial Unicode MS"/>
          <w:color w:val="082a4a"/>
          <w:rtl w:val="0"/>
        </w:rPr>
        <w:t>1.  Abstract</w:t>
      </w:r>
    </w:p>
    <w:p w14:paraId="0000002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color w:val="233447"/>
          <w:rtl w:val="0"/>
        </w:rPr>
        <w:t>The system treats materials-science task authoring as an evidence-backed compilation pipeline. It freezes the PDF, uses UniParser to create paper/paper.md, builds a ledger for parameters, condition groups, Gold, and resources, and then enumerates several computational-science candidates. Only candidates that pass Q0, Gold applicability, resource closure, and affordable enhanced-checkpoint gates are compiled into Harbor packages.</w:t>
      </w:r>
    </w:p>
    <w:p w14:paraId="00000028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color w:val="233447"/>
          <w:rtl w:val="0"/>
        </w:rPr>
        <w:t>The core guarantee is prove authorability before generating the package. Success is not a green local checker; it is PASS + RESULT_ENHANCED from an independent materials-benchmark-review. If no candidate qualifies, the system fails closed as NO_ENHANCED_CANDIDATE instead of deferring defects to large-scale Repair.</w:t>
      </w:r>
    </w:p>
    <w:p w14:paraId="00000029">
      <w:pPr>
        <w:spacing w:after="0" w:line="120" w:lineRule="auto"/>
        <w:jc w:val="both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2A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2.  Goals and Non-Goals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B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Goals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C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Non-goals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Trace the paper question, method, parameters, Gold, and condition signature.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Do not invent unreported cutoff, mesh, timestep, model, or solver values.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Produce enhanced tasks with 60–80% Gold and 20–40% result checks.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Do not rerun DFT/MD/training or scan full large trajectories in the checker.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Express resources by stable filename and identity, independent of deployment paths.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Do not deploy resources to Bohrium/Playground or allocate Trisol IDs.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Publish only independently reviewed candidates; make failures replayable.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3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Do not create, inspect, run, hash, or cite solution/; do not use Repair as routine finishing.</w:t>
            </w:r>
          </w:p>
        </w:tc>
      </w:tr>
    </w:tbl>
    <w:p w14:paraId="00000035">
      <w:pPr>
        <w:pStyle w:val="Heading1"/>
        <w:spacing w:before="0" w:line="216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36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3.  Background and Problem Statement</w:t>
      </w:r>
    </w:p>
    <w:p w14:paraId="0000003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color w:val="233447"/>
          <w:rtl w:val="0"/>
        </w:rPr>
        <w:t>material_v2_question contains 1,878 packages across 134 themes; the reviewed_passed comparison set contains 1,029 packages. Structural conventions are strong: ten core files are universal, nine instruction sections appear in about 98–100% of passed packages, outputs are mainly CSV/JSON, and the base image is almost uniform. However, resource methods, target policies, scoring tiers, paths, and bundle mappings have substantial historical drift.</w:t>
      </w:r>
    </w:p>
    <w:p w14:paraId="00000038">
      <w:pPr>
        <w:spacing w:after="110" w:line="300" w:lineRule="auto"/>
        <w:jc w:val="both"/>
        <w:rPr>
          <w:rFonts w:ascii="Helvetica Neue" w:cs="Helvetica Neue" w:eastAsia="Helvetica Neue" w:hAnsi="Helvetica Neue"/>
          <w:color w:val="000000"/>
        </w:rPr>
      </w:pPr>
      <w:r>
        <w:rPr>
          <w:rFonts w:ascii="Arial Unicode MS" w:cs="Arial Unicode MS" w:eastAsia="Arial Unicode MS" w:hAnsi="Arial Unicode MS"/>
          <w:color w:val="233447"/>
          <w:rtl w:val="0"/>
        </w:rPr>
        <w:t>Among 1,860 legacy final decisions, prominent hard-failure signals included 546 CHECKER_CORE_TASK_UNASSESSED cases, 142 unavailable indispensable inputs, and 100 invalid scientific targets. Current v3 Review is Baseline-first, but the distribution still argues for Q0 and asset closure before authoring, Gold freeze before checker generation, and a real low-cost result checkpoint during candidate selection.</w:t>
      </w:r>
    </w:p>
    <w:p w14:paraId="00000039">
      <w:pPr>
        <w:pStyle w:val="Heading1"/>
        <w:keepNext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4.  Proposed Architecture</w:t>
      </w:r>
    </w:p>
    <w:p w14:paraId="0000003A">
      <w:pPr>
        <w:keepNext/>
        <w:spacing w:after="0" w:line="144" w:lineRule="auto"/>
        <w:rPr>
          <w:rFonts w:ascii="Helvetica Neue" w:cs="Helvetica Neue" w:eastAsia="Helvetica Neue" w:hAnsi="Helvetica Neue"/>
        </w:rPr>
      </w:pPr>
      <w:r>
        <w:rPr>
          <w:rFonts w:ascii="Arial Unicode MS" w:hAnsi="Arial Unicode MS" w:eastAsia="Arial Unicode MS" w:cs="Arial Unicode MS"/>
          <w:rtl w:val="0"/>
        </w:rPr>
        <w:t>The pipeline separates scientific evidence, candidate selection, package compilation, and independent acceptance.</w:t>
      </w:r>
    </w:p>
    <w:p w14:paraId="0000003B">
      <w:pPr>
        <w:jc w:val="center"/>
        <w:rPr>
          <w:rFonts w:ascii="Helvetica Neue" w:cs="Helvetica Neue" w:eastAsia="Helvetica Neue" w:hAnsi="Helvetica Neue"/>
        </w:rPr>
      </w:pPr>
      <w:r>
        <w:drawing>
          <wp:inline>
            <wp:extent cx="5989320" cy="3194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s_benchmark_authoring_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94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center"/>
        <w:rPr>
          <w:rFonts w:ascii="Helvetica Neue" w:cs="Helvetica Neue" w:eastAsia="Helvetica Neue" w:hAnsi="Helvetica Neue"/>
          <w:color w:val="082a4a"/>
        </w:rPr>
      </w:pPr>
      <w:r>
        <w:rPr>
          <w:rFonts w:ascii="Arial Unicode MS" w:cs="Arial Unicode MS" w:eastAsia="Arial Unicode MS" w:hAnsi="Arial Unicode MS"/>
          <w:color w:val="5A6470"/>
          <w:sz w:val="17"/>
          <w:rtl w:val="0"/>
        </w:rPr>
        <w:t>Figure 1. Evidence-backed Authoring compilation pipeline. Red is a fail-closed authoring exit; green accepts only independently reviewed enhanced candidates.</w:t>
      </w:r>
    </w:p>
    <w:p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>
          <w:rtl w:val="0"/>
        </w:rPr>
      </w:r>
    </w:p>
    <w:p w14:paraId="0000003E">
      <w:pPr>
        <w:pStyle w:val="Heading3"/>
        <w:spacing w:after="90" w:line="280" w:lineRule="auto"/>
        <w:rPr/>
      </w:pPr>
      <w:bookmarkStart w:colFirst="0" w:colLast="0" w:name="_heading=h.z8y8vnqzkka4" w:id="3"/>
      <w:bookmarkEnd w:id="3"/>
      <w:r>
        <w:rPr>
          <w:rFonts w:ascii="Arial Unicode MS" w:hAnsi="Arial Unicode MS" w:eastAsia="Arial Unicode MS" w:cs="Arial Unicode MS"/>
          <w:rtl w:val="0"/>
        </w:rPr>
        <w:t>Core components</w:t>
      </w:r>
    </w:p>
    <w:p w14:paraId="0000003F">
      <w:pPr>
        <w:spacing w:after="0" w:before="20" w:line="240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4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268"/>
        <w:gridCol w:w="3164"/>
        <w:gridCol w:w="2374"/>
        <w:gridCol w:w="2634"/>
        <w:tblGridChange w:id="0">
          <w:tblGrid>
            <w:gridCol w:w="2268"/>
            <w:gridCol w:w="3164"/>
            <w:gridCol w:w="2374"/>
            <w:gridCol w:w="26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0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Component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1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Responsibility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2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Primary storage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3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Failure behavior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Source Freezer + UniParser Adapter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Freeze PDF hash; choose digital/OCR flags; create paper.md; record token and parse quality.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processing/source + authoring_record.json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BLOCKED_SOURCE_PARSE if load-bearing equations, tables, or captions are missing.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Evidence Mapper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Extract system, method, four parameter classes, condition groups, Gold candidates, resources, and workflow edges.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external authoring_record.json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Do not enter candidate selection while a core claim lacks a locator.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Candidate Gate &amp; Selector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Enumerate at least three candidates when possible; gate lexicographically on Q0, Gold, resources, workflow, and checkpoint.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candidate_records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4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NO_ENHANCED_CANDIDATE if all fail; emit no weak package.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Package + Gold/Checker Compiler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Write instruction first, synchronize JSON/TOML/tests, and freeze Gold, tolerance, weights, and hidden references.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processing/candidate + evidence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Return to evidence mapping on condition mismatch, path coupling, or guessed values.</w:t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4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Validators + Independent Review Bridge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5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Run schema, probe, and cost gates; use independent Review to decide publishability.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6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validation logs + independent_review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57">
            <w:pPr>
              <w:spacing w:after="25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Local pass is not scientific approval; Review failure returns to Authoring.</w:t>
            </w:r>
          </w:p>
        </w:tc>
      </w:tr>
    </w:tbl>
    <w:p w14:paraId="00000058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59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5A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5.  Request Lifecycle</w:t>
      </w:r>
    </w:p>
    <w:p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1. Accept the PDF, stable paper_id, task name, and optional resources; create an external processing workspace.</w:t>
      </w:r>
    </w:p>
    <w:p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2. Compute PDF SHA-256; use UniParser digital or OCR mode; inspect equations, tables, captions, and units.</w:t>
      </w:r>
    </w:p>
    <w:p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3. Build the paper evidence map; classify parameters as PAPER_FIXED, SOLVER_SEARCHABLE, TARGET_DEFINING, or INDISPENSABLE_ASSET.</w:t>
      </w:r>
    </w:p>
    <w:p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4. Enumerate candidates and run Q0 first; bind each to condition groups, Gold, resources, workflow, and checkpoint.</w:t>
      </w:r>
    </w:p>
    <w:p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5. Select only an enhanced-feasible candidate; write a self-contained instruction, then derive steps/manifest/resources/task.</w:t>
      </w:r>
    </w:p>
    <w:p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6. Freeze Gold and tolerance; generate a 60–80% Gold plus 20–40% result-check checker; run Baseline, risk-matched, and real-scale cost probes.</w:t>
      </w:r>
    </w:p>
    <w:p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7. Run authoring/package/Harbor static validation and independent Review; publish only PASS + RESULT_ENHANCED.</w:t>
      </w:r>
    </w:p>
    <w:p w14:paraId="00000062">
      <w:pPr>
        <w:pStyle w:val="Heading1"/>
        <w:spacing w:before="0" w:line="168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63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6.  API and Data Contracts</w:t>
      </w:r>
    </w:p>
    <w:p w14:paraId="00000064">
      <w:pPr>
        <w:pStyle w:val="Heading3"/>
        <w:spacing w:after="90" w:line="280" w:lineRule="auto"/>
        <w:rPr/>
      </w:pPr>
      <w:bookmarkStart w:colFirst="0" w:colLast="0" w:name="_heading=h.tw1sfexklg0y" w:id="4"/>
      <w:bookmarkEnd w:id="4"/>
      <w:r>
        <w:rPr>
          <w:rFonts w:ascii="Arial Unicode MS" w:hAnsi="Arial Unicode MS" w:eastAsia="Arial Unicode MS" w:cs="Arial Unicode MS"/>
          <w:rtl w:val="0"/>
        </w:rPr>
        <w:t>Primary data contract: authoring_record.json</w:t>
      </w:r>
    </w:p>
    <w:p w14:paraId="00000065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6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Field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7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Type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8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Required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9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Description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source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object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PDF path/hash, UniParser token/flags, and paper.md path; never the API key.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parse_quality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6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object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Text/equation/table/caption completeness and blockers.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candidate_records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array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Q0, Gold, resources, checkpoints, and SELECTED/REJECTED decision for each candidate.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parameter_records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array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Four parameter classes plus three unique-value booleans that expose hidden fixation.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condition_group_records + gold_records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arrays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Complete signatures, target mapping, policy, applicability, and provenance.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enhancement + probe_records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7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objects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Gold/result weights, result checks, five Baseline probes, and at least one enhanced probe.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checker_cost_record + independent_review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objects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8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rFonts w:ascii="Arial Unicode MS" w:hAnsi="Arial Unicode MS"/>
                <w:sz w:val="17"/>
              </w:rPr>
              <w:t>Real-scale cost and final verdict/quality_tier/publishable; validator runs the complete materials-core-review/3.3 artifact and package-aware consistency checks.</w:t>
            </w:r>
          </w:p>
        </w:tc>
      </w:tr>
    </w:tbl>
    <w:p w14:paraId="00000086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p w14:paraId="00000087">
      <w:pPr>
        <w:pStyle w:val="Heading3"/>
        <w:spacing w:after="90" w:line="280" w:lineRule="auto"/>
        <w:rPr/>
      </w:pPr>
      <w:bookmarkStart w:colFirst="0" w:colLast="0" w:name="_heading=h.379jmrhyew9b" w:id="5"/>
      <w:bookmarkEnd w:id="5"/>
      <w:r>
        <w:rPr>
          <w:rFonts w:ascii="Arial Unicode MS" w:hAnsi="Arial Unicode MS" w:eastAsia="Arial Unicode MS" w:cs="Arial Unicode MS"/>
          <w:rtl w:val="0"/>
        </w:rPr>
        <w:t>Contract guarantees</w:t>
      </w:r>
    </w:p>
    <w:p w14:paraId="00000088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t>The authoring record is the single external source of truth for authoring decisions; the Harbor candidate stores only solver/reviewer package files. Publish validation runs the complete materials-core-review/3.3 validator and its package-aware tier, weight, and tolerance checks; legacy lowercase scoring_tier cannot bypass this gate.</w:t>
      </w:r>
    </w:p>
    <w:p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• instruction.md precedes all derived views; tests cannot add public requirements.</w:t>
      </w:r>
    </w:p>
    <w:p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• Every target, condition, resource, workflow, and output ID is unique and closed; resource records, resources.json, mapping types, bundled filenames, and files must agree.</w:t>
      </w:r>
    </w:p>
    <w:p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• Bundled authoring files live at resources/&lt;filename&gt;; instruction uses filename only; deployment locator is late-bound. Output paths are canonical below /app/outputs; paper_id cannot be a path or the reserved solution name.</w:t>
      </w:r>
    </w:p>
    <w:p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• Source hash, parse flags, Gold provenance, tolerance boundary, and the complete external Review artifact support audit and replay; four-field Review stubs are rejected.</w:t>
      </w:r>
    </w:p>
    <w:p w14:paraId="0000008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color w:val="233447"/>
          <w:rtl w:val="0"/>
        </w:rPr>
        <w:t>Schema and implementation:</w:t>
      </w:r>
    </w:p>
    <w:p w14:paraId="0000008E">
      <w:pPr>
        <w:spacing w:after="110" w:line="300" w:lineRule="auto"/>
        <w:rPr>
          <w:rFonts w:ascii="Helvetica Neue" w:cs="Helvetica Neue" w:eastAsia="Helvetica Neue" w:hAnsi="Helvetica Neue"/>
        </w:rPr>
      </w:pPr>
      <w:r>
        <w:t>.cursor/skills/materials-benchmark-authoring/: assets/authoring_record_template.json and scripts/validate_authoring_record.py.</w:t>
      </w:r>
    </w:p>
    <w:p w14:paraId="0000008F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90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7.  Consistency, Idempotency, and Replay</w:t>
      </w:r>
    </w:p>
    <w:p w14:paraId="00000091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92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color w:val="233447"/>
          <w:rtl w:val="0"/>
        </w:rPr>
        <w:t>Concurrent work is isolated by authoring_id; the design adds no global lock or dispatcher. Human prompts coordinate publishing and corpus_review_tracking.json updates. Source PDF, evidence, and candidate are never silently overwritten to manufacture a latest version.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3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Scenario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4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Expected behavior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5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Reasoning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Same PDF submitted again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Reuse a complete parse for the same hash; issue a new authoring_id for a different hash.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Prevents stale paper.md from being paired with a new PDF.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Parse, Gold, or resource write fails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Emit no publish candidate; record blocker and last successful stage.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Fail closed so partial evidence is never treated as complete.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Checker probe, cost, or Review fails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Keep candidate and evidence; revise from the corresponding upstream layer; do not publish.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Keeps the repair loop inside the authoring workspace.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9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Rules or Harbor schema change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Capture Skill/Review versions; rerun static validation and independent Review.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Historical PASS does not automatically remain publishable.</w:t>
            </w:r>
          </w:p>
        </w:tc>
      </w:tr>
    </w:tbl>
    <w:p w14:paraId="000000A2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A3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8.  Security and Privacy Considerations</w:t>
      </w:r>
    </w:p>
    <w:p w14:paraId="000000A4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• Read UNIPARSER_API_KEY from the environment only; never store it in the Skill, record, logs, or package.</w:t>
      </w:r>
    </w:p>
    <w:p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• Do not record Authorization headers, pre-signed URLs, or reusable credentials; retain only task token and non-sensitive flags.</w:t>
      </w:r>
    </w:p>
    <w:p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• Paper PDF, parsed Markdown, hidden Gold, and references may have licensing constraints; check access, distribution, and retention separately.</w:t>
      </w:r>
    </w:p>
    <w:p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• Hidden Gold, exact tolerances, and checker implementation stay out of instruction; submission requirements remain fully public.</w:t>
      </w:r>
    </w:p>
    <w:p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• Any solution path component is excluded recursively from Authoring, Review, and Repair; Harbor scaffolding must use --no-solution.</w:t>
      </w:r>
    </w:p>
    <w:p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AC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9.  Operational Readiness</w:t>
      </w:r>
    </w:p>
    <w:tbl>
      <w:tblPr>
        <w:tblStyle w:val="Table7"/>
        <w:tblW w:w="1044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2268"/>
        <w:gridCol w:w="3521"/>
        <w:gridCol w:w="2306"/>
        <w:gridCol w:w="2345"/>
        <w:tblGridChange w:id="0">
          <w:tblGrid>
            <w:gridCol w:w="2268"/>
            <w:gridCol w:w="3521"/>
            <w:gridCol w:w="2306"/>
            <w:gridCol w:w="23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D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Signal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E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SLO or alert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AF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Owner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0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szCs w:val="16"/>
                <w:rtl w:val="0"/>
              </w:rPr>
              <w:t>Launch gate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Review first-pass enhanced rate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Pilot target at least 80%; every failure has a cited gate and evidence.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Authoring + independent Review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4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szCs w:val="16"/>
                <w:rtl w:val="0"/>
              </w:rP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Gold/condition/resource closure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100% closed at review-ready; any dangling ID blocks.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Authoring validator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8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szCs w:val="16"/>
                <w:rtl w:val="0"/>
              </w:rP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Checker correctness probes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Five Baseline plus at least one enhanced probe pass; retain per-component reward.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Checker author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C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szCs w:val="16"/>
                <w:rtl w:val="0"/>
              </w:rP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Checker cost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At most 32 CPU or 1 H100 and 600 s; real-scale; no primary recomputation.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B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Review operational gate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0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szCs w:val="16"/>
                <w:rtl w:val="0"/>
              </w:rP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UniParser quality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Load-bearing text/equation/table/caption all PASS; otherwise reparse or block.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Source/parse owner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4">
            <w:pPr>
              <w:spacing w:after="25" w:before="20" w:line="285" w:lineRule="auto"/>
              <w:rPr>
                <w:rFonts w:ascii="Helvetica Neue" w:cs="Helvetica Neue" w:eastAsia="Helvetica Neue" w:hAnsi="Helvetica Neue"/>
                <w:sz w:val="16"/>
                <w:szCs w:val="16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szCs w:val="16"/>
                <w:rtl w:val="0"/>
              </w:rPr>
              <w:t>Required</w:t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EF4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082a4a"/>
                <w:sz w:val="17"/>
                <w:rtl w:val="0"/>
              </w:rPr>
            </w:r>
          </w:p>
        </w:tc>
      </w:tr>
    </w:tbl>
    <w:p w14:paraId="000000C9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CA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10.  Alternatives Considered</w:t>
      </w:r>
    </w:p>
    <w:p w14:paraId="000000CB">
      <w:pPr>
        <w:spacing w:after="0" w:line="14.399999999999999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CC">
      <w:pPr>
        <w:spacing w:after="0" w:line="192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8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03"/>
        <w:gridCol w:w="3313"/>
        <w:gridCol w:w="3824"/>
        <w:tblGridChange w:id="0">
          <w:tblGrid>
            <w:gridCol w:w="3303"/>
            <w:gridCol w:w="3313"/>
            <w:gridCol w:w="382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D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Alternative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E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Why it was considered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CF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Why it was not selected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One-shot LLM: PDF to full package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Fast and low-call-count.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Gold, conditions, resources, and checker are generated together, so errors can self-certify and are hard to localize.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Author Baseline, then route everything to Repair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4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Reuses existing Repair capability.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Contradicts the goal of reducing Repair and exposes defects only after package generation.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6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Hard-code /app/resources paths in instruction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7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Direct in-container convention.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Couples the scientific prompt to Playground, Bohrium, and local mount details.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Rerun the full primary computation in checker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Appears hardest to game.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D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Exceeds cost budgets; prefer result invariants and offline references over duplicate solving.</w:t>
            </w:r>
          </w:p>
        </w:tc>
      </w:tr>
    </w:tbl>
    <w:p w14:paraId="000000DC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DD">
      <w:pPr>
        <w:pStyle w:val="Heading1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11.  Open Questions</w:t>
      </w:r>
    </w:p>
    <w:p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360" w:right="0" w:hanging="360"/>
        <w:jc w:val="left"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233447"/>
          <w:sz w:val="20"/>
          <w:szCs w:val="20"/>
          <w:u w:val="none"/>
          <w:shd w:fill="auto" w:val="clear"/>
          <w:vertAlign w:val="baseline"/>
          <w:rtl w:val="0"/>
        </w:rPr>
        <w:t>1. Should new tasks publish into material_v3_question or a new authoring-generated corpus? Recommendation: keep them in independent processing until a human decides.</w:t>
      </w:r>
    </w:p>
    <w:p>
      <w:pPr>
        <w:spacing w:after="20"/>
      </w:pPr>
    </w:p>
    <w:p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360" w:right="0" w:hanging="360"/>
        <w:jc w:val="left"/>
        <w:rPr>
          <w:rFonts w:ascii="Helvetica Neue" w:cs="Helvetica Neue" w:eastAsia="Helvetica Neue" w:hAnsi="Helvetica Neue"/>
        </w:rPr>
      </w:pPr>
      <w:r>
        <w:rPr>
          <w:rFonts w:ascii="Arial Unicode MS" w:hAnsi="Arial Unicode MS"/>
          <w:sz w:val="19"/>
        </w:rPr>
        <w:t>2. Who owns resource_unique_key to Playground/Trisol ID deployment mapping? Recommendation: authors declare stable identity; deployers add locator.</w:t>
      </w:r>
    </w:p>
    <w:p>
      <w:pPr>
        <w:spacing w:after="20"/>
      </w:pPr>
    </w:p>
    <w:p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360" w:right="0" w:hanging="360"/>
        <w:jc w:val="left"/>
        <w:rPr>
          <w:rFonts w:ascii="Helvetica Neue" w:cs="Helvetica Neue" w:eastAsia="Helvetica Neue" w:hAnsi="Helvetica Neue"/>
        </w:rPr>
      </w:pPr>
      <w:r>
        <w:rPr>
          <w:rFonts w:ascii="Arial Unicode MS" w:hAnsi="Arial Unicode MS"/>
          <w:sz w:val="19"/>
        </w:rPr>
        <w:t>3. When should the Paper2Arm schema 1.3 profile migrate to Harbor 1.4? Recommendation: retain the corpus profile and use harbor check for drift detection.</w:t>
      </w:r>
    </w:p>
    <w:p>
      <w:pPr>
        <w:spacing w:after="20"/>
      </w:pPr>
    </w:p>
    <w:p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360" w:right="0" w:hanging="360"/>
        <w:jc w:val="left"/>
        <w:rPr>
          <w:rFonts w:ascii="Helvetica Neue" w:cs="Helvetica Neue" w:eastAsia="Helvetica Neue" w:hAnsi="Helvetica Neue"/>
        </w:rPr>
      </w:pPr>
      <w:r>
        <w:rPr>
          <w:rFonts w:ascii="Arial Unicode MS" w:hAnsi="Arial Unicode MS"/>
          <w:sz w:val="19"/>
        </w:rPr>
        <w:t>4. Figure-digitized Gold needs a separate policy for allowed tools, dual review, and uncertainty recording; until then unauditable figure values cannot be PAPER_DIRECT.</w:t>
      </w:r>
    </w:p>
    <w:p w14:paraId="000000E2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E3">
      <w:pPr>
        <w:pStyle w:val="Heading1"/>
        <w:pageBreakBefore/>
        <w:rPr>
          <w:rFonts w:ascii="Helvetica Neue" w:cs="Helvetica Neue" w:eastAsia="Helvetica Neue" w:hAnsi="Helvetica Neue"/>
        </w:rPr>
      </w:pPr>
      <w:r>
        <w:rPr>
          <w:rFonts w:ascii="Arial Unicode MS" w:cs="Arial Unicode MS" w:eastAsia="Arial Unicode MS" w:hAnsi="Arial Unicode MS"/>
          <w:rtl w:val="0"/>
        </w:rPr>
        <w:t>12.  Decision and Next Steps</w:t>
      </w:r>
    </w:p>
    <w:p w14:paraId="000000E4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Adopt the evidence-backed compiler architecture and use `.cursor/skills/materials-benchmark-authoring/` as the M1 implementation. The initial version includes the workflow, references, solution-free template, authoring record, package validator, and positive/negative contract tests. Publish requires a complete Review 3.3 artifact, package-aware consistency, canonical output paths, closed resources, and a checker within the CPU/single-H100 budget. The next priority is forward-testing real papers across task types, measuring first-pass Review performance, and tightening gates exposed by failures.</w:t>
      </w:r>
    </w:p>
    <w:tbl>
      <w:tblPr>
        <w:tblStyle w:val="Table9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954"/>
        <w:gridCol w:w="3713"/>
        <w:gridCol w:w="3773"/>
        <w:tblGridChange w:id="0">
          <w:tblGrid>
            <w:gridCol w:w="2954"/>
            <w:gridCol w:w="3713"/>
            <w:gridCol w:w="377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5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Milestone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6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Deliverable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7">
            <w:pPr>
              <w:spacing w:after="0" w:before="20" w:line="26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7"/>
                <w:rtl w:val="0"/>
              </w:rPr>
              <w:t>Exit criteria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8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M1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9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Authoring Skill, schemas, solution-free scaffold, static validators, and System Design.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A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Skill validator plus negative draft and positive review-ready smoke tests pass.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B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M2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C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Forward-test 3–5 real PDFs across DFT, MD, and model fitting.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D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Each evidence ledger closes; independent Review failures are reproducible and produce gate revisions.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E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M3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E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Stabilize resource deployment mapping and independent Review handoff.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0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Filename-only instruction works locally and in Playground without prompt edits.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M4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2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Batch Authoring pilot and first-pass metrics dashboard.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F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Arial Unicode MS" w:cs="Arial Unicode MS" w:eastAsia="Arial Unicode MS" w:hAnsi="Arial Unicode MS"/>
                <w:b w:val="0"/>
                <w:color w:val="233447"/>
                <w:sz w:val="17"/>
                <w:rtl w:val="0"/>
              </w:rPr>
              <w:t>Enhanced first-pass target is met; Repair demand falls without Gold or resource regressions.</w:t>
            </w:r>
          </w:p>
        </w:tc>
      </w:tr>
    </w:tbl>
    <w:p w14:paraId="000000F4">
      <w:pPr>
        <w:spacing w:after="120" w:line="269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rPr>
        <w:rFonts w:ascii="Arial Unicode MS" w:cs="Arial Unicode MS" w:eastAsia="Arial Unicode MS" w:hAnsi="Arial Unicode MS"/>
        <w:b w:val="0"/>
        <w:bCs w:val="0"/>
        <w:i w:val="0"/>
        <w:iCs w:val="0"/>
        <w:smallCaps w:val="0"/>
        <w:strike w:val="0"/>
        <w:color w:val="5A6470"/>
        <w:sz w:val="16"/>
        <w:szCs w:val="16"/>
        <w:u w:val="none"/>
        <w:shd w:fill="auto" w:val="clear"/>
        <w:vertAlign w:val="baseline"/>
        <w:rtl w:val="0"/>
      </w:rPr>
      <w:t>MatBenchGuard | Materials Benchmark Authoring System Design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Materials Benchmark Authoring System Design</dc:title>
  <cp:lastModifiedBy>python-docx</cp:lastModifiedBy>
  <cp:revision>1</cp:revision>
  <dcterms:modified xsi:type="dcterms:W3CDTF">2026-08-03T12:42:43Z</dcterms:modified>
  <dc:subject>PDF to paper-grounded enhanced Harbor task authoring</dc:subject>
  <dc:creator>Codex and MatBenchGuard</dc:creator>
  <cp:keywords>materials science, Harbor, Paper2Arm, UniParser, Gold, benchmark authoring</cp:keywords>
</cp:coreProperties>
</file>