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iti SC" w:cs="Arial Unicode MS" w:eastAsia="Heiti SC" w:hAnsi="Heiti SC"/>
          <w:b w:val="0"/>
          <w:bCs w:val="0"/>
          <w:color w:val="5E7B92"/>
          <w:sz w:val="50"/>
          <w:szCs w:val="72"/>
          <w:rtl w:val="0"/>
        </w:rPr>
        <w:t>材料基准题目编写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iti SC" w:cs="Arial Unicode MS" w:eastAsia="Heiti SC" w:hAnsi="Heiti SC"/>
          <w:b/>
          <w:color w:val="0B2948"/>
          <w:sz w:val="56"/>
          <w:szCs w:val="72"/>
          <w:rtl w:val="0"/>
        </w:rPr>
        <w:t>从论文PDF到通过独立复审的增强型Harbor题包</w:t>
      </w:r>
    </w:p>
    <w:p w14:paraId="0000000B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0C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0D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0E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0F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10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11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12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13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p w14:paraId="00000014">
      <w:pPr>
        <w:spacing w:before="0" w:after="0" w:line="20" w:lineRule="exact"/>
        <w:rPr>
          <w:rFonts w:ascii="Helvetica Neue" w:cs="Helvetica Neue" w:eastAsia="Helvetica Neue" w:hAnsi="Helvetica Neue"/>
        </w:rPr>
      </w:pPr>
      <w:r>
        <w:rPr>
          <w:sz w:val="2"/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Fonts w:ascii="Heiti SC" w:hAnsi="Heiti SC" w:eastAsia="Heiti SC" w:cs="Arial Unicode MS"/>
                <w:b/>
                <w:sz w:val="16"/>
                <w:rtl w:val="0"/>
              </w:rPr>
              <w:t>状态</w:t>
              <w:br/>
              <w:t>提案</w:t>
              <w:br/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rial Unicode MS" w:cs="Arial Unicode MS" w:eastAsia="Arial Unicode MS" w:hAnsi="Arial Unicode MS"/>
                <w:color w:val="233447"/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hAnsi="Heiti SC" w:eastAsia="Heiti SC"/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Fonts w:ascii="Heiti SC" w:hAnsi="Heiti SC" w:eastAsia="Heiti SC" w:cs="Arial Unicode MS"/>
                <w:b/>
                <w:sz w:val="16"/>
                <w:rtl w:val="0"/>
              </w:rPr>
              <w:t>负责人</w:t>
              <w:br/>
              <w:t>MatBenchGuard / qa-review</w:t>
              <w:br/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rial Unicode MS" w:cs="Arial Unicode MS" w:eastAsia="Arial Unicode MS" w:hAnsi="Arial Unicode MS"/>
                <w:color w:val="233447"/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hAnsi="Heiti SC" w:eastAsia="Heiti SC"/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Fonts w:ascii="Heiti SC" w:hAnsi="Heiti SC" w:eastAsia="Heiti SC" w:cs="Arial Unicode MS"/>
                <w:b/>
                <w:sz w:val="16"/>
                <w:rtl w:val="0"/>
              </w:rPr>
              <w:t>最后更新</w:t>
              <w:br/>
              <w:t>2026年8月3日</w:t>
              <w:br/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Arial Unicode MS" w:cs="Arial Unicode MS" w:eastAsia="Arial Unicode MS" w:hAnsi="Arial Unicode MS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000000"/>
                <w:sz w:val="17"/>
                <w:rtl w:val="0"/>
              </w:rPr>
              <w:t>编写者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color w:val="233447"/>
                <w:sz w:val="17"/>
                <w:rtl w:val="0"/>
              </w:rPr>
              <w:t>Codex；MatBenchGuard项目组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Arial Unicode MS" w:eastAsia="Heiti SC" w:hAnsi="Heiti SC"/>
                <w:b w:val="0"/>
                <w:bCs w:val="1"/>
                <w:color w:val="000000"/>
                <w:sz w:val="17"/>
                <w:rtl w:val="0"/>
              </w:rPr>
              <w:t>复审者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独立Review Agent；材料科学复审者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Arial Unicode MS" w:eastAsia="Heiti SC" w:hAnsi="Heiti SC"/>
                <w:b w:val="0"/>
                <w:bCs w:val="1"/>
                <w:color w:val="000000"/>
                <w:sz w:val="17"/>
                <w:rtl w:val="0"/>
              </w:rPr>
              <w:t>相关文档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Authoring、Review与Repair Skills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iti SC" w:cs="Arial Unicode MS" w:eastAsia="Heiti SC" w:hAnsi="Heiti SC"/>
                <w:b w:val="0"/>
                <w:bCs w:val="1"/>
                <w:color w:val="000000"/>
                <w:sz w:val="17"/>
                <w:rtl w:val="0"/>
              </w:rPr>
              <w:t>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从论文PDF生成以paper Gold为中心的RESULT_ENHANCED Paper2Arm题包。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iti SC" w:cs="Arial Unicode MS" w:eastAsia="Heiti SC" w:hAnsi="Heiti SC"/>
          <w:color w:val="082a4a"/>
          <w:rtl w:val="0"/>
        </w:rPr>
        <w:t>1.  摘要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color w:val="233447"/>
          <w:rtl w:val="0"/>
        </w:rPr>
        <w:t>本系统把材料科学题包编写视为一条有证据约束的编译流程。流程先冻结论文PDF，使用UniParser生成paper/paper.md，再建立参数、条件组、Gold和资源台账，随后枚举多个计算科学候选问题。只有通过Q0准入、Gold适用性、资源闭环和轻量增强检查点门禁的候选，才会被编译成Harbor题包。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color w:val="233447"/>
          <w:rtl w:val="0"/>
        </w:rPr>
        <w:t>核心保证是“先证明可编写，再生成题包”。成功标准不是本地checker变绿，而是独立materials-benchmark-review给出PASS＋RESULT_ENHANCED。若没有候选满足全部门槛，流程以NO_ENHANCED_CANDIDATE封闭失败，不把缺陷推迟给后续大规模Repair。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2. 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目标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非目标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追踪论文问题、方法、参数、Gold和完整条件签名。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不得发明论文未报告的cutoff、mesh、timestep、model或solver数值。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生成Gold占60%—80%、结果检查占20%—40%的增强题包。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checker不得重跑DFT/MD/training，也不得扫描完整大体积trajectory。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以稳定文件名和科学身份表达资源，不绑定部署路径。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不负责向Bohrium/Playground部署资源，也不分配Trisol ID。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只发布经过独立复审的候选，并使失败可重放。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不得创建、检查、运行、哈希或引用solution/；不得把Repair当作日常收尾流程。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3.  背景与问题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color w:val="233447"/>
          <w:rtl w:val="0"/>
        </w:rPr>
        <w:t>material_v2_question包含1,878个题包，覆盖134个主题；reviewed_passed对照集包含1,029个题包。结构约定较强：10个核心文件在全部题包中出现，9个instruction章节在约98%—100%的通过题包中出现，输出主要为CSV/JSON，基础镜像也几乎统一。但资源访问方式、target policy、scoring tier、路径和bundle mapping存在明显历史漂移。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iti SC" w:cs="Arial Unicode MS" w:eastAsia="Heiti SC" w:hAnsi="Heiti SC"/>
          <w:color w:val="233447"/>
          <w:rtl w:val="0"/>
        </w:rPr>
        <w:t>在1,860条历史最终判定中，主要硬失败信号包括546例CHECKER_CORE_TASK_UNASSESSED、142例不可用的必要输入，以及100例无效科学目标。当前v3 Review采用Baseline-first，但这些分布仍说明：编写前必须先做Q0和资产闭环，生成checker前必须冻结Gold，选择候选时还要确认至少存在一个真实、低成本的结果检查点。</w:t>
      </w:r>
    </w:p>
    <w:p w14:paraId="00000039">
      <w:pPr>
        <w:pStyle w:val="Heading1"/>
        <w:keepNext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4.  系统架构</w:t>
      </w:r>
    </w:p>
    <w:p w14:paraId="0000003A">
      <w:pPr>
        <w:keepNext/>
        <w:spacing w:after="0" w:line="144" w:lineRule="auto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 w:cs="Arial Unicode MS"/>
          <w:rtl w:val="0"/>
        </w:rPr>
        <w:t>流程把科学证据、候选选择、题包编译和独立验收分成四个可追踪层次。</w:t>
      </w:r>
    </w:p>
    <w:p w14:paraId="0000003B">
      <w:pPr>
        <w:jc w:val="center"/>
        <w:rPr>
          <w:rFonts w:ascii="Helvetica Neue" w:cs="Helvetica Neue" w:eastAsia="Helvetica Neue" w:hAnsi="Helvetica Neue"/>
        </w:rPr>
      </w:pPr>
      <w:r>
        <w:drawing>
          <wp:inline>
            <wp:extent cx="5989320" cy="3194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s_benchmark_authoring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center"/>
        <w:rPr>
          <w:rFonts w:ascii="Helvetica Neue" w:cs="Helvetica Neue" w:eastAsia="Helvetica Neue" w:hAnsi="Helvetica Neue"/>
          <w:color w:val="082a4a"/>
        </w:rPr>
      </w:pPr>
      <w:r>
        <w:rPr>
          <w:rFonts w:ascii="Heiti SC" w:cs="Arial Unicode MS" w:eastAsia="Heiti SC" w:hAnsi="Heiti SC"/>
          <w:color w:val="5A6470"/>
          <w:sz w:val="17"/>
          <w:rtl w:val="0"/>
        </w:rPr>
        <w:t>图1. 有证据约束的Authoring编译流程。红色表示封闭失败出口，绿色表示仅发布通过独立复审的增强型候选；框内路径、状态枚举和工具名保留英文，以便直接对应实现。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Fonts w:ascii="Heiti SC" w:hAnsi="Heiti SC" w:eastAsia="Heiti SC" w:cs="Arial Unicode MS"/>
          <w:rtl w:val="0"/>
        </w:rPr>
        <w:t>核心组件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组件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职责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主要存储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失败行为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源文件冻结器＋UniParser适配器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冻结PDF哈希；选择数字文本/OCR参数；生成paper.md；记录token和解析质量。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processing/source＋authoring_record.json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关键公式、表格或图注缺失时标记BLOCKED_SOURCE_PARSE。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证据映射器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提取体系、方法、四类参数、条件组、Gold候选、资源和Workflow边。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题包外authoring_record.json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核心主张缺少locator时不得进入候选选择。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候选门禁与选择器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论文允许时枚举至少3个候选；依次按Q0、Gold、资源、Workflow和checkpoint门禁。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candidate_records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全部失败时返回NO_ENHANCED_CANDIDATE，不输出弱题包。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题包＋Gold/Checker编译器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先写instruction，同步JSON/TOML/tests，再冻结Gold、容差、权重和隐藏reference。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processing/candidate＋evidence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条件错配、路径耦合或猜补数值时返回证据映射层。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校验器＋独立Review桥接器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运行schema、probe和cost门禁；由独立Review决定可发布性。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validation logs＋independent_review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本地通过不等于科学批准；Review失败返回Authoring。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5.  请求生命周期</w:t>
      </w:r>
    </w:p>
    <w:p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1. 接收论文PDF、稳定的paper_id、task name和可选资源，创建题包外的处理工作区。</w:t>
      </w:r>
    </w:p>
    <w:p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2. 计算PDF SHA-256；按文档类型选择UniParser数字文本或OCR模式；检查公式、表格、图注和单位。</w:t>
      </w:r>
    </w:p>
    <w:p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3. 建立论文证据图谱；把参数分类为PAPER_FIXED、SOLVER_SEARCHABLE、TARGET_DEFINING或INDISPENSABLE_ASSET。</w:t>
      </w:r>
    </w:p>
    <w:p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4. 枚举候选并首先执行Q0；把每个候选绑定到条件组、Gold、资源、Workflow和checkpoint。</w:t>
      </w:r>
    </w:p>
    <w:p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5. 只选择具备增强可行性的候选；先写自包含instruction，再派生steps/manifest/resources/task。</w:t>
      </w:r>
    </w:p>
    <w:p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6. 冻结Gold与容差；生成Gold占60%—80%、结果检查占20%—40%的checker；运行Baseline、风险匹配和真实规模成本探针。</w:t>
      </w:r>
    </w:p>
    <w:p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7. 运行Authoring、package和Harbor静态校验及独立Review；仅发布PASS＋RESULT_ENHANCED。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6.  API与数据合同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Fonts w:ascii="Heiti SC" w:hAnsi="Heiti SC" w:eastAsia="Heiti SC" w:cs="Arial Unicode MS"/>
          <w:rtl w:val="0"/>
        </w:rPr>
        <w:t>主数据合同：authoring_record.json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字段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类型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必需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说明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source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PDF路径/哈希、UniParser token/flags和paper.md路径；绝不记录API key。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parse_quality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文本、公式、表格、图注完整性及blocker。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candidate_records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array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每个候选的Q0、Gold、资源、checkpoint及SELECTED/REJECTED决定。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parameter_records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array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四类参数加3个唯一值布尔量，用于暴露隐藏固定。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condition_group_records＋gold_records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arrays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完整条件签名、target映射、policy、适用性和来源。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enhancement＋probe_records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objects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Gold/结果权重、结果检查、5个Baseline probe和至少1个enhanced probe。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checker_cost_record＋independent_review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objects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>
            <w:r>
              <w:rPr>
                <w:rFonts w:ascii="Heiti SC" w:hAnsi="Heiti SC" w:eastAsia="Heiti SC"/>
                <w:sz w:val="17"/>
              </w:rPr>
              <w:t>真实规模成本和最终verdict/quality_tier/publishable；validator运行完整materials-core-review/3.3 artifact和题包级一致性检查。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Fonts w:ascii="Heiti SC" w:hAnsi="Heiti SC" w:eastAsia="Heiti SC" w:cs="Arial Unicode MS"/>
          <w:rtl w:val="0"/>
        </w:rPr>
        <w:t>合同保证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Fonts w:ascii="Heiti SC" w:hAnsi="Heiti SC" w:eastAsia="Heiti SC"/>
        </w:rPr>
        <w:t>authoring_record.json是编写决策的题包外唯一事实源；Harbor候选只保存solver/reviewer可用的题包文件。发布校验会运行完整materials-core-review/3.3 validator及其题包级tier、权重和容差一致性检查；旧式小写scoring_tier不能绕过此门槛。</w:t>
      </w:r>
    </w:p>
    <w:p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• instruction.md先于所有派生视图；tests不得新增公开要求。</w:t>
      </w:r>
    </w:p>
    <w:p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</w:rPr>
        <w:t>• target、condition、resource、workflow和output ID必须唯一且闭环；resource_records、resources.json、mapping type、bundled filename和实际文件必须一致。</w:t>
      </w:r>
    </w:p>
    <w:p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</w:rPr>
        <w:t>• 编写期bundled文件位于resources/&lt;filename&gt;；instruction只写文件名，部署locator后绑定。输出必须是/app/outputs下的规范路径；paper_id不能是路径，也不能使用保留名solution。</w:t>
      </w:r>
    </w:p>
    <w:p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</w:rPr>
        <w:t>• 源文件哈希、解析参数、Gold来源、容差边界和完整的题包外Review artifact共同支持审计与重放；仅含4个字段的Review stub会被拒绝。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color w:val="233447"/>
          <w:rtl w:val="0"/>
        </w:rPr>
        <w:t>Schema与实现：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</w:rPr>
        <w:t>.cursor/skills/materials-benchmark-authoring/：assets/authoring_record_template.json与scripts/validate_authoring_record.py。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7.  一致性、幂等与重放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color w:val="233447"/>
          <w:rtl w:val="0"/>
        </w:rPr>
        <w:t>并行工作按authoring_id隔离；系统不新增全局锁或dispatcher。发布和corpus_review_tracking.json更新由人工prompt协调。源PDF、证据和候选不会被静默覆盖来伪造所谓“最新版本”。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情形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预期行为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原因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再次提交同一PDF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同一哈希复用完整解析；哈希不同则分配新的authoring_id。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防止旧paper.md与新PDF错误配对。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解析、Gold或资源写入失败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不输出可发布候选；记录blocker和最后成功阶段。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封闭失败，避免把部分证据当作完整证据。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checker probe、cost或Review失败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保留候选和证据；从对应上游层修订；不得发布。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修订循环留在Authoring工作区内。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规则或Harbor schema变化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记录Skill/Review版本；重新运行静态校验和独立Review。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历史PASS不会自动保持可发布。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8.  安全与隐私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• 只从环境读取UNIPARSER_API_KEY；不得写入Skill、记录、日志或题包。</w:t>
      </w:r>
    </w:p>
    <w:p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• 不记录Authorization header、预签名URL或可复用凭据；只保留任务token和非敏感解析参数。</w:t>
      </w:r>
    </w:p>
    <w:p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• 论文PDF、解析Markdown、隐藏Gold和参考文件可能受许可约束；访问、分发和保留政策需要分别确认。</w:t>
      </w:r>
    </w:p>
    <w:p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• 隐藏Gold、精确容差和checker实现不进入instruction；提交要求必须全部公开。</w:t>
      </w:r>
    </w:p>
    <w:p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</w:rPr>
        <w:t>• 任意层级的solution路径组件都从Authoring、Review和Repair中递归排除；Harbor脚手架必须使用--no-solution。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9.  运行准备度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信号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SLO或告警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负责人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szCs w:val="16"/>
                <w:rtl w:val="0"/>
              </w:rPr>
              <w:t>发布门槛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首次Review增强通过率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试点目标不低于80%；每个失败都带门禁和证据。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Authoring＋独立Review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szCs w:val="16"/>
                <w:rtl w:val="0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Gold/条件/资源闭环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review-ready阶段100%闭环；任意悬空ID都会阻塞。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Authoring validator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szCs w:val="16"/>
                <w:rtl w:val="0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Checker正确性探针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5个Baseline加至少1个enhanced probe通过；保留分项reward。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Checker作者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szCs w:val="16"/>
                <w:rtl w:val="0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Checker成本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最多32核CPU或单卡H100、600秒；真实规模；不重算主要科学过程。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Review运行门禁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szCs w:val="16"/>
                <w:rtl w:val="0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UniParser质量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关键文本/公式/表格/图注全部PASS；否则重解析或阻塞。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源文件/解析负责人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szCs w:val="16"/>
                <w:rtl w:val="0"/>
              </w:rPr>
              <w:t>必需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EF4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082a4a"/>
                <w:sz w:val="17"/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10.  备选方案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备选方案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考虑原因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未采用原因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单次LLM：从PDF直接生成完整题包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速度快、调用少。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Gold、条件、资源和checker同时生成，错误容易自证且难以定位。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先写Baseline，再把所有问题交给Repair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复用现有Repair能力。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违背减少Repair的目标，而且题包生成后才暴露缺陷。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在instruction中硬编码/app/resources路径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容器内约定直接。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把科学题面耦合到Playground、Bohrium和本地挂载细节。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在checker中重跑完整主要计算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表面上最难被绕过。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超出成本预算；应优先使用结果不变量和离线reference。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11.  待决问题</w:t>
      </w:r>
    </w:p>
    <w:p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1. 新题应发布到material_v3_question，还是单独的Authoring生成语料？建议：先保留在独立processing中，等待人工决定。</w:t>
      </w:r>
    </w:p>
    <w:p>
      <w:pPr>
        <w:spacing w:after="20"/>
      </w:pPr>
    </w:p>
    <w:p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  <w:sz w:val="19"/>
        </w:rPr>
        <w:t>2. 谁负责resource_unique_key到Playground/Trisol ID的部署映射？建议：作者声明稳定科学身份，部署者补locator。</w:t>
      </w:r>
    </w:p>
    <w:p>
      <w:pPr>
        <w:spacing w:after="20"/>
      </w:pPr>
    </w:p>
    <w:p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  <w:sz w:val="19"/>
        </w:rPr>
        <w:t>3. Paper2Arm schema 1.3何时迁移到Harbor 1.4？建议：当前保留语料profile，并用harbor check发现漂移。</w:t>
      </w:r>
    </w:p>
    <w:p>
      <w:pPr>
        <w:spacing w:after="20"/>
      </w:pPr>
    </w:p>
    <w:p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90" w:lineRule="auto"/>
        <w:ind w:left="360" w:right="0" w:hanging="360"/>
        <w:jc w:val="left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  <w:sz w:val="19"/>
        </w:rPr>
        <w:t>4. 从图中数字化得到的Gold需要单独规定允许工具、双人复审和不确定度记录；在此之前，无法审计的图中数值不能标为PAPER_DIRECT。</w:t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Heiti SC" w:cs="Arial Unicode MS" w:eastAsia="Heiti SC" w:hAnsi="Heiti SC"/>
          <w:rtl w:val="0"/>
        </w:rPr>
        <w:t>12.  决策与后续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iti SC" w:hAnsi="Heiti SC" w:eastAsia="Heiti SC"/>
        </w:rPr>
        <w:t>采用有证据约束的编译器架构，并以`.cursor/skills/materials-benchmark-authoring/`作为M1实现。当前版本包含Workflow、references、solution-free模板、authoring record、package validator和正反合同测试。发布必须具备完整Review 3.3 artifact、题包级一致性、规范输出路径、资源闭环，以及不超过32核CPU或单卡H100与600秒预算的checker。下一步是用不同任务类型的真实论文做前向测试，统计首次Review通过率，并针对实际失败继续收紧门槛。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里程碑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交付物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/>
                <w:bCs w:val="1"/>
                <w:color w:val="ffffff"/>
                <w:sz w:val="17"/>
                <w:rtl w:val="0"/>
              </w:rPr>
              <w:t>退出条件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Authoring Skill、schema、solution-free脚手架、静态validator和中文系统设计。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Skill validator及负向draft、正向review-ready合同测试通过。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使用DFT、MD和model fitting等3—5篇真实论文做前向测试。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每份证据台账闭环；独立Review失败可重放并推动门禁修订。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稳定资源部署映射和独立Review交接。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只写文件名的instruction无需改题面即可在本地和Playground工作。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批量Authoring试点和首次通过率指标面板。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iti SC" w:cs="Arial Unicode MS" w:eastAsia="Heiti SC" w:hAnsi="Heiti SC"/>
                <w:b w:val="0"/>
                <w:color w:val="233447"/>
                <w:sz w:val="17"/>
                <w:rtl w:val="0"/>
              </w:rPr>
              <w:t>达到增强首次通过率目标；Repair需求下降且不引入Gold或资源回归。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Heiti SC" w:cs="Arial Unicode MS" w:eastAsia="Heiti SC" w:hAnsi="Heiti SC"/>
        <w:b w:val="0"/>
        <w:bCs w:val="0"/>
        <w:i w:val="0"/>
        <w:iCs w:val="0"/>
        <w:smallCaps w:val="0"/>
        <w:strike w:val="0"/>
        <w:color w:val="5A6470"/>
        <w:sz w:val="16"/>
        <w:szCs w:val="16"/>
        <w:u w:val="none"/>
        <w:shd w:fill="auto" w:val="clear"/>
        <w:vertAlign w:val="baseline"/>
        <w:rtl w:val="0"/>
      </w:rPr>
      <w:t>MatBenchGuard｜材料基准题目编写系统设计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材料基准题目编写：从论文PDF到增强型Harbor题包</dc:title>
  <cp:lastModifiedBy>python-docx</cp:lastModifiedBy>
  <cp:revision>1</cp:revision>
  <dcterms:modified xsi:type="dcterms:W3CDTF">2026-08-03T12:42:43Z</dcterms:modified>
  <dc:subject>Authoring、Review与Repair的中文系统解读</dc:subject>
  <dc:creator>Codex and MatBenchGuard</dc:creator>
  <cp:keywords>materials science, Harbor, Paper2Arm, UniParser, Gold, benchmark authoring</cp:keywords>
</cp:coreProperties>
</file>