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63AED29">
      <w:pPr>
        <w:jc w:val="center"/>
        <w:rPr>
          <w:rFonts w:hint="eastAsia" w:ascii="楷体" w:hAnsi="楷体" w:eastAsia="楷体"/>
          <w:b/>
          <w:sz w:val="72"/>
          <w:szCs w:val="72"/>
        </w:rPr>
      </w:pPr>
      <w:bookmarkStart w:id="109" w:name="_GoBack"/>
      <w:bookmarkEnd w:id="109"/>
    </w:p>
    <w:p w14:paraId="5210FAD7">
      <w:pPr>
        <w:jc w:val="center"/>
        <w:rPr>
          <w:rFonts w:hint="eastAsia" w:ascii="楷体" w:hAnsi="楷体" w:eastAsia="楷体"/>
          <w:b/>
          <w:sz w:val="72"/>
          <w:szCs w:val="72"/>
        </w:rPr>
      </w:pPr>
    </w:p>
    <w:p w14:paraId="2F0A2819">
      <w:pPr>
        <w:spacing w:line="600" w:lineRule="exact"/>
        <w:jc w:val="center"/>
      </w:pPr>
      <w:bookmarkStart w:id="0" w:name="OLE_LINK5_ai"/>
      <w:bookmarkStart w:id="1" w:name="OLE_LINK6"/>
      <w:r>
        <w:rPr>
          <w:rFonts w:hint="eastAsia" w:ascii="楷体" w:hAnsi="楷体" w:eastAsia="楷体"/>
          <w:kern w:val="2"/>
          <w:sz w:val="32"/>
          <w:szCs w:val="32"/>
          <w:lang w:val="en-US" w:eastAsia="zh-CN" w:bidi="ar-SA"/>
        </w:rPr>
        <w:t>{{ owner }}位于</w:t>
      </w:r>
      <w:bookmarkEnd w:id="0"/>
    </w:p>
    <w:bookmarkEnd w:id="1"/>
    <w:p w14:paraId="13F19385">
      <w:pPr>
        <w:spacing w:line="600" w:lineRule="exact"/>
        <w:jc w:val="center"/>
      </w:pPr>
      <w:r>
        <w:rPr>
          <w:rFonts w:hint="eastAsia" w:ascii="楷体" w:hAnsi="楷体" w:eastAsia="楷体"/>
          <w:kern w:val="2"/>
          <w:sz w:val="32"/>
          <w:szCs w:val="32"/>
          <w:lang w:val="en-US" w:eastAsia="zh-CN" w:bidi="ar-SA"/>
        </w:rPr>
        <w:t>{{ address }}</w:t>
      </w:r>
      <w:bookmarkStart w:id="2" w:name="OLE_LINK6_ai"/>
      <w:bookmarkEnd w:id="2"/>
    </w:p>
    <w:p w14:paraId="016E5380">
      <w:pPr>
        <w:spacing w:line="600" w:lineRule="exact"/>
        <w:jc w:val="center"/>
      </w:pPr>
      <w:r>
        <w:rPr>
          <w:rFonts w:hint="eastAsia" w:ascii="楷体" w:hAnsi="楷体" w:eastAsia="楷体"/>
          <w:kern w:val="2"/>
          <w:sz w:val="32"/>
          <w:szCs w:val="32"/>
          <w:lang w:val="en-US" w:eastAsia="zh-CN" w:bidi="ar-SA"/>
        </w:rPr>
        <w:t>的土地租赁价值评估项目</w:t>
      </w:r>
    </w:p>
    <w:p w14:paraId="490DFAA2">
      <w:pPr>
        <w:spacing w:line="1000" w:lineRule="exact"/>
        <w:jc w:val="center"/>
        <w:rPr>
          <w:rFonts w:hint="eastAsia" w:ascii="楷体" w:hAnsi="楷体" w:eastAsia="楷体"/>
          <w:b/>
          <w:sz w:val="52"/>
          <w:szCs w:val="52"/>
        </w:rPr>
      </w:pPr>
      <w:r>
        <w:rPr>
          <w:rFonts w:hint="eastAsia" w:ascii="楷体" w:hAnsi="楷体" w:eastAsia="楷体"/>
          <w:b/>
          <w:sz w:val="52"/>
          <w:szCs w:val="52"/>
        </w:rPr>
        <w:t>房地产估价报告</w:t>
      </w:r>
    </w:p>
    <w:p w14:paraId="4C7BC9DA">
      <w:pPr>
        <w:spacing w:line="500" w:lineRule="exact"/>
        <w:jc w:val="center"/>
      </w:pPr>
      <w:r>
        <w:rPr>
          <w:rFonts w:hint="eastAsia" w:ascii="楷体" w:hAnsi="楷体" w:eastAsia="楷体"/>
          <w:b/>
          <w:kern w:val="2"/>
          <w:sz w:val="24"/>
          <w:szCs w:val="24"/>
          <w:lang w:val="en-US" w:eastAsia="zh-CN" w:bidi="ar-SA"/>
        </w:rPr>
        <w:t>{{ report_no }}</w:t>
      </w:r>
    </w:p>
    <w:p w14:paraId="4A7D2606">
      <w:pPr>
        <w:spacing w:line="500" w:lineRule="exact"/>
        <w:jc w:val="center"/>
        <w:rPr>
          <w:rFonts w:hint="eastAsia" w:ascii="楷体" w:hAnsi="楷体" w:eastAsia="楷体"/>
          <w:b/>
          <w:sz w:val="52"/>
          <w:szCs w:val="52"/>
        </w:rPr>
      </w:pPr>
    </w:p>
    <w:p w14:paraId="0E578791">
      <w:pPr>
        <w:spacing w:line="500" w:lineRule="exact"/>
        <w:jc w:val="center"/>
        <w:rPr>
          <w:rFonts w:hint="eastAsia" w:ascii="楷体" w:hAnsi="楷体" w:eastAsia="楷体"/>
          <w:b/>
          <w:sz w:val="52"/>
          <w:szCs w:val="52"/>
        </w:rPr>
      </w:pPr>
    </w:p>
    <w:p w14:paraId="1186A68A">
      <w:pPr>
        <w:tabs>
          <w:tab w:val="right" w:pos="9000"/>
        </w:tabs>
        <w:spacing w:line="1000" w:lineRule="exact"/>
        <w:rPr>
          <w:rFonts w:hint="eastAsia" w:ascii="楷体" w:hAnsi="楷体" w:eastAsia="楷体"/>
          <w:b/>
          <w:kern w:val="0"/>
          <w:sz w:val="32"/>
          <w:szCs w:val="32"/>
        </w:rPr>
      </w:pPr>
    </w:p>
    <w:p w14:paraId="0E6CC592">
      <w:pPr>
        <w:spacing w:line="1000" w:lineRule="exact"/>
      </w:pPr>
      <w:r>
        <w:rPr>
          <w:rFonts w:hint="eastAsia" w:ascii="楷体" w:hAnsi="楷体" w:eastAsia="楷体"/>
          <w:b/>
          <w:kern w:val="2"/>
          <w:sz w:val="32"/>
          <w:szCs w:val="32"/>
          <w:lang w:val="en-US" w:eastAsia="zh-CN" w:bidi="ar-SA"/>
        </w:rPr>
        <w:t>估 价 委 托 人：{{ owner }}</w:t>
      </w:r>
      <w:r>
        <w:rPr>
          <w:rFonts w:hint="eastAsia" w:ascii="楷体" w:hAnsi="楷体" w:eastAsia="楷体"/>
          <w:kern w:val="2"/>
          <w:sz w:val="32"/>
          <w:szCs w:val="32"/>
          <w:lang w:val="en-US" w:eastAsia="zh-CN" w:bidi="ar-SA"/>
        </w:rPr>
        <w:t/>
      </w:r>
    </w:p>
    <w:p w14:paraId="0E59BB18">
      <w:pPr>
        <w:spacing w:line="1000" w:lineRule="exact"/>
        <w:rPr>
          <w:rFonts w:hint="eastAsia" w:ascii="楷体" w:hAnsi="楷体" w:eastAsia="楷体"/>
          <w:b/>
          <w:sz w:val="32"/>
          <w:szCs w:val="32"/>
        </w:rPr>
      </w:pPr>
      <w:r>
        <w:rPr>
          <w:rFonts w:hint="eastAsia" w:ascii="楷体" w:hAnsi="楷体" w:eastAsia="楷体"/>
          <w:b/>
          <w:spacing w:val="160"/>
          <w:kern w:val="0"/>
          <w:sz w:val="32"/>
          <w:szCs w:val="32"/>
          <w:fitText w:val="2240" w:id="907555445"/>
        </w:rPr>
        <w:t>估价机</w:t>
      </w:r>
      <w:r>
        <w:rPr>
          <w:rFonts w:hint="eastAsia" w:ascii="楷体" w:hAnsi="楷体" w:eastAsia="楷体"/>
          <w:b/>
          <w:spacing w:val="0"/>
          <w:kern w:val="0"/>
          <w:sz w:val="32"/>
          <w:szCs w:val="32"/>
          <w:fitText w:val="2240" w:id="907555445"/>
        </w:rPr>
        <w:t>构</w:t>
      </w:r>
      <w:r>
        <w:rPr>
          <w:rFonts w:hint="eastAsia" w:ascii="楷体" w:hAnsi="楷体" w:eastAsia="楷体"/>
          <w:b/>
          <w:sz w:val="32"/>
          <w:szCs w:val="32"/>
        </w:rPr>
        <w:t>：</w:t>
      </w:r>
      <w:r>
        <w:rPr>
          <w:rFonts w:hint="eastAsia" w:ascii="楷体" w:hAnsi="楷体" w:eastAsia="楷体"/>
          <w:w w:val="98"/>
          <w:kern w:val="32"/>
          <w:sz w:val="32"/>
          <w:szCs w:val="32"/>
        </w:rPr>
        <w:t>浙江正恒房地产土地资产评估咨询有限公司</w:t>
      </w:r>
    </w:p>
    <w:p w14:paraId="732F1B6D">
      <w:pPr>
        <w:spacing w:line="1000" w:lineRule="exact"/>
        <w:rPr>
          <w:rFonts w:hint="eastAsia" w:ascii="楷体" w:hAnsi="楷体" w:eastAsia="楷体"/>
          <w:sz w:val="32"/>
          <w:szCs w:val="32"/>
        </w:rPr>
      </w:pPr>
      <w:r>
        <w:rPr>
          <w:rFonts w:hint="eastAsia" w:ascii="楷体" w:hAnsi="楷体" w:eastAsia="楷体"/>
          <w:b/>
          <w:spacing w:val="0"/>
          <w:w w:val="86"/>
          <w:kern w:val="0"/>
          <w:sz w:val="32"/>
          <w:szCs w:val="32"/>
          <w:fitText w:val="2202" w:id="1411546570"/>
        </w:rPr>
        <w:t>注册房地产估价师</w:t>
      </w:r>
      <w:r>
        <w:rPr>
          <w:rFonts w:hint="eastAsia" w:ascii="楷体" w:hAnsi="楷体" w:eastAsia="楷体"/>
          <w:b/>
          <w:sz w:val="32"/>
          <w:szCs w:val="32"/>
        </w:rPr>
        <w:t>：</w:t>
      </w:r>
      <w:r>
        <w:rPr>
          <w:rFonts w:hint="eastAsia" w:ascii="楷体" w:hAnsi="楷体" w:eastAsia="楷体"/>
          <w:sz w:val="32"/>
          <w:szCs w:val="32"/>
        </w:rPr>
        <w:t>韩  伟   注册号</w:t>
      </w:r>
      <w:r>
        <w:rPr>
          <w:rFonts w:hint="eastAsia" w:ascii="楷体" w:hAnsi="楷体" w:eastAsia="楷体"/>
          <w:sz w:val="32"/>
          <w:szCs w:val="32"/>
          <w:lang w:eastAsia="zh-CN"/>
        </w:rPr>
        <w:t>：</w:t>
      </w:r>
      <w:r>
        <w:rPr>
          <w:rFonts w:hint="eastAsia" w:ascii="楷体" w:hAnsi="楷体" w:eastAsia="楷体"/>
          <w:sz w:val="32"/>
          <w:szCs w:val="32"/>
        </w:rPr>
        <w:t>3320130071</w:t>
      </w:r>
    </w:p>
    <w:p w14:paraId="51924416">
      <w:pPr>
        <w:spacing w:line="1000" w:lineRule="exact"/>
        <w:ind w:firstLine="2560" w:firstLineChars="800"/>
        <w:rPr>
          <w:rFonts w:hint="eastAsia" w:ascii="楷体" w:hAnsi="楷体" w:eastAsia="楷体"/>
          <w:b/>
          <w:sz w:val="32"/>
          <w:szCs w:val="32"/>
        </w:rPr>
      </w:pPr>
      <w:r>
        <w:rPr>
          <w:rFonts w:hint="eastAsia" w:ascii="楷体" w:hAnsi="楷体" w:eastAsia="楷体"/>
          <w:sz w:val="32"/>
          <w:szCs w:val="32"/>
        </w:rPr>
        <w:t>胡  柯   注册号</w:t>
      </w:r>
      <w:r>
        <w:rPr>
          <w:rFonts w:hint="eastAsia" w:ascii="楷体" w:hAnsi="楷体" w:eastAsia="楷体"/>
          <w:sz w:val="32"/>
          <w:szCs w:val="32"/>
          <w:lang w:eastAsia="zh-CN"/>
        </w:rPr>
        <w:t>：</w:t>
      </w:r>
      <w:r>
        <w:rPr>
          <w:rFonts w:ascii="楷体" w:hAnsi="楷体" w:eastAsia="楷体"/>
          <w:sz w:val="32"/>
          <w:szCs w:val="32"/>
        </w:rPr>
        <w:t>3320190174</w:t>
      </w:r>
    </w:p>
    <w:p w14:paraId="7998D517">
      <w:pPr>
        <w:spacing w:line="1000" w:lineRule="exact"/>
      </w:pPr>
      <w:r>
        <w:rPr>
          <w:rFonts w:hint="eastAsia" w:ascii="楷体" w:hAnsi="楷体" w:eastAsia="楷体"/>
          <w:b/>
          <w:kern w:val="2"/>
          <w:sz w:val="32"/>
          <w:szCs w:val="32"/>
          <w:lang w:val="en-US" w:eastAsia="zh-CN" w:bidi="ar-SA"/>
        </w:rPr>
        <w:t>估价报告出具日期：{{ issue_date }}</w:t>
      </w:r>
      <w:r>
        <w:rPr>
          <w:rFonts w:hint="eastAsia" w:ascii="楷体" w:hAnsi="楷体" w:eastAsia="楷体"/>
          <w:kern w:val="2"/>
          <w:sz w:val="32"/>
          <w:szCs w:val="32"/>
          <w:lang w:val="en-US" w:eastAsia="zh-CN" w:bidi="ar-SA"/>
        </w:rPr>
        <w:t/>
      </w:r>
    </w:p>
    <w:p w14:paraId="67650D81">
      <w:pPr>
        <w:jc w:val="center"/>
        <w:rPr>
          <w:rFonts w:hint="eastAsia" w:ascii="楷体" w:hAnsi="楷体" w:eastAsia="楷体"/>
          <w:b/>
          <w:sz w:val="44"/>
          <w:szCs w:val="44"/>
        </w:rPr>
        <w:sectPr>
          <w:headerReference r:id="rId3" w:type="default"/>
          <w:footerReference r:id="rId4" w:type="default"/>
          <w:type w:val="continuous"/>
          <w:pgSz w:w="11906" w:h="16838"/>
          <w:pgMar w:top="1418" w:right="1134" w:bottom="1134" w:left="1418" w:header="850" w:footer="851" w:gutter="284"/>
          <w:pgNumType w:chapStyle="1"/>
          <w:cols w:space="720" w:num="1"/>
          <w:docGrid w:type="lines" w:linePitch="312" w:charSpace="0"/>
        </w:sectPr>
      </w:pPr>
    </w:p>
    <w:p w14:paraId="2F99877D">
      <w:pPr>
        <w:spacing w:before="312" w:beforeLines="100"/>
        <w:jc w:val="center"/>
        <w:rPr>
          <w:rFonts w:hint="eastAsia" w:ascii="楷体" w:hAnsi="楷体" w:eastAsia="楷体"/>
          <w:b/>
          <w:sz w:val="44"/>
          <w:szCs w:val="44"/>
        </w:rPr>
      </w:pPr>
      <w:r>
        <w:rPr>
          <w:rFonts w:hint="eastAsia" w:ascii="楷体" w:hAnsi="楷体" w:eastAsia="楷体"/>
          <w:b/>
          <w:sz w:val="44"/>
          <w:szCs w:val="44"/>
        </w:rPr>
        <w:t>致估价委托人函</w:t>
      </w:r>
    </w:p>
    <w:p w14:paraId="523D8C00">
      <w:pPr>
        <w:spacing w:before="156" w:beforeLines="50" w:line="510" w:lineRule="exact"/>
        <w:jc w:val="left"/>
        <w:outlineLvl w:val="1"/>
      </w:pPr>
      <w:bookmarkStart w:id="3" w:name="_Toc30128_ai"/>
      <w:bookmarkStart w:id="4" w:name="_Toc221711012_ai"/>
      <w:bookmarkStart w:id="5" w:name="_Toc221710846_ai"/>
      <w:r>
        <w:rPr>
          <w:rFonts w:hint="eastAsia" w:ascii="楷体" w:hAnsi="楷体" w:eastAsia="楷体"/>
          <w:b/>
          <w:kern w:val="2"/>
          <w:sz w:val="28"/>
          <w:szCs w:val="28"/>
          <w:lang w:val="en-US" w:eastAsia="zh-CN" w:bidi="ar-SA"/>
        </w:rPr>
        <w:t>{{ owner }}：</w:t>
      </w:r>
      <w:bookmarkEnd w:id="3"/>
      <w:bookmarkEnd w:id="4"/>
      <w:bookmarkEnd w:id="5"/>
    </w:p>
    <w:p w14:paraId="47A92887">
      <w:pPr>
        <w:spacing w:line="500" w:lineRule="exact"/>
        <w:ind w:firstLine="560" w:firstLineChars="200"/>
        <w:rPr>
          <w:rFonts w:hint="eastAsia" w:ascii="楷体" w:hAnsi="楷体" w:eastAsia="楷体" w:cs="仿宋"/>
          <w:kern w:val="2"/>
          <w:sz w:val="28"/>
          <w:szCs w:val="28"/>
          <w:lang w:val="en-US" w:eastAsia="zh-CN" w:bidi="ar-SA"/>
        </w:rPr>
      </w:pPr>
      <w:r>
        <w:rPr>
          <w:rFonts w:hint="eastAsia" w:ascii="楷体" w:hAnsi="楷体" w:eastAsia="楷体" w:cs="宋体"/>
          <w:kern w:val="2"/>
          <w:sz w:val="28"/>
          <w:szCs w:val="28"/>
          <w:lang w:val="en-US" w:eastAsia="zh-CN" w:bidi="ar-SA"/>
        </w:rPr>
        <w:t>受贵方的委托，我公司对{{ owner }}位于{{ address }}的土地进行了租赁价值评估。现综述如下：</w:t>
      </w:r>
    </w:p>
    <w:p w14:paraId="24035015">
      <w:pPr>
        <w:snapToGrid w:val="0"/>
        <w:spacing w:line="500" w:lineRule="exact"/>
        <w:ind w:firstLine="561" w:firstLineChars="200"/>
        <w:rPr>
          <w:rFonts w:hint="eastAsia" w:ascii="楷体" w:hAnsi="楷体" w:eastAsia="楷体" w:cs="仿宋"/>
          <w:b/>
          <w:sz w:val="28"/>
          <w:szCs w:val="28"/>
        </w:rPr>
      </w:pPr>
      <w:r>
        <w:rPr>
          <w:rFonts w:hint="eastAsia" w:ascii="楷体" w:hAnsi="楷体" w:eastAsia="楷体" w:cs="仿宋"/>
          <w:b/>
          <w:sz w:val="28"/>
          <w:szCs w:val="28"/>
        </w:rPr>
        <w:t>估价目的</w:t>
      </w:r>
      <w:r>
        <w:rPr>
          <w:rFonts w:hint="eastAsia" w:ascii="楷体" w:hAnsi="楷体" w:eastAsia="楷体" w:cs="仿宋"/>
          <w:sz w:val="28"/>
          <w:szCs w:val="28"/>
        </w:rPr>
        <w:t>：为委托人确定拟出租房地产市场租金提供价格参考，而评估房地产租赁价值。</w:t>
      </w:r>
    </w:p>
    <w:p w14:paraId="2F443BCD">
      <w:pPr>
        <w:spacing w:line="500" w:lineRule="exact"/>
        <w:ind w:right="97" w:rightChars="46" w:firstLine="561" w:firstLineChars="200"/>
        <w:rPr>
          <w:rFonts w:hint="eastAsia" w:ascii="楷体" w:hAnsi="楷体" w:eastAsia="楷体" w:cs="仿宋"/>
          <w:kern w:val="2"/>
          <w:sz w:val="28"/>
          <w:szCs w:val="28"/>
          <w:lang w:val="en-US" w:eastAsia="zh-CN" w:bidi="ar-SA"/>
        </w:rPr>
      </w:pPr>
      <w:bookmarkStart w:id="6" w:name="OLE_LINK4"/>
      <w:r>
        <w:rPr>
          <w:rFonts w:hint="eastAsia" w:ascii="楷体" w:hAnsi="楷体" w:eastAsia="楷体"/>
          <w:b/>
          <w:kern w:val="2"/>
          <w:sz w:val="28"/>
          <w:szCs w:val="28"/>
          <w:lang w:val="en-US" w:eastAsia="zh-CN" w:bidi="ar-SA"/>
        </w:rPr>
        <w:t>估价对象：{{ owner }}位于{{ address }}的土地。估价对象未取得《不动产权证》，根据《委托评估协议书》记载估价对象基本情况如下：</w:t>
      </w:r>
      <w:r>
        <w:rPr>
          <w:rFonts w:hint="eastAsia" w:ascii="楷体" w:hAnsi="楷体" w:eastAsia="楷体" w:cs="宋体"/>
          <w:kern w:val="2"/>
          <w:sz w:val="28"/>
          <w:szCs w:val="28"/>
          <w:lang w:val="en-US" w:eastAsia="zh-CN" w:bidi="ar-SA"/>
        </w:rPr>
        <w:t/>
      </w:r>
      <w:bookmarkStart w:id="7" w:name="OLE_LINK1_ai"/>
      <w:r>
        <w:rPr>
          <w:rFonts w:hint="eastAsia" w:ascii="楷体" w:hAnsi="楷体" w:eastAsia="楷体" w:cs="宋体"/>
          <w:kern w:val="2"/>
          <w:sz w:val="28"/>
          <w:szCs w:val="28"/>
          <w:lang w:val="en-US" w:eastAsia="zh-CN" w:bidi="ar-SA"/>
        </w:rPr>
        <w:t/>
      </w:r>
      <w:bookmarkEnd w:id="7"/>
      <w:r>
        <w:rPr>
          <w:rFonts w:hint="eastAsia" w:ascii="楷体" w:hAnsi="楷体" w:eastAsia="楷体" w:cs="宋体"/>
          <w:kern w:val="2"/>
          <w:sz w:val="28"/>
          <w:szCs w:val="28"/>
          <w:lang w:val="en-US" w:eastAsia="zh-CN" w:bidi="ar-SA"/>
        </w:rPr>
        <w:t/>
      </w:r>
    </w:p>
    <w:tbl>
      <w:tblPr>
        <w:tblStyle w:val="28"/>
        <w:tblW w:w="5000"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36"/>
        <w:gridCol w:w="2579"/>
        <w:gridCol w:w="2464"/>
        <w:gridCol w:w="1520"/>
        <w:gridCol w:w="1987"/>
      </w:tblGrid>
      <w:tr w14:paraId="7FAFC0AE">
        <w:trPr>
          <w:trHeight w:val="720" w:hRule="atLeast"/>
          <w:jc w:val="center"/>
        </w:trPr>
        <w:tc>
          <w:tcPr>
            <w:tcW w:w="396" w:type="pct"/>
            <w:tcBorders>
              <w:top w:val="single" w:color="000000" w:sz="4" w:space="0"/>
              <w:left w:val="single" w:color="000000" w:sz="4" w:space="0"/>
              <w:bottom w:val="single" w:color="000000" w:sz="4" w:space="0"/>
              <w:right w:val="single" w:color="000000" w:sz="4" w:space="0"/>
            </w:tcBorders>
            <w:noWrap w:val="0"/>
            <w:tcMar>
              <w:left w:w="108" w:type="dxa"/>
              <w:right w:w="108" w:type="dxa"/>
            </w:tcMar>
            <w:vAlign w:val="center"/>
          </w:tcPr>
          <w:p w14:paraId="3CAD87F0">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序号</w:t>
            </w:r>
          </w:p>
        </w:tc>
        <w:tc>
          <w:tcPr>
            <w:tcW w:w="1388" w:type="pct"/>
            <w:tcBorders>
              <w:top w:val="single" w:color="000000" w:sz="4" w:space="0"/>
              <w:left w:val="single" w:color="000000" w:sz="4" w:space="0"/>
              <w:bottom w:val="single" w:color="auto" w:sz="4" w:space="0"/>
              <w:right w:val="single" w:color="000000" w:sz="4" w:space="0"/>
            </w:tcBorders>
            <w:noWrap w:val="0"/>
            <w:tcMar>
              <w:left w:w="108" w:type="dxa"/>
              <w:right w:w="108" w:type="dxa"/>
            </w:tcMar>
            <w:vAlign w:val="center"/>
          </w:tcPr>
          <w:p w14:paraId="28A797F7">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权利人</w:t>
            </w:r>
          </w:p>
        </w:tc>
        <w:tc>
          <w:tcPr>
            <w:tcW w:w="1326" w:type="pct"/>
            <w:tcBorders>
              <w:top w:val="single" w:color="000000" w:sz="4" w:space="0"/>
              <w:left w:val="single" w:color="000000" w:sz="4" w:space="0"/>
              <w:bottom w:val="single" w:color="auto" w:sz="4" w:space="0"/>
              <w:right w:val="single" w:color="000000" w:sz="4" w:space="0"/>
            </w:tcBorders>
            <w:noWrap w:val="0"/>
            <w:tcMar>
              <w:left w:w="108" w:type="dxa"/>
              <w:right w:w="108" w:type="dxa"/>
            </w:tcMar>
            <w:vAlign w:val="center"/>
          </w:tcPr>
          <w:p w14:paraId="35515E94">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地址</w:t>
            </w:r>
          </w:p>
        </w:tc>
        <w:tc>
          <w:tcPr>
            <w:tcW w:w="818" w:type="pct"/>
            <w:tcBorders>
              <w:top w:val="single" w:color="000000" w:sz="4" w:space="0"/>
              <w:left w:val="single" w:color="000000" w:sz="4" w:space="0"/>
              <w:bottom w:val="single" w:color="auto" w:sz="4" w:space="0"/>
              <w:right w:val="single" w:color="000000" w:sz="4" w:space="0"/>
            </w:tcBorders>
            <w:noWrap w:val="0"/>
            <w:tcMar>
              <w:left w:w="108" w:type="dxa"/>
              <w:right w:w="108" w:type="dxa"/>
            </w:tcMar>
            <w:vAlign w:val="center"/>
          </w:tcPr>
          <w:p w14:paraId="5D1AA42C">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设定出租用途</w:t>
            </w:r>
          </w:p>
        </w:tc>
        <w:tc>
          <w:tcPr>
            <w:tcW w:w="1069" w:type="pct"/>
            <w:tcBorders>
              <w:top w:val="single" w:color="000000" w:sz="4" w:space="0"/>
              <w:left w:val="single" w:color="000000" w:sz="4" w:space="0"/>
              <w:bottom w:val="single" w:color="auto" w:sz="4" w:space="0"/>
              <w:right w:val="single" w:color="000000" w:sz="4" w:space="0"/>
            </w:tcBorders>
            <w:noWrap w:val="0"/>
            <w:tcMar>
              <w:left w:w="108" w:type="dxa"/>
              <w:right w:w="108" w:type="dxa"/>
            </w:tcMar>
            <w:vAlign w:val="center"/>
          </w:tcPr>
          <w:p w14:paraId="70914D1C">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面积（亩）</w:t>
            </w:r>
          </w:p>
        </w:tc>
      </w:tr>
      <w:tr w14:paraId="16219B8E">
        <w:trPr>
          <w:trHeight w:val="285" w:hRule="atLeast"/>
          <w:jc w:val="center"/>
        </w:trPr>
        <w:tc>
          <w:tcPr>
            <w:tcW w:w="396" w:type="pct"/>
            <w:tcBorders>
              <w:top w:val="single" w:color="000000" w:sz="4" w:space="0"/>
              <w:left w:val="single" w:color="000000" w:sz="4" w:space="0"/>
              <w:bottom w:val="single" w:color="000000" w:sz="4" w:space="0"/>
              <w:right w:val="single" w:color="auto" w:sz="4" w:space="0"/>
            </w:tcBorders>
            <w:noWrap w:val="0"/>
            <w:tcMar>
              <w:left w:w="108" w:type="dxa"/>
              <w:right w:w="108" w:type="dxa"/>
            </w:tcMar>
            <w:vAlign w:val="center"/>
          </w:tcPr>
          <w:p w14:paraId="71638D26">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{%tr for s in subjects %}</w:t>
            </w:r>
          </w:p>
        </w:tc>
        <w:tc>
          <w:tcPr>
            <w:tcW w:w="1388" w:type="pct"/>
            <w:tcBorders>
              <w:top w:val="single" w:color="auto" w:sz="4" w:space="0"/>
              <w:left w:val="single" w:color="auto" w:sz="4" w:space="0"/>
              <w:bottom w:val="single" w:color="auto" w:sz="4" w:space="0"/>
              <w:right w:val="single" w:color="000000" w:sz="4" w:space="0"/>
            </w:tcBorders>
            <w:noWrap w:val="0"/>
            <w:tcMar>
              <w:left w:w="108" w:type="dxa"/>
              <w:right w:w="108" w:type="dxa"/>
            </w:tcMar>
            <w:vAlign w:val="center"/>
          </w:tcPr>
          <w:p w14:paraId="7CEDA532">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 owner }}</w:t>
            </w:r>
          </w:p>
        </w:tc>
        <w:tc>
          <w:tcPr>
            <w:tcW w:w="1326"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5218E16D">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 address }}</w:t>
            </w:r>
          </w:p>
        </w:tc>
        <w:tc>
          <w:tcPr>
            <w:tcW w:w="818"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57E324D5">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 usage }}</w:t>
            </w:r>
          </w:p>
        </w:tc>
        <w:tc>
          <w:tcPr>
            <w:tcW w:w="1069"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0E50997C">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50.00</w:t>
            </w:r>
          </w:p>
        </w:tc>
      </w:tr>
      <w:tr w14:paraId="16219B8E">
        <w:trPr>
          <w:trHeight w:val="285" w:hRule="atLeast"/>
          <w:jc w:val="center"/>
        </w:trPr>
        <w:tc>
          <w:tcPr>
            <w:tcW w:w="396" w:type="pct"/>
            <w:tcBorders>
              <w:top w:val="single" w:color="000000" w:sz="4" w:space="0"/>
              <w:left w:val="single" w:color="000000" w:sz="4" w:space="0"/>
              <w:bottom w:val="single" w:color="000000" w:sz="4" w:space="0"/>
              <w:right w:val="single" w:color="auto" w:sz="4" w:space="0"/>
            </w:tcBorders>
            <w:noWrap w:val="0"/>
            <w:tcMar>
              <w:left w:w="108" w:type="dxa"/>
              <w:right w:w="108" w:type="dxa"/>
            </w:tcMar>
            <w:vAlign w:val="center"/>
          </w:tcPr>
          <w:p w14:paraId="71638D26">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 s.index }}</w:t>
            </w:r>
          </w:p>
        </w:tc>
        <w:tc>
          <w:tcPr>
            <w:tcW w:w="1388" w:type="pct"/>
            <w:tcBorders>
              <w:top w:val="single" w:color="auto" w:sz="4" w:space="0"/>
              <w:left w:val="single" w:color="auto" w:sz="4" w:space="0"/>
              <w:bottom w:val="single" w:color="auto" w:sz="4" w:space="0"/>
              <w:right w:val="single" w:color="000000" w:sz="4" w:space="0"/>
            </w:tcBorders>
            <w:noWrap w:val="0"/>
            <w:tcMar>
              <w:left w:w="108" w:type="dxa"/>
              <w:right w:w="108" w:type="dxa"/>
            </w:tcMar>
            <w:vAlign w:val="center"/>
          </w:tcPr>
          <w:p w14:paraId="7CEDA532">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 s.owner }}</w:t>
            </w:r>
          </w:p>
        </w:tc>
        <w:tc>
          <w:tcPr>
            <w:tcW w:w="1326"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5218E16D">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 s.address }}</w:t>
            </w:r>
          </w:p>
        </w:tc>
        <w:tc>
          <w:tcPr>
            <w:tcW w:w="818"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57E324D5">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 s.usage }}</w:t>
            </w:r>
          </w:p>
        </w:tc>
        <w:tc>
          <w:tcPr>
            <w:tcW w:w="1069"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0E50997C">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 s.area }}</w:t>
            </w:r>
          </w:p>
        </w:tc>
      </w:tr>
      <w:tr w14:paraId="16219B8E">
        <w:trPr>
          <w:trHeight w:val="285" w:hRule="atLeast"/>
          <w:jc w:val="center"/>
        </w:trPr>
        <w:tc>
          <w:tcPr>
            <w:tcW w:w="396" w:type="pct"/>
            <w:tcBorders>
              <w:top w:val="single" w:color="000000" w:sz="4" w:space="0"/>
              <w:left w:val="single" w:color="000000" w:sz="4" w:space="0"/>
              <w:bottom w:val="single" w:color="000000" w:sz="4" w:space="0"/>
              <w:right w:val="single" w:color="auto" w:sz="4" w:space="0"/>
            </w:tcBorders>
            <w:noWrap w:val="0"/>
            <w:tcMar>
              <w:left w:w="108" w:type="dxa"/>
              <w:right w:w="108" w:type="dxa"/>
            </w:tcMar>
            <w:vAlign w:val="center"/>
          </w:tcPr>
          <w:p w14:paraId="71638D26">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{%tr endfor %}</w:t>
            </w:r>
          </w:p>
        </w:tc>
        <w:tc>
          <w:tcPr>
            <w:tcW w:w="1388" w:type="pct"/>
            <w:tcBorders>
              <w:top w:val="single" w:color="auto" w:sz="4" w:space="0"/>
              <w:left w:val="single" w:color="auto" w:sz="4" w:space="0"/>
              <w:bottom w:val="single" w:color="auto" w:sz="4" w:space="0"/>
              <w:right w:val="single" w:color="000000" w:sz="4" w:space="0"/>
            </w:tcBorders>
            <w:noWrap w:val="0"/>
            <w:tcMar>
              <w:left w:w="108" w:type="dxa"/>
              <w:right w:w="108" w:type="dxa"/>
            </w:tcMar>
            <w:vAlign w:val="center"/>
          </w:tcPr>
          <w:p w14:paraId="7CEDA532">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 owner }}</w:t>
            </w:r>
          </w:p>
        </w:tc>
        <w:tc>
          <w:tcPr>
            <w:tcW w:w="1326"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5218E16D">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 address }}</w:t>
            </w:r>
          </w:p>
        </w:tc>
        <w:tc>
          <w:tcPr>
            <w:tcW w:w="818"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57E324D5">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 usage }}</w:t>
            </w:r>
          </w:p>
        </w:tc>
        <w:tc>
          <w:tcPr>
            <w:tcW w:w="1069"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0E50997C">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50.00</w:t>
            </w:r>
          </w:p>
        </w:tc>
      </w:tr>
    </w:tbl>
    <w:p w14:paraId="7894E5DE"/>
    <w:bookmarkEnd w:id="6"/>
    <w:p w14:paraId="6180B667">
      <w:pPr>
        <w:spacing w:line="500" w:lineRule="exact"/>
        <w:ind w:right="97" w:rightChars="46" w:firstLine="560" w:firstLineChars="200"/>
        <w:rPr>
          <w:rFonts w:ascii="楷体" w:hAnsi="楷体" w:eastAsia="楷体" w:cs="仿宋"/>
          <w:kern w:val="2"/>
          <w:sz w:val="28"/>
          <w:szCs w:val="28"/>
          <w:lang w:val="en-US" w:eastAsia="zh-CN" w:bidi="ar-SA"/>
        </w:rPr>
      </w:pPr>
      <w:r>
        <w:rPr>
          <w:rFonts w:hint="eastAsia" w:ascii="楷体" w:hAnsi="楷体" w:eastAsia="楷体" w:cs="宋体"/>
          <w:kern w:val="2"/>
          <w:sz w:val="28"/>
          <w:szCs w:val="28"/>
          <w:lang w:val="en-US" w:eastAsia="zh-CN" w:bidi="ar-SA"/>
        </w:rPr>
        <w:t>本次估价范围包含土地使用权，不包含水电费、债权债务、特许经营权等其他权利。</w:t>
      </w:r>
      <w:bookmarkStart w:id="8" w:name="OLE_LINK4_ai"/>
      <w:bookmarkEnd w:id="8"/>
    </w:p>
    <w:p w14:paraId="4AEFB794">
      <w:pPr>
        <w:spacing w:line="500" w:lineRule="exact"/>
        <w:ind w:right="97" w:rightChars="46" w:firstLine="561" w:firstLineChars="200"/>
        <w:rPr>
          <w:rFonts w:hint="eastAsia" w:ascii="楷体" w:hAnsi="楷体" w:eastAsia="楷体" w:cs="仿宋"/>
          <w:kern w:val="2"/>
          <w:sz w:val="28"/>
          <w:szCs w:val="28"/>
          <w:lang w:val="en-US" w:eastAsia="zh-CN" w:bidi="ar-SA"/>
        </w:rPr>
      </w:pPr>
      <w:r>
        <w:rPr>
          <w:rFonts w:hint="eastAsia" w:ascii="楷体" w:hAnsi="楷体" w:eastAsia="楷体"/>
          <w:b/>
          <w:kern w:val="2"/>
          <w:sz w:val="28"/>
          <w:szCs w:val="28"/>
          <w:lang w:val="en-US" w:eastAsia="zh-CN" w:bidi="ar-SA"/>
        </w:rPr>
        <w:t>价值时点</w:t>
      </w:r>
      <w:r>
        <w:rPr>
          <w:rFonts w:hint="eastAsia" w:ascii="楷体" w:hAnsi="楷体" w:eastAsia="楷体" w:cs="宋体"/>
          <w:kern w:val="2"/>
          <w:sz w:val="28"/>
          <w:szCs w:val="28"/>
          <w:lang w:val="en-US" w:eastAsia="zh-CN" w:bidi="ar-SA"/>
        </w:rPr>
        <w:t>：2026年4月20日（实地查勘之日）。</w:t>
      </w:r>
    </w:p>
    <w:p w14:paraId="07431C33">
      <w:pPr>
        <w:spacing w:line="500" w:lineRule="exact"/>
        <w:ind w:right="97" w:rightChars="46" w:firstLine="561" w:firstLineChars="200"/>
        <w:rPr>
          <w:rFonts w:hint="eastAsia" w:ascii="楷体" w:hAnsi="楷体" w:eastAsia="楷体" w:cs="仿宋"/>
          <w:sz w:val="28"/>
          <w:szCs w:val="28"/>
        </w:rPr>
      </w:pPr>
      <w:r>
        <w:rPr>
          <w:rFonts w:hint="eastAsia" w:ascii="楷体" w:hAnsi="楷体" w:eastAsia="楷体" w:cs="仿宋"/>
          <w:b/>
          <w:sz w:val="28"/>
          <w:szCs w:val="28"/>
        </w:rPr>
        <w:t>价值类型</w:t>
      </w:r>
      <w:r>
        <w:rPr>
          <w:rFonts w:hint="eastAsia" w:ascii="楷体" w:hAnsi="楷体" w:eastAsia="楷体" w:cs="仿宋"/>
          <w:sz w:val="28"/>
          <w:szCs w:val="28"/>
        </w:rPr>
        <w:t>：市场租赁价值。</w:t>
      </w:r>
    </w:p>
    <w:p w14:paraId="3EFF3E7C">
      <w:pPr>
        <w:spacing w:line="500" w:lineRule="exact"/>
        <w:ind w:right="97" w:rightChars="46" w:firstLine="561" w:firstLineChars="200"/>
        <w:rPr>
          <w:rFonts w:hint="eastAsia" w:ascii="楷体" w:hAnsi="楷体" w:eastAsia="楷体" w:cs="仿宋"/>
          <w:sz w:val="28"/>
          <w:szCs w:val="28"/>
        </w:rPr>
      </w:pPr>
      <w:r>
        <w:rPr>
          <w:rFonts w:hint="eastAsia" w:ascii="楷体" w:hAnsi="楷体" w:eastAsia="楷体" w:cs="仿宋"/>
          <w:b/>
          <w:sz w:val="28"/>
          <w:szCs w:val="28"/>
        </w:rPr>
        <w:t>估价方法</w:t>
      </w:r>
      <w:r>
        <w:rPr>
          <w:rFonts w:hint="eastAsia" w:ascii="楷体" w:hAnsi="楷体" w:eastAsia="楷体" w:cs="仿宋"/>
          <w:sz w:val="28"/>
          <w:szCs w:val="28"/>
        </w:rPr>
        <w:t>：比较法。</w:t>
      </w:r>
    </w:p>
    <w:p w14:paraId="7930A85A">
      <w:pPr>
        <w:snapToGrid w:val="0"/>
        <w:spacing w:line="500" w:lineRule="exact"/>
        <w:ind w:left="71" w:leftChars="0" w:firstLine="493" w:firstLineChars="176"/>
        <w:jc w:val="left"/>
        <w:rPr>
          <w:rFonts w:hint="eastAsia" w:ascii="楷体" w:hAnsi="楷体" w:eastAsia="楷体" w:cs="仿宋"/>
          <w:b/>
          <w:bCs/>
          <w:kern w:val="2"/>
          <w:sz w:val="28"/>
          <w:szCs w:val="28"/>
          <w:lang w:val="en-US" w:eastAsia="zh-CN" w:bidi="ar-SA"/>
        </w:rPr>
      </w:pPr>
      <w:r>
        <w:rPr>
          <w:rFonts w:hint="eastAsia" w:ascii="楷体" w:hAnsi="楷体" w:eastAsia="楷体"/>
          <w:b/>
          <w:kern w:val="2"/>
          <w:sz w:val="28"/>
          <w:szCs w:val="28"/>
          <w:lang w:val="en-US" w:eastAsia="zh-CN" w:bidi="ar-SA"/>
        </w:rPr>
        <w:t>估价结果</w:t>
      </w:r>
      <w:r>
        <w:rPr>
          <w:rFonts w:hint="eastAsia" w:ascii="楷体" w:hAnsi="楷体" w:eastAsia="楷体" w:cs="宋体"/>
          <w:kern w:val="2"/>
          <w:sz w:val="28"/>
          <w:szCs w:val="28"/>
          <w:lang w:val="en-US" w:eastAsia="zh-CN" w:bidi="ar-SA"/>
        </w:rPr>
        <w:t>：我公司根据估价目的，遵循估价原则，采用上述方法，在认真分析估价委托人提供的资料以及估价人员实地查勘和市场调查取得的资料基础上，对影响房地产价值的因素进行了分析，经过测算，结合估价经验，于价值时点在满足所有估价假设和限制条件下，</w:t>
      </w:r>
      <w:r>
        <w:rPr>
          <w:rFonts w:hint="eastAsia" w:ascii="楷体" w:hAnsi="楷体" w:eastAsia="楷体"/>
          <w:b/>
          <w:kern w:val="2"/>
          <w:sz w:val="28"/>
          <w:szCs w:val="28"/>
          <w:lang w:val="en-US" w:eastAsia="zh-CN" w:bidi="ar-SA"/>
        </w:rPr>
        <w:t>确定估价对象的年租赁价值为70000元，大写：人民币柒万元整，详见下表。</w:t>
      </w:r>
    </w:p>
    <w:p w14:paraId="0811C221">
      <w:pPr>
        <w:snapToGrid w:val="0"/>
        <w:spacing w:line="500" w:lineRule="exact"/>
        <w:ind w:left="71" w:firstLine="493" w:firstLineChars="176"/>
        <w:jc w:val="left"/>
        <w:rPr>
          <w:rFonts w:hint="eastAsia" w:ascii="楷体" w:hAnsi="楷体" w:eastAsia="楷体" w:cs="仿宋"/>
          <w:b/>
          <w:bCs/>
          <w:sz w:val="28"/>
          <w:szCs w:val="28"/>
        </w:rPr>
      </w:pPr>
    </w:p>
    <w:p w14:paraId="0AAA4C44">
      <w:pPr>
        <w:snapToGrid w:val="0"/>
        <w:spacing w:line="500" w:lineRule="exact"/>
        <w:ind w:left="71" w:firstLine="493" w:firstLineChars="176"/>
        <w:jc w:val="left"/>
        <w:rPr>
          <w:rFonts w:hint="eastAsia" w:ascii="楷体" w:hAnsi="楷体" w:eastAsia="楷体" w:cs="仿宋"/>
          <w:b/>
          <w:bCs/>
          <w:sz w:val="28"/>
          <w:szCs w:val="28"/>
        </w:rPr>
      </w:pPr>
    </w:p>
    <w:p w14:paraId="18B90AA9">
      <w:pPr>
        <w:snapToGrid w:val="0"/>
        <w:spacing w:line="500" w:lineRule="exact"/>
        <w:ind w:left="71" w:firstLine="493" w:firstLineChars="176"/>
        <w:jc w:val="left"/>
        <w:rPr>
          <w:rFonts w:hint="eastAsia" w:ascii="楷体" w:hAnsi="楷体" w:eastAsia="楷体" w:cs="仿宋"/>
          <w:b/>
          <w:bCs/>
          <w:sz w:val="28"/>
          <w:szCs w:val="28"/>
        </w:rPr>
      </w:pPr>
    </w:p>
    <w:tbl>
      <w:tblPr>
        <w:tblStyle w:val="28"/>
        <w:tblW w:w="5131"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49"/>
        <w:gridCol w:w="2361"/>
        <w:gridCol w:w="1775"/>
        <w:gridCol w:w="1084"/>
        <w:gridCol w:w="1334"/>
        <w:gridCol w:w="1361"/>
        <w:gridCol w:w="1266"/>
      </w:tblGrid>
      <w:tr w14:paraId="51162719">
        <w:trPr>
          <w:trHeight w:val="720" w:hRule="atLeast"/>
          <w:jc w:val="center"/>
        </w:trPr>
        <w:tc>
          <w:tcPr>
            <w:tcW w:w="183" w:type="pct"/>
            <w:tcBorders>
              <w:top w:val="single" w:color="000000" w:sz="4" w:space="0"/>
              <w:left w:val="single" w:color="000000" w:sz="4" w:space="0"/>
              <w:bottom w:val="single" w:color="000000" w:sz="4" w:space="0"/>
              <w:right w:val="single" w:color="000000" w:sz="4" w:space="0"/>
            </w:tcBorders>
            <w:noWrap w:val="0"/>
            <w:tcMar>
              <w:left w:w="108" w:type="dxa"/>
              <w:right w:w="108" w:type="dxa"/>
            </w:tcMar>
            <w:vAlign w:val="center"/>
          </w:tcPr>
          <w:p w14:paraId="3C742F8E">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序号</w:t>
            </w:r>
          </w:p>
        </w:tc>
        <w:tc>
          <w:tcPr>
            <w:tcW w:w="1238" w:type="pct"/>
            <w:tcBorders>
              <w:top w:val="single" w:color="000000" w:sz="4" w:space="0"/>
              <w:left w:val="single" w:color="000000" w:sz="4" w:space="0"/>
              <w:bottom w:val="single" w:color="auto" w:sz="4" w:space="0"/>
              <w:right w:val="single" w:color="000000" w:sz="4" w:space="0"/>
            </w:tcBorders>
            <w:noWrap w:val="0"/>
            <w:tcMar>
              <w:left w:w="108" w:type="dxa"/>
              <w:right w:w="108" w:type="dxa"/>
            </w:tcMar>
            <w:vAlign w:val="center"/>
          </w:tcPr>
          <w:p w14:paraId="2D51B935">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权利人</w:t>
            </w:r>
          </w:p>
        </w:tc>
        <w:tc>
          <w:tcPr>
            <w:tcW w:w="931" w:type="pct"/>
            <w:tcBorders>
              <w:top w:val="single" w:color="000000" w:sz="4" w:space="0"/>
              <w:left w:val="single" w:color="000000" w:sz="4" w:space="0"/>
              <w:bottom w:val="single" w:color="auto" w:sz="4" w:space="0"/>
              <w:right w:val="single" w:color="000000" w:sz="4" w:space="0"/>
            </w:tcBorders>
            <w:noWrap w:val="0"/>
            <w:tcMar>
              <w:left w:w="108" w:type="dxa"/>
              <w:right w:w="108" w:type="dxa"/>
            </w:tcMar>
            <w:vAlign w:val="center"/>
          </w:tcPr>
          <w:p w14:paraId="058EF090">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地址</w:t>
            </w:r>
          </w:p>
        </w:tc>
        <w:tc>
          <w:tcPr>
            <w:tcW w:w="568" w:type="pct"/>
            <w:tcBorders>
              <w:top w:val="single" w:color="000000" w:sz="4" w:space="0"/>
              <w:left w:val="single" w:color="000000" w:sz="4" w:space="0"/>
              <w:bottom w:val="single" w:color="auto" w:sz="4" w:space="0"/>
              <w:right w:val="single" w:color="000000" w:sz="4" w:space="0"/>
            </w:tcBorders>
            <w:noWrap w:val="0"/>
            <w:tcMar>
              <w:left w:w="108" w:type="dxa"/>
              <w:right w:w="108" w:type="dxa"/>
            </w:tcMar>
            <w:vAlign w:val="center"/>
          </w:tcPr>
          <w:p w14:paraId="58F4E67C">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设定出租用途</w:t>
            </w:r>
          </w:p>
        </w:tc>
        <w:tc>
          <w:tcPr>
            <w:tcW w:w="699" w:type="pct"/>
            <w:tcBorders>
              <w:top w:val="single" w:color="000000" w:sz="4" w:space="0"/>
              <w:left w:val="single" w:color="000000" w:sz="4" w:space="0"/>
              <w:bottom w:val="single" w:color="000000" w:sz="4" w:space="0"/>
              <w:right w:val="single" w:color="000000" w:sz="4" w:space="0"/>
            </w:tcBorders>
            <w:noWrap w:val="0"/>
            <w:tcMar>
              <w:left w:w="108" w:type="dxa"/>
              <w:right w:w="108" w:type="dxa"/>
            </w:tcMar>
            <w:vAlign w:val="center"/>
          </w:tcPr>
          <w:p w14:paraId="6E826B03">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面积（亩）</w:t>
            </w:r>
          </w:p>
        </w:tc>
        <w:tc>
          <w:tcPr>
            <w:tcW w:w="714" w:type="pct"/>
            <w:tcBorders>
              <w:top w:val="single" w:color="000000" w:sz="4" w:space="0"/>
              <w:left w:val="single" w:color="000000" w:sz="4" w:space="0"/>
              <w:bottom w:val="single" w:color="000000" w:sz="4" w:space="0"/>
              <w:right w:val="single" w:color="000000" w:sz="4" w:space="0"/>
            </w:tcBorders>
            <w:noWrap w:val="0"/>
            <w:tcMar>
              <w:left w:w="108" w:type="dxa"/>
              <w:right w:w="108" w:type="dxa"/>
            </w:tcMar>
            <w:vAlign w:val="center"/>
          </w:tcPr>
          <w:p w14:paraId="4503C469">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年租赁单价       （元/亩・年）</w:t>
            </w:r>
          </w:p>
        </w:tc>
        <w:tc>
          <w:tcPr>
            <w:tcW w:w="664" w:type="pct"/>
            <w:tcBorders>
              <w:top w:val="single" w:color="000000" w:sz="4" w:space="0"/>
              <w:left w:val="single" w:color="000000" w:sz="4" w:space="0"/>
              <w:bottom w:val="single" w:color="000000" w:sz="4" w:space="0"/>
              <w:right w:val="single" w:color="000000" w:sz="4" w:space="0"/>
            </w:tcBorders>
            <w:noWrap w:val="0"/>
            <w:tcMar>
              <w:left w:w="108" w:type="dxa"/>
              <w:right w:w="108" w:type="dxa"/>
            </w:tcMar>
            <w:vAlign w:val="center"/>
          </w:tcPr>
          <w:p w14:paraId="0B7EC074">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年租赁价值（元）</w:t>
            </w:r>
          </w:p>
        </w:tc>
      </w:tr>
      <w:tr w14:paraId="49B8AD86">
        <w:trPr>
          <w:trHeight w:val="285" w:hRule="atLeast"/>
          <w:jc w:val="center"/>
        </w:trPr>
        <w:tc>
          <w:tcPr>
            <w:tcW w:w="183" w:type="pct"/>
            <w:tcBorders>
              <w:top w:val="single" w:color="000000" w:sz="4" w:space="0"/>
              <w:left w:val="single" w:color="000000" w:sz="4" w:space="0"/>
              <w:bottom w:val="single" w:color="000000" w:sz="4" w:space="0"/>
              <w:right w:val="single" w:color="auto" w:sz="4" w:space="0"/>
            </w:tcBorders>
            <w:noWrap w:val="0"/>
            <w:tcMar>
              <w:left w:w="108" w:type="dxa"/>
              <w:right w:w="108" w:type="dxa"/>
            </w:tcMar>
            <w:vAlign w:val="center"/>
          </w:tcPr>
          <w:p w14:paraId="75F0DB38">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{%tr for s in subjects %}</w:t>
            </w:r>
          </w:p>
        </w:tc>
        <w:tc>
          <w:tcPr>
            <w:tcW w:w="1238" w:type="pct"/>
            <w:tcBorders>
              <w:top w:val="single" w:color="auto" w:sz="4" w:space="0"/>
              <w:left w:val="single" w:color="auto" w:sz="4" w:space="0"/>
              <w:bottom w:val="single" w:color="auto" w:sz="4" w:space="0"/>
              <w:right w:val="single" w:color="000000" w:sz="4" w:space="0"/>
            </w:tcBorders>
            <w:noWrap w:val="0"/>
            <w:tcMar>
              <w:left w:w="108" w:type="dxa"/>
              <w:right w:w="108" w:type="dxa"/>
            </w:tcMar>
            <w:vAlign w:val="center"/>
          </w:tcPr>
          <w:p w14:paraId="01BC87D5">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 owner }}</w:t>
            </w:r>
          </w:p>
        </w:tc>
        <w:tc>
          <w:tcPr>
            <w:tcW w:w="931"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41062FDD">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 address }}</w:t>
            </w:r>
          </w:p>
        </w:tc>
        <w:tc>
          <w:tcPr>
            <w:tcW w:w="568"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6A6115F9">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 usage }}</w:t>
            </w:r>
          </w:p>
        </w:tc>
        <w:tc>
          <w:tcPr>
            <w:tcW w:w="699" w:type="pct"/>
            <w:tcBorders>
              <w:top w:val="single" w:color="000000" w:sz="4" w:space="0"/>
              <w:left w:val="single" w:color="auto" w:sz="4" w:space="0"/>
              <w:bottom w:val="single" w:color="000000" w:sz="4" w:space="0"/>
              <w:right w:val="single" w:color="auto" w:sz="4" w:space="0"/>
            </w:tcBorders>
            <w:noWrap w:val="0"/>
            <w:tcMar>
              <w:left w:w="108" w:type="dxa"/>
              <w:right w:w="108" w:type="dxa"/>
            </w:tcMar>
            <w:vAlign w:val="center"/>
          </w:tcPr>
          <w:p w14:paraId="0F0B8E8D">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50.00</w:t>
            </w:r>
          </w:p>
        </w:tc>
        <w:tc>
          <w:tcPr>
            <w:tcW w:w="714" w:type="pct"/>
            <w:tcBorders>
              <w:top w:val="single" w:color="000000" w:sz="4" w:space="0"/>
              <w:left w:val="single" w:color="auto" w:sz="4" w:space="0"/>
              <w:bottom w:val="single" w:color="000000" w:sz="4" w:space="0"/>
              <w:right w:val="single" w:color="000000" w:sz="4" w:space="0"/>
            </w:tcBorders>
            <w:noWrap w:val="0"/>
            <w:tcMar>
              <w:left w:w="108" w:type="dxa"/>
              <w:right w:w="108" w:type="dxa"/>
            </w:tcMar>
            <w:vAlign w:val="center"/>
          </w:tcPr>
          <w:p w14:paraId="490E33D8">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1400</w:t>
            </w:r>
          </w:p>
        </w:tc>
        <w:tc>
          <w:tcPr>
            <w:tcW w:w="664" w:type="pct"/>
            <w:tcBorders>
              <w:top w:val="single" w:color="000000" w:sz="4" w:space="0"/>
              <w:left w:val="single" w:color="000000" w:sz="4" w:space="0"/>
              <w:bottom w:val="single" w:color="000000" w:sz="4" w:space="0"/>
              <w:right w:val="single" w:color="000000" w:sz="4" w:space="0"/>
            </w:tcBorders>
            <w:noWrap w:val="0"/>
            <w:tcMar>
              <w:left w:w="108" w:type="dxa"/>
              <w:right w:w="108" w:type="dxa"/>
            </w:tcMar>
            <w:vAlign w:val="center"/>
          </w:tcPr>
          <w:p w14:paraId="2526650A">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70000</w:t>
            </w:r>
          </w:p>
        </w:tc>
      </w:tr>
      <w:tr w14:paraId="49B8AD86">
        <w:trPr>
          <w:trHeight w:val="285" w:hRule="atLeast"/>
          <w:jc w:val="center"/>
        </w:trPr>
        <w:tc>
          <w:tcPr>
            <w:tcW w:w="183" w:type="pct"/>
            <w:tcBorders>
              <w:top w:val="single" w:color="000000" w:sz="4" w:space="0"/>
              <w:left w:val="single" w:color="000000" w:sz="4" w:space="0"/>
              <w:bottom w:val="single" w:color="000000" w:sz="4" w:space="0"/>
              <w:right w:val="single" w:color="auto" w:sz="4" w:space="0"/>
            </w:tcBorders>
            <w:noWrap w:val="0"/>
            <w:tcMar>
              <w:left w:w="108" w:type="dxa"/>
              <w:right w:w="108" w:type="dxa"/>
            </w:tcMar>
            <w:vAlign w:val="center"/>
          </w:tcPr>
          <w:p w14:paraId="75F0DB38">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 s.index }}</w:t>
            </w:r>
          </w:p>
        </w:tc>
        <w:tc>
          <w:tcPr>
            <w:tcW w:w="1238" w:type="pct"/>
            <w:tcBorders>
              <w:top w:val="single" w:color="auto" w:sz="4" w:space="0"/>
              <w:left w:val="single" w:color="auto" w:sz="4" w:space="0"/>
              <w:bottom w:val="single" w:color="auto" w:sz="4" w:space="0"/>
              <w:right w:val="single" w:color="000000" w:sz="4" w:space="0"/>
            </w:tcBorders>
            <w:noWrap w:val="0"/>
            <w:tcMar>
              <w:left w:w="108" w:type="dxa"/>
              <w:right w:w="108" w:type="dxa"/>
            </w:tcMar>
            <w:vAlign w:val="center"/>
          </w:tcPr>
          <w:p w14:paraId="01BC87D5">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 s.owner }}</w:t>
            </w:r>
          </w:p>
        </w:tc>
        <w:tc>
          <w:tcPr>
            <w:tcW w:w="931"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41062FDD">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 s.address }}</w:t>
            </w:r>
          </w:p>
        </w:tc>
        <w:tc>
          <w:tcPr>
            <w:tcW w:w="568"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6A6115F9">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 s.usage }}</w:t>
            </w:r>
          </w:p>
        </w:tc>
        <w:tc>
          <w:tcPr>
            <w:tcW w:w="699" w:type="pct"/>
            <w:tcBorders>
              <w:top w:val="single" w:color="000000" w:sz="4" w:space="0"/>
              <w:left w:val="single" w:color="auto" w:sz="4" w:space="0"/>
              <w:bottom w:val="single" w:color="000000" w:sz="4" w:space="0"/>
              <w:right w:val="single" w:color="auto" w:sz="4" w:space="0"/>
            </w:tcBorders>
            <w:noWrap w:val="0"/>
            <w:tcMar>
              <w:left w:w="108" w:type="dxa"/>
              <w:right w:w="108" w:type="dxa"/>
            </w:tcMar>
            <w:vAlign w:val="center"/>
          </w:tcPr>
          <w:p w14:paraId="0F0B8E8D">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 s.area }}</w:t>
            </w:r>
          </w:p>
        </w:tc>
        <w:tc>
          <w:tcPr>
            <w:tcW w:w="714" w:type="pct"/>
            <w:tcBorders>
              <w:top w:val="single" w:color="000000" w:sz="4" w:space="0"/>
              <w:left w:val="single" w:color="auto" w:sz="4" w:space="0"/>
              <w:bottom w:val="single" w:color="000000" w:sz="4" w:space="0"/>
              <w:right w:val="single" w:color="000000" w:sz="4" w:space="0"/>
            </w:tcBorders>
            <w:noWrap w:val="0"/>
            <w:tcMar>
              <w:left w:w="108" w:type="dxa"/>
              <w:right w:w="108" w:type="dxa"/>
            </w:tcMar>
            <w:vAlign w:val="center"/>
          </w:tcPr>
          <w:p w14:paraId="490E33D8">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 s.unit_price }}</w:t>
            </w:r>
          </w:p>
        </w:tc>
        <w:tc>
          <w:tcPr>
            <w:tcW w:w="664" w:type="pct"/>
            <w:tcBorders>
              <w:top w:val="single" w:color="000000" w:sz="4" w:space="0"/>
              <w:left w:val="single" w:color="000000" w:sz="4" w:space="0"/>
              <w:bottom w:val="single" w:color="000000" w:sz="4" w:space="0"/>
              <w:right w:val="single" w:color="000000" w:sz="4" w:space="0"/>
            </w:tcBorders>
            <w:noWrap w:val="0"/>
            <w:tcMar>
              <w:left w:w="108" w:type="dxa"/>
              <w:right w:w="108" w:type="dxa"/>
            </w:tcMar>
            <w:vAlign w:val="center"/>
          </w:tcPr>
          <w:p w14:paraId="2526650A">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 s.annual_value }}</w:t>
            </w:r>
          </w:p>
        </w:tc>
      </w:tr>
      <w:tr w14:paraId="49B8AD86">
        <w:trPr>
          <w:trHeight w:val="285" w:hRule="atLeast"/>
          <w:jc w:val="center"/>
        </w:trPr>
        <w:tc>
          <w:tcPr>
            <w:tcW w:w="183" w:type="pct"/>
            <w:tcBorders>
              <w:top w:val="single" w:color="000000" w:sz="4" w:space="0"/>
              <w:left w:val="single" w:color="000000" w:sz="4" w:space="0"/>
              <w:bottom w:val="single" w:color="000000" w:sz="4" w:space="0"/>
              <w:right w:val="single" w:color="auto" w:sz="4" w:space="0"/>
            </w:tcBorders>
            <w:noWrap w:val="0"/>
            <w:tcMar>
              <w:left w:w="108" w:type="dxa"/>
              <w:right w:w="108" w:type="dxa"/>
            </w:tcMar>
            <w:vAlign w:val="center"/>
          </w:tcPr>
          <w:p w14:paraId="75F0DB38">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{%tr endfor %}</w:t>
            </w:r>
          </w:p>
        </w:tc>
        <w:tc>
          <w:tcPr>
            <w:tcW w:w="1238" w:type="pct"/>
            <w:tcBorders>
              <w:top w:val="single" w:color="auto" w:sz="4" w:space="0"/>
              <w:left w:val="single" w:color="auto" w:sz="4" w:space="0"/>
              <w:bottom w:val="single" w:color="auto" w:sz="4" w:space="0"/>
              <w:right w:val="single" w:color="000000" w:sz="4" w:space="0"/>
            </w:tcBorders>
            <w:noWrap w:val="0"/>
            <w:tcMar>
              <w:left w:w="108" w:type="dxa"/>
              <w:right w:w="108" w:type="dxa"/>
            </w:tcMar>
            <w:vAlign w:val="center"/>
          </w:tcPr>
          <w:p w14:paraId="01BC87D5">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 owner }}</w:t>
            </w:r>
          </w:p>
        </w:tc>
        <w:tc>
          <w:tcPr>
            <w:tcW w:w="931"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41062FDD">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 address }}</w:t>
            </w:r>
          </w:p>
        </w:tc>
        <w:tc>
          <w:tcPr>
            <w:tcW w:w="568"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6A6115F9">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 usage }}</w:t>
            </w:r>
          </w:p>
        </w:tc>
        <w:tc>
          <w:tcPr>
            <w:tcW w:w="699" w:type="pct"/>
            <w:tcBorders>
              <w:top w:val="single" w:color="000000" w:sz="4" w:space="0"/>
              <w:left w:val="single" w:color="auto" w:sz="4" w:space="0"/>
              <w:bottom w:val="single" w:color="000000" w:sz="4" w:space="0"/>
              <w:right w:val="single" w:color="auto" w:sz="4" w:space="0"/>
            </w:tcBorders>
            <w:noWrap w:val="0"/>
            <w:tcMar>
              <w:left w:w="108" w:type="dxa"/>
              <w:right w:w="108" w:type="dxa"/>
            </w:tcMar>
            <w:vAlign w:val="center"/>
          </w:tcPr>
          <w:p w14:paraId="0F0B8E8D">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50.00</w:t>
            </w:r>
          </w:p>
        </w:tc>
        <w:tc>
          <w:tcPr>
            <w:tcW w:w="714" w:type="pct"/>
            <w:tcBorders>
              <w:top w:val="single" w:color="000000" w:sz="4" w:space="0"/>
              <w:left w:val="single" w:color="auto" w:sz="4" w:space="0"/>
              <w:bottom w:val="single" w:color="000000" w:sz="4" w:space="0"/>
              <w:right w:val="single" w:color="000000" w:sz="4" w:space="0"/>
            </w:tcBorders>
            <w:noWrap w:val="0"/>
            <w:tcMar>
              <w:left w:w="108" w:type="dxa"/>
              <w:right w:w="108" w:type="dxa"/>
            </w:tcMar>
            <w:vAlign w:val="center"/>
          </w:tcPr>
          <w:p w14:paraId="490E33D8">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1400</w:t>
            </w:r>
          </w:p>
        </w:tc>
        <w:tc>
          <w:tcPr>
            <w:tcW w:w="664" w:type="pct"/>
            <w:tcBorders>
              <w:top w:val="single" w:color="000000" w:sz="4" w:space="0"/>
              <w:left w:val="single" w:color="000000" w:sz="4" w:space="0"/>
              <w:bottom w:val="single" w:color="000000" w:sz="4" w:space="0"/>
              <w:right w:val="single" w:color="000000" w:sz="4" w:space="0"/>
            </w:tcBorders>
            <w:noWrap w:val="0"/>
            <w:tcMar>
              <w:left w:w="108" w:type="dxa"/>
              <w:right w:w="108" w:type="dxa"/>
            </w:tcMar>
            <w:vAlign w:val="center"/>
          </w:tcPr>
          <w:p w14:paraId="2526650A">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70000</w:t>
            </w:r>
          </w:p>
        </w:tc>
      </w:tr>
      <w:tr w14:paraId="05E73AC6">
        <w:trPr>
          <w:trHeight w:val="582" w:hRule="atLeast"/>
          <w:jc w:val="center"/>
        </w:trPr>
        <w:tc>
          <w:tcPr>
            <w:tcW w:w="183" w:type="pct"/>
            <w:tcBorders>
              <w:top w:val="single" w:color="000000" w:sz="4" w:space="0"/>
              <w:left w:val="single" w:color="000000" w:sz="4" w:space="0"/>
              <w:bottom w:val="single" w:color="000000" w:sz="4" w:space="0"/>
              <w:right w:val="single" w:color="auto" w:sz="4" w:space="0"/>
            </w:tcBorders>
            <w:noWrap w:val="0"/>
            <w:tcMar>
              <w:left w:w="108" w:type="dxa"/>
              <w:right w:w="108" w:type="dxa"/>
            </w:tcMar>
            <w:vAlign w:val="center"/>
          </w:tcPr>
          <w:p w14:paraId="0BE4F732"/>
        </w:tc>
        <w:tc>
          <w:tcPr>
            <w:tcW w:w="1238" w:type="pct"/>
            <w:tcBorders>
              <w:top w:val="single" w:color="auto" w:sz="4" w:space="0"/>
              <w:left w:val="single" w:color="auto" w:sz="4" w:space="0"/>
              <w:bottom w:val="single" w:color="auto" w:sz="4" w:space="0"/>
              <w:right w:val="single" w:color="000000" w:sz="4" w:space="0"/>
            </w:tcBorders>
            <w:noWrap w:val="0"/>
            <w:tcMar>
              <w:left w:w="108" w:type="dxa"/>
              <w:right w:w="108" w:type="dxa"/>
            </w:tcMar>
            <w:vAlign w:val="center"/>
          </w:tcPr>
          <w:p w14:paraId="4DF5ED79">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合计</w:t>
            </w:r>
          </w:p>
        </w:tc>
        <w:tc>
          <w:tcPr>
            <w:tcW w:w="931"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649A749F"/>
        </w:tc>
        <w:tc>
          <w:tcPr>
            <w:tcW w:w="568"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4CB076D2"/>
        </w:tc>
        <w:tc>
          <w:tcPr>
            <w:tcW w:w="699" w:type="pct"/>
            <w:tcBorders>
              <w:top w:val="single" w:color="000000" w:sz="4" w:space="0"/>
              <w:left w:val="single" w:color="auto" w:sz="4" w:space="0"/>
              <w:bottom w:val="single" w:color="000000" w:sz="4" w:space="0"/>
              <w:right w:val="single" w:color="auto" w:sz="4" w:space="0"/>
            </w:tcBorders>
            <w:noWrap w:val="0"/>
            <w:tcMar>
              <w:left w:w="108" w:type="dxa"/>
              <w:right w:w="108" w:type="dxa"/>
            </w:tcMar>
            <w:vAlign w:val="center"/>
          </w:tcPr>
          <w:p w14:paraId="0F36C27E">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 total_area }}</w:t>
            </w:r>
          </w:p>
        </w:tc>
        <w:tc>
          <w:tcPr>
            <w:tcW w:w="714" w:type="pct"/>
            <w:tcBorders>
              <w:top w:val="single" w:color="000000" w:sz="4" w:space="0"/>
              <w:left w:val="single" w:color="auto" w:sz="4" w:space="0"/>
              <w:bottom w:val="single" w:color="000000" w:sz="4" w:space="0"/>
              <w:right w:val="single" w:color="000000" w:sz="4" w:space="0"/>
            </w:tcBorders>
            <w:noWrap w:val="0"/>
            <w:tcMar>
              <w:left w:w="108" w:type="dxa"/>
              <w:right w:w="108" w:type="dxa"/>
            </w:tcMar>
            <w:vAlign w:val="center"/>
          </w:tcPr>
          <w:p w14:paraId="46C0E897"/>
        </w:tc>
        <w:tc>
          <w:tcPr>
            <w:tcW w:w="664" w:type="pct"/>
            <w:tcBorders>
              <w:top w:val="single" w:color="000000" w:sz="4" w:space="0"/>
              <w:left w:val="single" w:color="000000" w:sz="4" w:space="0"/>
              <w:bottom w:val="single" w:color="000000" w:sz="4" w:space="0"/>
              <w:right w:val="single" w:color="000000" w:sz="4" w:space="0"/>
            </w:tcBorders>
            <w:noWrap w:val="0"/>
            <w:tcMar>
              <w:left w:w="108" w:type="dxa"/>
              <w:right w:w="108" w:type="dxa"/>
            </w:tcMar>
            <w:vAlign w:val="center"/>
          </w:tcPr>
          <w:p w14:paraId="5FF4E1C4">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 total_value }}</w:t>
            </w:r>
          </w:p>
        </w:tc>
      </w:tr>
    </w:tbl>
    <w:p w14:paraId="2FCC5BFD"/>
    <w:p w14:paraId="74452FED">
      <w:pPr>
        <w:spacing w:line="500" w:lineRule="exact"/>
        <w:ind w:firstLine="561" w:firstLineChars="200"/>
        <w:rPr>
          <w:rFonts w:hint="eastAsia" w:ascii="楷体" w:hAnsi="楷体" w:eastAsia="楷体" w:cs="仿宋"/>
          <w:b/>
          <w:sz w:val="28"/>
          <w:szCs w:val="28"/>
        </w:rPr>
      </w:pPr>
      <w:r>
        <w:rPr>
          <w:rFonts w:hint="eastAsia" w:ascii="楷体" w:hAnsi="楷体" w:eastAsia="楷体" w:cs="仿宋"/>
          <w:b/>
          <w:sz w:val="28"/>
          <w:szCs w:val="28"/>
        </w:rPr>
        <w:t>特别提示：</w:t>
      </w:r>
    </w:p>
    <w:p w14:paraId="1FA15D1B">
      <w:pPr>
        <w:spacing w:line="500" w:lineRule="exact"/>
        <w:ind w:firstLine="560" w:firstLineChars="200"/>
        <w:rPr>
          <w:rFonts w:hint="eastAsia" w:ascii="楷体" w:hAnsi="楷体" w:eastAsia="楷体" w:cs="仿宋"/>
          <w:kern w:val="2"/>
          <w:sz w:val="28"/>
          <w:szCs w:val="28"/>
          <w:lang w:val="en-US" w:eastAsia="zh-CN" w:bidi="ar-SA"/>
        </w:rPr>
      </w:pPr>
      <w:bookmarkStart w:id="9" w:name="_Toc221710847"/>
      <w:bookmarkStart w:id="10" w:name="_Toc221711013"/>
      <w:bookmarkStart w:id="11" w:name="_Toc787"/>
      <w:r>
        <w:rPr>
          <w:rFonts w:hint="eastAsia" w:ascii="楷体" w:hAnsi="楷体" w:eastAsia="楷体" w:cs="宋体"/>
          <w:kern w:val="2"/>
          <w:sz w:val="28"/>
          <w:szCs w:val="28"/>
          <w:lang w:val="en-US" w:eastAsia="zh-CN" w:bidi="ar-SA"/>
        </w:rPr>
        <w:t>（1）本估价结果使用有效期限为从本报告出具之日起一年（{{ issue_date }}至2027年4月26日止），若未满足上述条件，需重新估价。</w:t>
      </w:r>
    </w:p>
    <w:p w14:paraId="1253FE2E">
      <w:pPr>
        <w:autoSpaceDE w:val="0"/>
        <w:autoSpaceDN w:val="0"/>
        <w:adjustRightInd w:val="0"/>
        <w:spacing w:line="500" w:lineRule="exact"/>
        <w:ind w:firstLine="560" w:firstLineChars="200"/>
        <w:jc w:val="left"/>
        <w:outlineLvl w:val="0"/>
        <w:rPr>
          <w:rFonts w:hint="eastAsia" w:ascii="楷体" w:hAnsi="楷体" w:eastAsia="楷体"/>
          <w:sz w:val="28"/>
        </w:rPr>
      </w:pPr>
      <w:r>
        <w:rPr>
          <w:rFonts w:hint="eastAsia" w:ascii="楷体" w:hAnsi="楷体" w:eastAsia="楷体" w:cs="仿宋"/>
          <w:sz w:val="28"/>
          <w:szCs w:val="28"/>
        </w:rPr>
        <w:t>（2）本次估价结果为整体租赁下的价值。</w:t>
      </w:r>
      <w:bookmarkEnd w:id="9"/>
      <w:bookmarkEnd w:id="10"/>
      <w:bookmarkEnd w:id="11"/>
    </w:p>
    <w:p w14:paraId="7B01C9CC">
      <w:pPr>
        <w:spacing w:line="500" w:lineRule="exact"/>
        <w:ind w:firstLine="560" w:firstLineChars="200"/>
        <w:jc w:val="left"/>
        <w:rPr>
          <w:rFonts w:hint="eastAsia" w:ascii="楷体" w:hAnsi="楷体" w:eastAsia="楷体" w:cs="仿宋"/>
          <w:sz w:val="28"/>
          <w:szCs w:val="28"/>
        </w:rPr>
      </w:pPr>
      <w:r>
        <w:rPr>
          <w:rFonts w:hint="eastAsia" w:ascii="楷体" w:hAnsi="楷体" w:eastAsia="楷体" w:cs="仿宋"/>
          <w:sz w:val="28"/>
          <w:szCs w:val="28"/>
          <w:lang w:eastAsia="zh-CN"/>
        </w:rPr>
        <w:t>（3）</w:t>
      </w:r>
      <w:r>
        <w:rPr>
          <w:rFonts w:hint="eastAsia" w:ascii="楷体" w:hAnsi="楷体" w:eastAsia="楷体" w:cs="仿宋"/>
          <w:sz w:val="28"/>
          <w:szCs w:val="28"/>
        </w:rPr>
        <w:t>本次估价对象未取得《不动产权证》，使用无证</w:t>
      </w:r>
      <w:r>
        <w:rPr>
          <w:rFonts w:hint="eastAsia" w:ascii="楷体" w:hAnsi="楷体" w:eastAsia="楷体" w:cs="仿宋"/>
          <w:sz w:val="28"/>
          <w:szCs w:val="28"/>
          <w:lang w:val="en-US" w:eastAsia="zh-CN"/>
        </w:rPr>
        <w:t>土地</w:t>
      </w:r>
      <w:r>
        <w:rPr>
          <w:rFonts w:hint="eastAsia" w:ascii="楷体" w:hAnsi="楷体" w:eastAsia="楷体" w:cs="仿宋"/>
          <w:sz w:val="28"/>
          <w:szCs w:val="28"/>
        </w:rPr>
        <w:t>存在一定风险，提请委托人及报告使用者注意。</w:t>
      </w:r>
    </w:p>
    <w:p w14:paraId="466D46C7">
      <w:pPr>
        <w:spacing w:line="500" w:lineRule="exact"/>
        <w:ind w:firstLine="560" w:firstLineChars="200"/>
        <w:jc w:val="left"/>
        <w:rPr>
          <w:rFonts w:hint="eastAsia" w:ascii="楷体" w:hAnsi="楷体" w:eastAsia="楷体" w:cs="仿宋"/>
          <w:sz w:val="28"/>
          <w:szCs w:val="28"/>
        </w:rPr>
      </w:pPr>
      <w:r>
        <w:rPr>
          <w:rFonts w:hint="eastAsia" w:ascii="楷体" w:hAnsi="楷体" w:eastAsia="楷体"/>
          <w:sz w:val="28"/>
          <w:lang w:eastAsia="zh-CN"/>
        </w:rPr>
        <w:t>（4）</w:t>
      </w:r>
      <w:r>
        <w:rPr>
          <w:rFonts w:hint="eastAsia" w:ascii="楷体" w:hAnsi="楷体" w:eastAsia="楷体"/>
          <w:sz w:val="28"/>
        </w:rPr>
        <w:t>本函仅为估价报告的内容摘要，请估价委托人和估价报告使用者全面仔细地阅读估价报告全文。</w:t>
      </w:r>
    </w:p>
    <w:p w14:paraId="0CB24CB1">
      <w:pPr>
        <w:spacing w:line="500" w:lineRule="exact"/>
        <w:ind w:left="420" w:leftChars="200" w:firstLine="3080" w:firstLineChars="1100"/>
        <w:rPr>
          <w:rFonts w:hint="eastAsia" w:ascii="楷体" w:hAnsi="楷体" w:eastAsia="楷体" w:cs="仿宋"/>
          <w:sz w:val="28"/>
          <w:szCs w:val="28"/>
        </w:rPr>
      </w:pPr>
    </w:p>
    <w:p w14:paraId="1ACF1658">
      <w:pPr>
        <w:spacing w:line="500" w:lineRule="exact"/>
        <w:ind w:left="420" w:leftChars="200" w:firstLine="3080" w:firstLineChars="1100"/>
        <w:rPr>
          <w:rFonts w:hint="eastAsia" w:ascii="楷体" w:hAnsi="楷体" w:eastAsia="楷体" w:cs="仿宋"/>
          <w:sz w:val="28"/>
          <w:szCs w:val="28"/>
        </w:rPr>
      </w:pPr>
      <w:r>
        <w:rPr>
          <w:rFonts w:hint="eastAsia" w:ascii="楷体" w:hAnsi="楷体" w:eastAsia="楷体" w:cs="仿宋"/>
          <w:sz w:val="28"/>
          <w:szCs w:val="28"/>
        </w:rPr>
        <w:t>浙江正恒房地产土地资产评估咨询有限公司</w:t>
      </w:r>
    </w:p>
    <w:p w14:paraId="270BA745">
      <w:pPr>
        <w:spacing w:line="500" w:lineRule="exact"/>
        <w:ind w:left="420" w:leftChars="200" w:firstLine="4760" w:firstLineChars="1700"/>
        <w:rPr>
          <w:rFonts w:hint="eastAsia" w:ascii="楷体" w:hAnsi="楷体" w:eastAsia="楷体" w:cs="仿宋"/>
          <w:sz w:val="28"/>
          <w:szCs w:val="28"/>
        </w:rPr>
      </w:pPr>
      <w:r>
        <w:rPr>
          <w:rFonts w:hint="eastAsia" w:ascii="楷体" w:hAnsi="楷体" w:eastAsia="楷体" w:cs="仿宋"/>
          <w:sz w:val="28"/>
          <w:szCs w:val="28"/>
        </w:rPr>
        <w:t>法人代表：韩伟</w:t>
      </w:r>
    </w:p>
    <w:p w14:paraId="77B064B3">
      <w:pPr>
        <w:spacing w:line="500" w:lineRule="exact"/>
        <w:ind w:firstLine="5040" w:firstLineChars="1800"/>
        <w:rPr>
          <w:rFonts w:hint="eastAsia" w:ascii="楷体" w:hAnsi="楷体" w:eastAsia="楷体" w:cs="仿宋"/>
          <w:kern w:val="2"/>
          <w:sz w:val="28"/>
          <w:szCs w:val="28"/>
          <w:lang w:val="en-US" w:eastAsia="zh-CN" w:bidi="ar-SA"/>
        </w:rPr>
      </w:pPr>
      <w:r>
        <w:rPr>
          <w:rFonts w:hint="eastAsia" w:ascii="楷体" w:hAnsi="楷体" w:eastAsia="楷体" w:cs="宋体"/>
          <w:kern w:val="2"/>
          <w:sz w:val="28"/>
          <w:szCs w:val="28"/>
          <w:lang w:val="en-US" w:eastAsia="zh-CN" w:bidi="ar-SA"/>
        </w:rPr>
        <w:t>{{ issue_date }}</w:t>
      </w:r>
    </w:p>
    <w:p w14:paraId="44406123">
      <w:pPr>
        <w:spacing w:line="400" w:lineRule="exact"/>
        <w:rPr>
          <w:rFonts w:hint="eastAsia" w:ascii="楷体" w:hAnsi="楷体" w:eastAsia="楷体" w:cs="仿宋"/>
          <w:bCs/>
          <w:sz w:val="28"/>
          <w:szCs w:val="28"/>
        </w:rPr>
        <w:sectPr>
          <w:footerReference r:id="rId5" w:type="default"/>
          <w:pgSz w:w="11906" w:h="16838"/>
          <w:pgMar w:top="1418" w:right="1134" w:bottom="1134" w:left="1418" w:header="850" w:footer="851" w:gutter="284"/>
          <w:pgNumType w:start="1" w:chapStyle="1"/>
          <w:cols w:space="720" w:num="1"/>
          <w:docGrid w:type="lines" w:linePitch="312" w:charSpace="0"/>
        </w:sectPr>
      </w:pPr>
    </w:p>
    <w:p w14:paraId="0008A130">
      <w:pPr>
        <w:spacing w:before="312" w:beforeLines="100" w:line="480" w:lineRule="auto"/>
        <w:jc w:val="center"/>
        <w:rPr>
          <w:rFonts w:ascii="楷体" w:hAnsi="楷体" w:eastAsia="楷体"/>
          <w:b/>
          <w:sz w:val="52"/>
          <w:szCs w:val="52"/>
        </w:rPr>
      </w:pPr>
      <w:r>
        <w:rPr>
          <w:rFonts w:hint="eastAsia" w:ascii="楷体" w:hAnsi="楷体" w:eastAsia="楷体"/>
          <w:b/>
          <w:sz w:val="52"/>
          <w:szCs w:val="52"/>
        </w:rPr>
        <w:t>目 录</w:t>
      </w:r>
    </w:p>
    <w:p w14:paraId="547DDAD0">
      <w:pPr>
        <w:pStyle w:val="19"/>
        <w:keepNext w:val="0"/>
        <w:keepLines w:val="0"/>
        <w:pageBreakBefore w:val="0"/>
        <w:widowControl w:val="0"/>
        <w:tabs>
          <w:tab w:val="right" w:leader="dot" w:pos="9070"/>
        </w:tabs>
        <w:kinsoku/>
        <w:wordWrap/>
        <w:overflowPunct/>
        <w:topLinePunct w:val="0"/>
        <w:autoSpaceDE/>
        <w:autoSpaceDN/>
        <w:bidi w:val="0"/>
        <w:adjustRightInd/>
        <w:snapToGrid/>
        <w:spacing w:line="500" w:lineRule="exact"/>
        <w:textAlignment w:val="auto"/>
        <w:rPr>
          <w:rFonts w:hint="eastAsia" w:ascii="楷体" w:hAnsi="楷体" w:eastAsia="楷体" w:cs="楷体"/>
          <w:sz w:val="28"/>
          <w:szCs w:val="28"/>
        </w:rPr>
      </w:pPr>
      <w:r>
        <w:rPr>
          <w:rFonts w:hint="eastAsia" w:ascii="楷体" w:hAnsi="楷体" w:eastAsia="楷体" w:cs="楷体"/>
          <w:sz w:val="28"/>
          <w:szCs w:val="28"/>
        </w:rPr>
        <w:fldChar w:fldCharType="begin"/>
      </w:r>
      <w:r>
        <w:rPr>
          <w:rFonts w:hint="eastAsia" w:ascii="楷体" w:hAnsi="楷体" w:eastAsia="楷体" w:cs="楷体"/>
          <w:sz w:val="28"/>
          <w:szCs w:val="28"/>
        </w:rPr>
        <w:instrText xml:space="preserve"> TOC \o "1-3" \h \z \u </w:instrText>
      </w:r>
      <w:r>
        <w:rPr>
          <w:rFonts w:hint="eastAsia" w:ascii="楷体" w:hAnsi="楷体" w:eastAsia="楷体" w:cs="楷体"/>
          <w:sz w:val="28"/>
          <w:szCs w:val="28"/>
        </w:rPr>
        <w:fldChar w:fldCharType="separate"/>
      </w:r>
      <w:r>
        <w:rPr>
          <w:rFonts w:hint="eastAsia" w:ascii="楷体" w:hAnsi="楷体" w:eastAsia="楷体" w:cs="楷体"/>
          <w:bCs w:val="0"/>
          <w:sz w:val="28"/>
          <w:szCs w:val="28"/>
          <w:lang w:val="zh-CN"/>
        </w:rPr>
        <w:fldChar w:fldCharType="begin"/>
      </w:r>
      <w:r>
        <w:rPr>
          <w:rFonts w:hint="eastAsia" w:ascii="楷体" w:hAnsi="楷体" w:eastAsia="楷体" w:cs="楷体"/>
          <w:bCs w:val="0"/>
          <w:sz w:val="28"/>
          <w:szCs w:val="28"/>
          <w:lang w:val="zh-CN"/>
        </w:rPr>
        <w:instrText xml:space="preserve"> HYPERLINK \l _Toc25605 </w:instrText>
      </w:r>
      <w:r>
        <w:rPr>
          <w:rFonts w:hint="eastAsia" w:ascii="楷体" w:hAnsi="楷体" w:eastAsia="楷体" w:cs="楷体"/>
          <w:bCs w:val="0"/>
          <w:sz w:val="28"/>
          <w:szCs w:val="28"/>
          <w:lang w:val="zh-CN"/>
        </w:rPr>
        <w:fldChar w:fldCharType="separate"/>
      </w:r>
      <w:r>
        <w:rPr>
          <w:rFonts w:hint="eastAsia" w:ascii="楷体" w:hAnsi="楷体" w:eastAsia="楷体" w:cs="楷体"/>
          <w:bCs/>
          <w:sz w:val="28"/>
          <w:szCs w:val="28"/>
        </w:rPr>
        <w:t>估价师声明</w:t>
      </w:r>
      <w:r>
        <w:rPr>
          <w:rFonts w:hint="eastAsia" w:ascii="楷体" w:hAnsi="楷体" w:eastAsia="楷体" w:cs="楷体"/>
          <w:sz w:val="28"/>
          <w:szCs w:val="28"/>
        </w:rPr>
        <w:tab/>
      </w:r>
      <w:r>
        <w:rPr>
          <w:rFonts w:hint="eastAsia" w:ascii="楷体" w:hAnsi="楷体" w:eastAsia="楷体" w:cs="楷体"/>
          <w:sz w:val="28"/>
          <w:szCs w:val="28"/>
        </w:rPr>
        <w:fldChar w:fldCharType="begin"/>
      </w:r>
      <w:r>
        <w:rPr>
          <w:rFonts w:hint="eastAsia" w:ascii="楷体" w:hAnsi="楷体" w:eastAsia="楷体" w:cs="楷体"/>
          <w:sz w:val="28"/>
          <w:szCs w:val="28"/>
        </w:rPr>
        <w:instrText xml:space="preserve"> PAGEREF _Toc25605 \h </w:instrText>
      </w:r>
      <w:r>
        <w:rPr>
          <w:rFonts w:hint="eastAsia" w:ascii="楷体" w:hAnsi="楷体" w:eastAsia="楷体" w:cs="楷体"/>
          <w:sz w:val="28"/>
          <w:szCs w:val="28"/>
        </w:rPr>
        <w:fldChar w:fldCharType="separate"/>
      </w:r>
      <w:r>
        <w:rPr>
          <w:rFonts w:hint="eastAsia" w:ascii="楷体" w:hAnsi="楷体" w:eastAsia="楷体" w:cs="楷体"/>
          <w:sz w:val="28"/>
          <w:szCs w:val="28"/>
        </w:rPr>
        <w:t>1</w:t>
      </w:r>
      <w:r>
        <w:rPr>
          <w:rFonts w:hint="eastAsia" w:ascii="楷体" w:hAnsi="楷体" w:eastAsia="楷体" w:cs="楷体"/>
          <w:sz w:val="28"/>
          <w:szCs w:val="28"/>
        </w:rPr>
        <w:fldChar w:fldCharType="end"/>
      </w:r>
      <w:r>
        <w:rPr>
          <w:rFonts w:hint="eastAsia" w:ascii="楷体" w:hAnsi="楷体" w:eastAsia="楷体" w:cs="楷体"/>
          <w:bCs w:val="0"/>
          <w:sz w:val="28"/>
          <w:szCs w:val="28"/>
          <w:lang w:val="zh-CN"/>
        </w:rPr>
        <w:fldChar w:fldCharType="end"/>
      </w:r>
    </w:p>
    <w:p w14:paraId="18108B60">
      <w:pPr>
        <w:pStyle w:val="19"/>
        <w:keepNext w:val="0"/>
        <w:keepLines w:val="0"/>
        <w:pageBreakBefore w:val="0"/>
        <w:widowControl w:val="0"/>
        <w:tabs>
          <w:tab w:val="right" w:leader="dot" w:pos="9070"/>
        </w:tabs>
        <w:kinsoku/>
        <w:wordWrap/>
        <w:overflowPunct/>
        <w:topLinePunct w:val="0"/>
        <w:autoSpaceDE/>
        <w:autoSpaceDN/>
        <w:bidi w:val="0"/>
        <w:adjustRightInd/>
        <w:snapToGrid/>
        <w:spacing w:line="500" w:lineRule="exact"/>
        <w:textAlignment w:val="auto"/>
        <w:rPr>
          <w:rFonts w:hint="eastAsia" w:ascii="楷体" w:hAnsi="楷体" w:eastAsia="楷体" w:cs="楷体"/>
          <w:sz w:val="28"/>
          <w:szCs w:val="28"/>
        </w:rPr>
      </w:pPr>
      <w:r>
        <w:rPr>
          <w:rFonts w:hint="eastAsia" w:ascii="楷体" w:hAnsi="楷体" w:eastAsia="楷体" w:cs="楷体"/>
          <w:bCs w:val="0"/>
          <w:sz w:val="28"/>
          <w:szCs w:val="28"/>
          <w:lang w:val="zh-CN"/>
        </w:rPr>
        <w:fldChar w:fldCharType="begin"/>
      </w:r>
      <w:r>
        <w:rPr>
          <w:rFonts w:hint="eastAsia" w:ascii="楷体" w:hAnsi="楷体" w:eastAsia="楷体" w:cs="楷体"/>
          <w:bCs w:val="0"/>
          <w:sz w:val="28"/>
          <w:szCs w:val="28"/>
          <w:lang w:val="zh-CN"/>
        </w:rPr>
        <w:instrText xml:space="preserve"> HYPERLINK \l _Toc9611 </w:instrText>
      </w:r>
      <w:r>
        <w:rPr>
          <w:rFonts w:hint="eastAsia" w:ascii="楷体" w:hAnsi="楷体" w:eastAsia="楷体" w:cs="楷体"/>
          <w:bCs w:val="0"/>
          <w:sz w:val="28"/>
          <w:szCs w:val="28"/>
          <w:lang w:val="zh-CN"/>
        </w:rPr>
        <w:fldChar w:fldCharType="separate"/>
      </w:r>
      <w:r>
        <w:rPr>
          <w:rFonts w:hint="eastAsia" w:ascii="楷体" w:hAnsi="楷体" w:eastAsia="楷体" w:cs="楷体"/>
          <w:bCs/>
          <w:sz w:val="28"/>
          <w:szCs w:val="28"/>
        </w:rPr>
        <w:t>估价假设和限制条件</w:t>
      </w:r>
      <w:r>
        <w:rPr>
          <w:rFonts w:hint="eastAsia" w:ascii="楷体" w:hAnsi="楷体" w:eastAsia="楷体" w:cs="楷体"/>
          <w:sz w:val="28"/>
          <w:szCs w:val="28"/>
        </w:rPr>
        <w:tab/>
      </w:r>
      <w:r>
        <w:rPr>
          <w:rFonts w:hint="eastAsia" w:ascii="楷体" w:hAnsi="楷体" w:eastAsia="楷体" w:cs="楷体"/>
          <w:sz w:val="28"/>
          <w:szCs w:val="28"/>
        </w:rPr>
        <w:fldChar w:fldCharType="begin"/>
      </w:r>
      <w:r>
        <w:rPr>
          <w:rFonts w:hint="eastAsia" w:ascii="楷体" w:hAnsi="楷体" w:eastAsia="楷体" w:cs="楷体"/>
          <w:sz w:val="28"/>
          <w:szCs w:val="28"/>
        </w:rPr>
        <w:instrText xml:space="preserve"> PAGEREF _Toc9611 \h </w:instrText>
      </w:r>
      <w:r>
        <w:rPr>
          <w:rFonts w:hint="eastAsia" w:ascii="楷体" w:hAnsi="楷体" w:eastAsia="楷体" w:cs="楷体"/>
          <w:sz w:val="28"/>
          <w:szCs w:val="28"/>
        </w:rPr>
        <w:fldChar w:fldCharType="separate"/>
      </w:r>
      <w:r>
        <w:rPr>
          <w:rFonts w:hint="eastAsia" w:ascii="楷体" w:hAnsi="楷体" w:eastAsia="楷体" w:cs="楷体"/>
          <w:sz w:val="28"/>
          <w:szCs w:val="28"/>
        </w:rPr>
        <w:t>2</w:t>
      </w:r>
      <w:r>
        <w:rPr>
          <w:rFonts w:hint="eastAsia" w:ascii="楷体" w:hAnsi="楷体" w:eastAsia="楷体" w:cs="楷体"/>
          <w:sz w:val="28"/>
          <w:szCs w:val="28"/>
        </w:rPr>
        <w:fldChar w:fldCharType="end"/>
      </w:r>
      <w:r>
        <w:rPr>
          <w:rFonts w:hint="eastAsia" w:ascii="楷体" w:hAnsi="楷体" w:eastAsia="楷体" w:cs="楷体"/>
          <w:bCs w:val="0"/>
          <w:sz w:val="28"/>
          <w:szCs w:val="28"/>
          <w:lang w:val="zh-CN"/>
        </w:rPr>
        <w:fldChar w:fldCharType="end"/>
      </w:r>
    </w:p>
    <w:p w14:paraId="67CBD374">
      <w:pPr>
        <w:pStyle w:val="23"/>
        <w:keepNext w:val="0"/>
        <w:keepLines w:val="0"/>
        <w:pageBreakBefore w:val="0"/>
        <w:widowControl w:val="0"/>
        <w:tabs>
          <w:tab w:val="right" w:leader="dot" w:pos="9070"/>
        </w:tabs>
        <w:kinsoku/>
        <w:wordWrap/>
        <w:overflowPunct/>
        <w:topLinePunct w:val="0"/>
        <w:autoSpaceDE/>
        <w:autoSpaceDN/>
        <w:bidi w:val="0"/>
        <w:adjustRightInd/>
        <w:snapToGrid/>
        <w:spacing w:line="500" w:lineRule="exact"/>
        <w:textAlignment w:val="auto"/>
        <w:rPr>
          <w:rFonts w:hint="eastAsia" w:ascii="楷体" w:hAnsi="楷体" w:eastAsia="楷体" w:cs="楷体"/>
          <w:sz w:val="28"/>
          <w:szCs w:val="28"/>
        </w:rPr>
      </w:pPr>
      <w:r>
        <w:rPr>
          <w:rFonts w:hint="eastAsia" w:ascii="楷体" w:hAnsi="楷体" w:eastAsia="楷体" w:cs="楷体"/>
          <w:bCs/>
          <w:sz w:val="28"/>
          <w:szCs w:val="28"/>
          <w:lang w:val="zh-CN"/>
        </w:rPr>
        <w:fldChar w:fldCharType="begin"/>
      </w:r>
      <w:r>
        <w:rPr>
          <w:rFonts w:hint="eastAsia" w:ascii="楷体" w:hAnsi="楷体" w:eastAsia="楷体" w:cs="楷体"/>
          <w:bCs/>
          <w:sz w:val="28"/>
          <w:szCs w:val="28"/>
          <w:lang w:val="zh-CN"/>
        </w:rPr>
        <w:instrText xml:space="preserve"> HYPERLINK \l _Toc29912 </w:instrText>
      </w:r>
      <w:r>
        <w:rPr>
          <w:rFonts w:hint="eastAsia" w:ascii="楷体" w:hAnsi="楷体" w:eastAsia="楷体" w:cs="楷体"/>
          <w:bCs/>
          <w:sz w:val="28"/>
          <w:szCs w:val="28"/>
          <w:lang w:val="zh-CN"/>
        </w:rPr>
        <w:fldChar w:fldCharType="separate"/>
      </w:r>
      <w:r>
        <w:rPr>
          <w:rFonts w:hint="eastAsia" w:ascii="楷体" w:hAnsi="楷体" w:eastAsia="楷体" w:cs="楷体"/>
          <w:bCs/>
          <w:sz w:val="28"/>
          <w:szCs w:val="28"/>
        </w:rPr>
        <w:t>一、一般性假设</w:t>
      </w:r>
      <w:r>
        <w:rPr>
          <w:rFonts w:hint="eastAsia" w:ascii="楷体" w:hAnsi="楷体" w:eastAsia="楷体" w:cs="楷体"/>
          <w:sz w:val="28"/>
          <w:szCs w:val="28"/>
        </w:rPr>
        <w:tab/>
      </w:r>
      <w:r>
        <w:rPr>
          <w:rFonts w:hint="eastAsia" w:ascii="楷体" w:hAnsi="楷体" w:eastAsia="楷体" w:cs="楷体"/>
          <w:sz w:val="28"/>
          <w:szCs w:val="28"/>
        </w:rPr>
        <w:fldChar w:fldCharType="begin"/>
      </w:r>
      <w:r>
        <w:rPr>
          <w:rFonts w:hint="eastAsia" w:ascii="楷体" w:hAnsi="楷体" w:eastAsia="楷体" w:cs="楷体"/>
          <w:sz w:val="28"/>
          <w:szCs w:val="28"/>
        </w:rPr>
        <w:instrText xml:space="preserve"> PAGEREF _Toc29912 \h </w:instrText>
      </w:r>
      <w:r>
        <w:rPr>
          <w:rFonts w:hint="eastAsia" w:ascii="楷体" w:hAnsi="楷体" w:eastAsia="楷体" w:cs="楷体"/>
          <w:sz w:val="28"/>
          <w:szCs w:val="28"/>
        </w:rPr>
        <w:fldChar w:fldCharType="separate"/>
      </w:r>
      <w:r>
        <w:rPr>
          <w:rFonts w:hint="eastAsia" w:ascii="楷体" w:hAnsi="楷体" w:eastAsia="楷体" w:cs="楷体"/>
          <w:sz w:val="28"/>
          <w:szCs w:val="28"/>
        </w:rPr>
        <w:t>2</w:t>
      </w:r>
      <w:r>
        <w:rPr>
          <w:rFonts w:hint="eastAsia" w:ascii="楷体" w:hAnsi="楷体" w:eastAsia="楷体" w:cs="楷体"/>
          <w:sz w:val="28"/>
          <w:szCs w:val="28"/>
        </w:rPr>
        <w:fldChar w:fldCharType="end"/>
      </w:r>
      <w:r>
        <w:rPr>
          <w:rFonts w:hint="eastAsia" w:ascii="楷体" w:hAnsi="楷体" w:eastAsia="楷体" w:cs="楷体"/>
          <w:bCs/>
          <w:sz w:val="28"/>
          <w:szCs w:val="28"/>
          <w:lang w:val="zh-CN"/>
        </w:rPr>
        <w:fldChar w:fldCharType="end"/>
      </w:r>
    </w:p>
    <w:p w14:paraId="0013672F">
      <w:pPr>
        <w:pStyle w:val="23"/>
        <w:keepNext w:val="0"/>
        <w:keepLines w:val="0"/>
        <w:pageBreakBefore w:val="0"/>
        <w:widowControl w:val="0"/>
        <w:tabs>
          <w:tab w:val="right" w:leader="dot" w:pos="9070"/>
        </w:tabs>
        <w:kinsoku/>
        <w:wordWrap/>
        <w:overflowPunct/>
        <w:topLinePunct w:val="0"/>
        <w:autoSpaceDE/>
        <w:autoSpaceDN/>
        <w:bidi w:val="0"/>
        <w:adjustRightInd/>
        <w:snapToGrid/>
        <w:spacing w:line="500" w:lineRule="exact"/>
        <w:textAlignment w:val="auto"/>
        <w:rPr>
          <w:rFonts w:hint="eastAsia" w:ascii="楷体" w:hAnsi="楷体" w:eastAsia="楷体" w:cs="楷体"/>
          <w:sz w:val="28"/>
          <w:szCs w:val="28"/>
        </w:rPr>
      </w:pPr>
      <w:r>
        <w:rPr>
          <w:rFonts w:hint="eastAsia" w:ascii="楷体" w:hAnsi="楷体" w:eastAsia="楷体" w:cs="楷体"/>
          <w:bCs/>
          <w:sz w:val="28"/>
          <w:szCs w:val="28"/>
          <w:lang w:val="zh-CN"/>
        </w:rPr>
        <w:fldChar w:fldCharType="begin"/>
      </w:r>
      <w:r>
        <w:rPr>
          <w:rFonts w:hint="eastAsia" w:ascii="楷体" w:hAnsi="楷体" w:eastAsia="楷体" w:cs="楷体"/>
          <w:bCs/>
          <w:sz w:val="28"/>
          <w:szCs w:val="28"/>
          <w:lang w:val="zh-CN"/>
        </w:rPr>
        <w:instrText xml:space="preserve"> HYPERLINK \l _Toc18567 </w:instrText>
      </w:r>
      <w:r>
        <w:rPr>
          <w:rFonts w:hint="eastAsia" w:ascii="楷体" w:hAnsi="楷体" w:eastAsia="楷体" w:cs="楷体"/>
          <w:bCs/>
          <w:sz w:val="28"/>
          <w:szCs w:val="28"/>
          <w:lang w:val="zh-CN"/>
        </w:rPr>
        <w:fldChar w:fldCharType="separate"/>
      </w:r>
      <w:r>
        <w:rPr>
          <w:rFonts w:hint="eastAsia" w:ascii="楷体" w:hAnsi="楷体" w:eastAsia="楷体" w:cs="楷体"/>
          <w:bCs/>
          <w:sz w:val="28"/>
          <w:szCs w:val="28"/>
        </w:rPr>
        <w:t>二、未定事项假设</w:t>
      </w:r>
      <w:r>
        <w:rPr>
          <w:rFonts w:hint="eastAsia" w:ascii="楷体" w:hAnsi="楷体" w:eastAsia="楷体" w:cs="楷体"/>
          <w:sz w:val="28"/>
          <w:szCs w:val="28"/>
        </w:rPr>
        <w:tab/>
      </w:r>
      <w:r>
        <w:rPr>
          <w:rFonts w:hint="eastAsia" w:ascii="楷体" w:hAnsi="楷体" w:eastAsia="楷体" w:cs="楷体"/>
          <w:sz w:val="28"/>
          <w:szCs w:val="28"/>
        </w:rPr>
        <w:fldChar w:fldCharType="begin"/>
      </w:r>
      <w:r>
        <w:rPr>
          <w:rFonts w:hint="eastAsia" w:ascii="楷体" w:hAnsi="楷体" w:eastAsia="楷体" w:cs="楷体"/>
          <w:sz w:val="28"/>
          <w:szCs w:val="28"/>
        </w:rPr>
        <w:instrText xml:space="preserve"> PAGEREF _Toc18567 \h </w:instrText>
      </w:r>
      <w:r>
        <w:rPr>
          <w:rFonts w:hint="eastAsia" w:ascii="楷体" w:hAnsi="楷体" w:eastAsia="楷体" w:cs="楷体"/>
          <w:sz w:val="28"/>
          <w:szCs w:val="28"/>
        </w:rPr>
        <w:fldChar w:fldCharType="separate"/>
      </w:r>
      <w:r>
        <w:rPr>
          <w:rFonts w:hint="eastAsia" w:ascii="楷体" w:hAnsi="楷体" w:eastAsia="楷体" w:cs="楷体"/>
          <w:sz w:val="28"/>
          <w:szCs w:val="28"/>
        </w:rPr>
        <w:t>2</w:t>
      </w:r>
      <w:r>
        <w:rPr>
          <w:rFonts w:hint="eastAsia" w:ascii="楷体" w:hAnsi="楷体" w:eastAsia="楷体" w:cs="楷体"/>
          <w:sz w:val="28"/>
          <w:szCs w:val="28"/>
        </w:rPr>
        <w:fldChar w:fldCharType="end"/>
      </w:r>
      <w:r>
        <w:rPr>
          <w:rFonts w:hint="eastAsia" w:ascii="楷体" w:hAnsi="楷体" w:eastAsia="楷体" w:cs="楷体"/>
          <w:bCs/>
          <w:sz w:val="28"/>
          <w:szCs w:val="28"/>
          <w:lang w:val="zh-CN"/>
        </w:rPr>
        <w:fldChar w:fldCharType="end"/>
      </w:r>
    </w:p>
    <w:p w14:paraId="5AFA5BA7">
      <w:pPr>
        <w:pStyle w:val="23"/>
        <w:keepNext w:val="0"/>
        <w:keepLines w:val="0"/>
        <w:pageBreakBefore w:val="0"/>
        <w:widowControl w:val="0"/>
        <w:tabs>
          <w:tab w:val="right" w:leader="dot" w:pos="9070"/>
        </w:tabs>
        <w:kinsoku/>
        <w:wordWrap/>
        <w:overflowPunct/>
        <w:topLinePunct w:val="0"/>
        <w:autoSpaceDE/>
        <w:autoSpaceDN/>
        <w:bidi w:val="0"/>
        <w:adjustRightInd/>
        <w:snapToGrid/>
        <w:spacing w:line="500" w:lineRule="exact"/>
        <w:textAlignment w:val="auto"/>
        <w:rPr>
          <w:rFonts w:hint="eastAsia" w:ascii="楷体" w:hAnsi="楷体" w:eastAsia="楷体" w:cs="楷体"/>
          <w:sz w:val="28"/>
          <w:szCs w:val="28"/>
        </w:rPr>
      </w:pPr>
      <w:r>
        <w:rPr>
          <w:rFonts w:hint="eastAsia" w:ascii="楷体" w:hAnsi="楷体" w:eastAsia="楷体" w:cs="楷体"/>
          <w:bCs/>
          <w:sz w:val="28"/>
          <w:szCs w:val="28"/>
          <w:lang w:val="zh-CN"/>
        </w:rPr>
        <w:fldChar w:fldCharType="begin"/>
      </w:r>
      <w:r>
        <w:rPr>
          <w:rFonts w:hint="eastAsia" w:ascii="楷体" w:hAnsi="楷体" w:eastAsia="楷体" w:cs="楷体"/>
          <w:bCs/>
          <w:sz w:val="28"/>
          <w:szCs w:val="28"/>
          <w:lang w:val="zh-CN"/>
        </w:rPr>
        <w:instrText xml:space="preserve"> HYPERLINK \l _Toc20772 </w:instrText>
      </w:r>
      <w:r>
        <w:rPr>
          <w:rFonts w:hint="eastAsia" w:ascii="楷体" w:hAnsi="楷体" w:eastAsia="楷体" w:cs="楷体"/>
          <w:bCs/>
          <w:sz w:val="28"/>
          <w:szCs w:val="28"/>
          <w:lang w:val="zh-CN"/>
        </w:rPr>
        <w:fldChar w:fldCharType="separate"/>
      </w:r>
      <w:r>
        <w:rPr>
          <w:rFonts w:hint="eastAsia" w:ascii="楷体" w:hAnsi="楷体" w:eastAsia="楷体" w:cs="楷体"/>
          <w:bCs/>
          <w:sz w:val="28"/>
          <w:szCs w:val="28"/>
        </w:rPr>
        <w:t>三、背离事实假设</w:t>
      </w:r>
      <w:r>
        <w:rPr>
          <w:rFonts w:hint="eastAsia" w:ascii="楷体" w:hAnsi="楷体" w:eastAsia="楷体" w:cs="楷体"/>
          <w:sz w:val="28"/>
          <w:szCs w:val="28"/>
        </w:rPr>
        <w:tab/>
      </w:r>
      <w:r>
        <w:rPr>
          <w:rFonts w:hint="eastAsia" w:ascii="楷体" w:hAnsi="楷体" w:eastAsia="楷体" w:cs="楷体"/>
          <w:sz w:val="28"/>
          <w:szCs w:val="28"/>
        </w:rPr>
        <w:fldChar w:fldCharType="begin"/>
      </w:r>
      <w:r>
        <w:rPr>
          <w:rFonts w:hint="eastAsia" w:ascii="楷体" w:hAnsi="楷体" w:eastAsia="楷体" w:cs="楷体"/>
          <w:sz w:val="28"/>
          <w:szCs w:val="28"/>
        </w:rPr>
        <w:instrText xml:space="preserve"> PAGEREF _Toc20772 \h </w:instrText>
      </w:r>
      <w:r>
        <w:rPr>
          <w:rFonts w:hint="eastAsia" w:ascii="楷体" w:hAnsi="楷体" w:eastAsia="楷体" w:cs="楷体"/>
          <w:sz w:val="28"/>
          <w:szCs w:val="28"/>
        </w:rPr>
        <w:fldChar w:fldCharType="separate"/>
      </w:r>
      <w:r>
        <w:rPr>
          <w:rFonts w:hint="eastAsia" w:ascii="楷体" w:hAnsi="楷体" w:eastAsia="楷体" w:cs="楷体"/>
          <w:sz w:val="28"/>
          <w:szCs w:val="28"/>
        </w:rPr>
        <w:t>2</w:t>
      </w:r>
      <w:r>
        <w:rPr>
          <w:rFonts w:hint="eastAsia" w:ascii="楷体" w:hAnsi="楷体" w:eastAsia="楷体" w:cs="楷体"/>
          <w:sz w:val="28"/>
          <w:szCs w:val="28"/>
        </w:rPr>
        <w:fldChar w:fldCharType="end"/>
      </w:r>
      <w:r>
        <w:rPr>
          <w:rFonts w:hint="eastAsia" w:ascii="楷体" w:hAnsi="楷体" w:eastAsia="楷体" w:cs="楷体"/>
          <w:bCs/>
          <w:sz w:val="28"/>
          <w:szCs w:val="28"/>
          <w:lang w:val="zh-CN"/>
        </w:rPr>
        <w:fldChar w:fldCharType="end"/>
      </w:r>
    </w:p>
    <w:p w14:paraId="71C585BB">
      <w:pPr>
        <w:pStyle w:val="23"/>
        <w:keepNext w:val="0"/>
        <w:keepLines w:val="0"/>
        <w:pageBreakBefore w:val="0"/>
        <w:widowControl w:val="0"/>
        <w:tabs>
          <w:tab w:val="right" w:leader="dot" w:pos="9070"/>
        </w:tabs>
        <w:kinsoku/>
        <w:wordWrap/>
        <w:overflowPunct/>
        <w:topLinePunct w:val="0"/>
        <w:autoSpaceDE/>
        <w:autoSpaceDN/>
        <w:bidi w:val="0"/>
        <w:adjustRightInd/>
        <w:snapToGrid/>
        <w:spacing w:line="500" w:lineRule="exact"/>
        <w:textAlignment w:val="auto"/>
        <w:rPr>
          <w:rFonts w:hint="eastAsia" w:ascii="楷体" w:hAnsi="楷体" w:eastAsia="楷体" w:cs="楷体"/>
          <w:sz w:val="28"/>
          <w:szCs w:val="28"/>
        </w:rPr>
      </w:pPr>
      <w:r>
        <w:rPr>
          <w:rFonts w:hint="eastAsia" w:ascii="楷体" w:hAnsi="楷体" w:eastAsia="楷体" w:cs="楷体"/>
          <w:bCs/>
          <w:sz w:val="28"/>
          <w:szCs w:val="28"/>
          <w:lang w:val="zh-CN"/>
        </w:rPr>
        <w:fldChar w:fldCharType="begin"/>
      </w:r>
      <w:r>
        <w:rPr>
          <w:rFonts w:hint="eastAsia" w:ascii="楷体" w:hAnsi="楷体" w:eastAsia="楷体" w:cs="楷体"/>
          <w:bCs/>
          <w:sz w:val="28"/>
          <w:szCs w:val="28"/>
          <w:lang w:val="zh-CN"/>
        </w:rPr>
        <w:instrText xml:space="preserve"> HYPERLINK \l _Toc4865 </w:instrText>
      </w:r>
      <w:r>
        <w:rPr>
          <w:rFonts w:hint="eastAsia" w:ascii="楷体" w:hAnsi="楷体" w:eastAsia="楷体" w:cs="楷体"/>
          <w:bCs/>
          <w:sz w:val="28"/>
          <w:szCs w:val="28"/>
          <w:lang w:val="zh-CN"/>
        </w:rPr>
        <w:fldChar w:fldCharType="separate"/>
      </w:r>
      <w:r>
        <w:rPr>
          <w:rFonts w:hint="eastAsia" w:ascii="楷体" w:hAnsi="楷体" w:eastAsia="楷体" w:cs="楷体"/>
          <w:bCs/>
          <w:sz w:val="28"/>
          <w:szCs w:val="28"/>
        </w:rPr>
        <w:t>四、不相一致假设</w:t>
      </w:r>
      <w:r>
        <w:rPr>
          <w:rFonts w:hint="eastAsia" w:ascii="楷体" w:hAnsi="楷体" w:eastAsia="楷体" w:cs="楷体"/>
          <w:sz w:val="28"/>
          <w:szCs w:val="28"/>
        </w:rPr>
        <w:tab/>
      </w:r>
      <w:r>
        <w:rPr>
          <w:rFonts w:hint="eastAsia" w:ascii="楷体" w:hAnsi="楷体" w:eastAsia="楷体" w:cs="楷体"/>
          <w:sz w:val="28"/>
          <w:szCs w:val="28"/>
        </w:rPr>
        <w:fldChar w:fldCharType="begin"/>
      </w:r>
      <w:r>
        <w:rPr>
          <w:rFonts w:hint="eastAsia" w:ascii="楷体" w:hAnsi="楷体" w:eastAsia="楷体" w:cs="楷体"/>
          <w:sz w:val="28"/>
          <w:szCs w:val="28"/>
        </w:rPr>
        <w:instrText xml:space="preserve"> PAGEREF _Toc4865 \h </w:instrText>
      </w:r>
      <w:r>
        <w:rPr>
          <w:rFonts w:hint="eastAsia" w:ascii="楷体" w:hAnsi="楷体" w:eastAsia="楷体" w:cs="楷体"/>
          <w:sz w:val="28"/>
          <w:szCs w:val="28"/>
        </w:rPr>
        <w:fldChar w:fldCharType="separate"/>
      </w:r>
      <w:r>
        <w:rPr>
          <w:rFonts w:hint="eastAsia" w:ascii="楷体" w:hAnsi="楷体" w:eastAsia="楷体" w:cs="楷体"/>
          <w:sz w:val="28"/>
          <w:szCs w:val="28"/>
        </w:rPr>
        <w:t>2</w:t>
      </w:r>
      <w:r>
        <w:rPr>
          <w:rFonts w:hint="eastAsia" w:ascii="楷体" w:hAnsi="楷体" w:eastAsia="楷体" w:cs="楷体"/>
          <w:sz w:val="28"/>
          <w:szCs w:val="28"/>
        </w:rPr>
        <w:fldChar w:fldCharType="end"/>
      </w:r>
      <w:r>
        <w:rPr>
          <w:rFonts w:hint="eastAsia" w:ascii="楷体" w:hAnsi="楷体" w:eastAsia="楷体" w:cs="楷体"/>
          <w:bCs/>
          <w:sz w:val="28"/>
          <w:szCs w:val="28"/>
          <w:lang w:val="zh-CN"/>
        </w:rPr>
        <w:fldChar w:fldCharType="end"/>
      </w:r>
    </w:p>
    <w:p w14:paraId="4928BC76">
      <w:pPr>
        <w:pStyle w:val="23"/>
        <w:keepNext w:val="0"/>
        <w:keepLines w:val="0"/>
        <w:pageBreakBefore w:val="0"/>
        <w:widowControl w:val="0"/>
        <w:tabs>
          <w:tab w:val="right" w:leader="dot" w:pos="9070"/>
        </w:tabs>
        <w:kinsoku/>
        <w:wordWrap/>
        <w:overflowPunct/>
        <w:topLinePunct w:val="0"/>
        <w:autoSpaceDE/>
        <w:autoSpaceDN/>
        <w:bidi w:val="0"/>
        <w:adjustRightInd/>
        <w:snapToGrid/>
        <w:spacing w:line="500" w:lineRule="exact"/>
        <w:textAlignment w:val="auto"/>
        <w:rPr>
          <w:rFonts w:hint="eastAsia" w:ascii="楷体" w:hAnsi="楷体" w:eastAsia="楷体" w:cs="楷体"/>
          <w:sz w:val="28"/>
          <w:szCs w:val="28"/>
        </w:rPr>
      </w:pPr>
      <w:r>
        <w:rPr>
          <w:rFonts w:hint="eastAsia" w:ascii="楷体" w:hAnsi="楷体" w:eastAsia="楷体" w:cs="楷体"/>
          <w:bCs/>
          <w:sz w:val="28"/>
          <w:szCs w:val="28"/>
          <w:lang w:val="zh-CN"/>
        </w:rPr>
        <w:fldChar w:fldCharType="begin"/>
      </w:r>
      <w:r>
        <w:rPr>
          <w:rFonts w:hint="eastAsia" w:ascii="楷体" w:hAnsi="楷体" w:eastAsia="楷体" w:cs="楷体"/>
          <w:bCs/>
          <w:sz w:val="28"/>
          <w:szCs w:val="28"/>
          <w:lang w:val="zh-CN"/>
        </w:rPr>
        <w:instrText xml:space="preserve"> HYPERLINK \l _Toc17987 </w:instrText>
      </w:r>
      <w:r>
        <w:rPr>
          <w:rFonts w:hint="eastAsia" w:ascii="楷体" w:hAnsi="楷体" w:eastAsia="楷体" w:cs="楷体"/>
          <w:bCs/>
          <w:sz w:val="28"/>
          <w:szCs w:val="28"/>
          <w:lang w:val="zh-CN"/>
        </w:rPr>
        <w:fldChar w:fldCharType="separate"/>
      </w:r>
      <w:r>
        <w:rPr>
          <w:rFonts w:hint="eastAsia" w:ascii="楷体" w:hAnsi="楷体" w:eastAsia="楷体" w:cs="楷体"/>
          <w:bCs/>
          <w:sz w:val="28"/>
          <w:szCs w:val="28"/>
        </w:rPr>
        <w:t>五、依据不足假设</w:t>
      </w:r>
      <w:r>
        <w:rPr>
          <w:rFonts w:hint="eastAsia" w:ascii="楷体" w:hAnsi="楷体" w:eastAsia="楷体" w:cs="楷体"/>
          <w:sz w:val="28"/>
          <w:szCs w:val="28"/>
        </w:rPr>
        <w:tab/>
      </w:r>
      <w:r>
        <w:rPr>
          <w:rFonts w:hint="eastAsia" w:ascii="楷体" w:hAnsi="楷体" w:eastAsia="楷体" w:cs="楷体"/>
          <w:sz w:val="28"/>
          <w:szCs w:val="28"/>
        </w:rPr>
        <w:fldChar w:fldCharType="begin"/>
      </w:r>
      <w:r>
        <w:rPr>
          <w:rFonts w:hint="eastAsia" w:ascii="楷体" w:hAnsi="楷体" w:eastAsia="楷体" w:cs="楷体"/>
          <w:sz w:val="28"/>
          <w:szCs w:val="28"/>
        </w:rPr>
        <w:instrText xml:space="preserve"> PAGEREF _Toc17987 \h </w:instrText>
      </w:r>
      <w:r>
        <w:rPr>
          <w:rFonts w:hint="eastAsia" w:ascii="楷体" w:hAnsi="楷体" w:eastAsia="楷体" w:cs="楷体"/>
          <w:sz w:val="28"/>
          <w:szCs w:val="28"/>
        </w:rPr>
        <w:fldChar w:fldCharType="separate"/>
      </w:r>
      <w:r>
        <w:rPr>
          <w:rFonts w:hint="eastAsia" w:ascii="楷体" w:hAnsi="楷体" w:eastAsia="楷体" w:cs="楷体"/>
          <w:sz w:val="28"/>
          <w:szCs w:val="28"/>
        </w:rPr>
        <w:t>3</w:t>
      </w:r>
      <w:r>
        <w:rPr>
          <w:rFonts w:hint="eastAsia" w:ascii="楷体" w:hAnsi="楷体" w:eastAsia="楷体" w:cs="楷体"/>
          <w:sz w:val="28"/>
          <w:szCs w:val="28"/>
        </w:rPr>
        <w:fldChar w:fldCharType="end"/>
      </w:r>
      <w:r>
        <w:rPr>
          <w:rFonts w:hint="eastAsia" w:ascii="楷体" w:hAnsi="楷体" w:eastAsia="楷体" w:cs="楷体"/>
          <w:bCs/>
          <w:sz w:val="28"/>
          <w:szCs w:val="28"/>
          <w:lang w:val="zh-CN"/>
        </w:rPr>
        <w:fldChar w:fldCharType="end"/>
      </w:r>
    </w:p>
    <w:p w14:paraId="45A23A7A">
      <w:pPr>
        <w:pStyle w:val="23"/>
        <w:keepNext w:val="0"/>
        <w:keepLines w:val="0"/>
        <w:pageBreakBefore w:val="0"/>
        <w:widowControl w:val="0"/>
        <w:tabs>
          <w:tab w:val="right" w:leader="dot" w:pos="9070"/>
        </w:tabs>
        <w:kinsoku/>
        <w:wordWrap/>
        <w:overflowPunct/>
        <w:topLinePunct w:val="0"/>
        <w:autoSpaceDE/>
        <w:autoSpaceDN/>
        <w:bidi w:val="0"/>
        <w:adjustRightInd/>
        <w:snapToGrid/>
        <w:spacing w:line="500" w:lineRule="exact"/>
        <w:textAlignment w:val="auto"/>
        <w:rPr>
          <w:rFonts w:hint="eastAsia" w:ascii="楷体" w:hAnsi="楷体" w:eastAsia="楷体" w:cs="楷体"/>
          <w:sz w:val="28"/>
          <w:szCs w:val="28"/>
        </w:rPr>
      </w:pPr>
      <w:r>
        <w:rPr>
          <w:rFonts w:hint="eastAsia" w:ascii="楷体" w:hAnsi="楷体" w:eastAsia="楷体" w:cs="楷体"/>
          <w:bCs/>
          <w:sz w:val="28"/>
          <w:szCs w:val="28"/>
          <w:lang w:val="zh-CN"/>
        </w:rPr>
        <w:fldChar w:fldCharType="begin"/>
      </w:r>
      <w:r>
        <w:rPr>
          <w:rFonts w:hint="eastAsia" w:ascii="楷体" w:hAnsi="楷体" w:eastAsia="楷体" w:cs="楷体"/>
          <w:bCs/>
          <w:sz w:val="28"/>
          <w:szCs w:val="28"/>
          <w:lang w:val="zh-CN"/>
        </w:rPr>
        <w:instrText xml:space="preserve"> HYPERLINK \l _Toc24096 </w:instrText>
      </w:r>
      <w:r>
        <w:rPr>
          <w:rFonts w:hint="eastAsia" w:ascii="楷体" w:hAnsi="楷体" w:eastAsia="楷体" w:cs="楷体"/>
          <w:bCs/>
          <w:sz w:val="28"/>
          <w:szCs w:val="28"/>
          <w:lang w:val="zh-CN"/>
        </w:rPr>
        <w:fldChar w:fldCharType="separate"/>
      </w:r>
      <w:r>
        <w:rPr>
          <w:rFonts w:hint="eastAsia" w:ascii="楷体" w:hAnsi="楷体" w:eastAsia="楷体" w:cs="楷体"/>
          <w:bCs/>
          <w:sz w:val="28"/>
          <w:szCs w:val="28"/>
        </w:rPr>
        <w:t>六、报告使用限制条件</w:t>
      </w:r>
      <w:r>
        <w:rPr>
          <w:rFonts w:hint="eastAsia" w:ascii="楷体" w:hAnsi="楷体" w:eastAsia="楷体" w:cs="楷体"/>
          <w:sz w:val="28"/>
          <w:szCs w:val="28"/>
        </w:rPr>
        <w:tab/>
      </w:r>
      <w:r>
        <w:rPr>
          <w:rFonts w:hint="eastAsia" w:ascii="楷体" w:hAnsi="楷体" w:eastAsia="楷体" w:cs="楷体"/>
          <w:sz w:val="28"/>
          <w:szCs w:val="28"/>
        </w:rPr>
        <w:fldChar w:fldCharType="begin"/>
      </w:r>
      <w:r>
        <w:rPr>
          <w:rFonts w:hint="eastAsia" w:ascii="楷体" w:hAnsi="楷体" w:eastAsia="楷体" w:cs="楷体"/>
          <w:sz w:val="28"/>
          <w:szCs w:val="28"/>
        </w:rPr>
        <w:instrText xml:space="preserve"> PAGEREF _Toc24096 \h </w:instrText>
      </w:r>
      <w:r>
        <w:rPr>
          <w:rFonts w:hint="eastAsia" w:ascii="楷体" w:hAnsi="楷体" w:eastAsia="楷体" w:cs="楷体"/>
          <w:sz w:val="28"/>
          <w:szCs w:val="28"/>
        </w:rPr>
        <w:fldChar w:fldCharType="separate"/>
      </w:r>
      <w:r>
        <w:rPr>
          <w:rFonts w:hint="eastAsia" w:ascii="楷体" w:hAnsi="楷体" w:eastAsia="楷体" w:cs="楷体"/>
          <w:sz w:val="28"/>
          <w:szCs w:val="28"/>
        </w:rPr>
        <w:t>3</w:t>
      </w:r>
      <w:r>
        <w:rPr>
          <w:rFonts w:hint="eastAsia" w:ascii="楷体" w:hAnsi="楷体" w:eastAsia="楷体" w:cs="楷体"/>
          <w:sz w:val="28"/>
          <w:szCs w:val="28"/>
        </w:rPr>
        <w:fldChar w:fldCharType="end"/>
      </w:r>
      <w:r>
        <w:rPr>
          <w:rFonts w:hint="eastAsia" w:ascii="楷体" w:hAnsi="楷体" w:eastAsia="楷体" w:cs="楷体"/>
          <w:bCs/>
          <w:sz w:val="28"/>
          <w:szCs w:val="28"/>
          <w:lang w:val="zh-CN"/>
        </w:rPr>
        <w:fldChar w:fldCharType="end"/>
      </w:r>
    </w:p>
    <w:p w14:paraId="0CC25CEE">
      <w:pPr>
        <w:pStyle w:val="19"/>
        <w:keepNext w:val="0"/>
        <w:keepLines w:val="0"/>
        <w:pageBreakBefore w:val="0"/>
        <w:widowControl w:val="0"/>
        <w:tabs>
          <w:tab w:val="right" w:leader="dot" w:pos="9070"/>
        </w:tabs>
        <w:kinsoku/>
        <w:wordWrap/>
        <w:overflowPunct/>
        <w:topLinePunct w:val="0"/>
        <w:autoSpaceDE/>
        <w:autoSpaceDN/>
        <w:bidi w:val="0"/>
        <w:adjustRightInd/>
        <w:snapToGrid/>
        <w:spacing w:line="500" w:lineRule="exact"/>
        <w:textAlignment w:val="auto"/>
        <w:rPr>
          <w:rFonts w:hint="eastAsia" w:ascii="楷体" w:hAnsi="楷体" w:eastAsia="楷体" w:cs="楷体"/>
          <w:sz w:val="28"/>
          <w:szCs w:val="28"/>
        </w:rPr>
      </w:pPr>
      <w:r>
        <w:rPr>
          <w:rFonts w:hint="eastAsia" w:ascii="楷体" w:hAnsi="楷体" w:eastAsia="楷体" w:cs="楷体"/>
          <w:bCs w:val="0"/>
          <w:sz w:val="28"/>
          <w:szCs w:val="28"/>
          <w:lang w:val="zh-CN"/>
        </w:rPr>
        <w:fldChar w:fldCharType="begin"/>
      </w:r>
      <w:r>
        <w:rPr>
          <w:rFonts w:hint="eastAsia" w:ascii="楷体" w:hAnsi="楷体" w:eastAsia="楷体" w:cs="楷体"/>
          <w:bCs w:val="0"/>
          <w:sz w:val="28"/>
          <w:szCs w:val="28"/>
          <w:lang w:val="zh-CN"/>
        </w:rPr>
        <w:instrText xml:space="preserve"> HYPERLINK \l _Toc27918 </w:instrText>
      </w:r>
      <w:r>
        <w:rPr>
          <w:rFonts w:hint="eastAsia" w:ascii="楷体" w:hAnsi="楷体" w:eastAsia="楷体" w:cs="楷体"/>
          <w:bCs w:val="0"/>
          <w:sz w:val="28"/>
          <w:szCs w:val="28"/>
          <w:lang w:val="zh-CN"/>
        </w:rPr>
        <w:fldChar w:fldCharType="separate"/>
      </w:r>
      <w:r>
        <w:rPr>
          <w:rFonts w:hint="eastAsia" w:ascii="楷体" w:hAnsi="楷体" w:eastAsia="楷体" w:cs="楷体"/>
          <w:bCs/>
          <w:sz w:val="28"/>
          <w:szCs w:val="28"/>
        </w:rPr>
        <w:t>估价结果报告</w:t>
      </w:r>
      <w:r>
        <w:rPr>
          <w:rFonts w:hint="eastAsia" w:ascii="楷体" w:hAnsi="楷体" w:eastAsia="楷体" w:cs="楷体"/>
          <w:sz w:val="28"/>
          <w:szCs w:val="28"/>
        </w:rPr>
        <w:tab/>
      </w:r>
      <w:r>
        <w:rPr>
          <w:rFonts w:hint="eastAsia" w:ascii="楷体" w:hAnsi="楷体" w:eastAsia="楷体" w:cs="楷体"/>
          <w:sz w:val="28"/>
          <w:szCs w:val="28"/>
        </w:rPr>
        <w:fldChar w:fldCharType="begin"/>
      </w:r>
      <w:r>
        <w:rPr>
          <w:rFonts w:hint="eastAsia" w:ascii="楷体" w:hAnsi="楷体" w:eastAsia="楷体" w:cs="楷体"/>
          <w:sz w:val="28"/>
          <w:szCs w:val="28"/>
        </w:rPr>
        <w:instrText xml:space="preserve"> PAGEREF _Toc27918 \h </w:instrText>
      </w:r>
      <w:r>
        <w:rPr>
          <w:rFonts w:hint="eastAsia" w:ascii="楷体" w:hAnsi="楷体" w:eastAsia="楷体" w:cs="楷体"/>
          <w:sz w:val="28"/>
          <w:szCs w:val="28"/>
        </w:rPr>
        <w:fldChar w:fldCharType="separate"/>
      </w:r>
      <w:r>
        <w:rPr>
          <w:rFonts w:hint="eastAsia" w:ascii="楷体" w:hAnsi="楷体" w:eastAsia="楷体" w:cs="楷体"/>
          <w:sz w:val="28"/>
          <w:szCs w:val="28"/>
        </w:rPr>
        <w:t>5</w:t>
      </w:r>
      <w:r>
        <w:rPr>
          <w:rFonts w:hint="eastAsia" w:ascii="楷体" w:hAnsi="楷体" w:eastAsia="楷体" w:cs="楷体"/>
          <w:sz w:val="28"/>
          <w:szCs w:val="28"/>
        </w:rPr>
        <w:fldChar w:fldCharType="end"/>
      </w:r>
      <w:r>
        <w:rPr>
          <w:rFonts w:hint="eastAsia" w:ascii="楷体" w:hAnsi="楷体" w:eastAsia="楷体" w:cs="楷体"/>
          <w:bCs w:val="0"/>
          <w:sz w:val="28"/>
          <w:szCs w:val="28"/>
          <w:lang w:val="zh-CN"/>
        </w:rPr>
        <w:fldChar w:fldCharType="end"/>
      </w:r>
    </w:p>
    <w:p w14:paraId="34CC6514">
      <w:pPr>
        <w:pStyle w:val="23"/>
        <w:keepNext w:val="0"/>
        <w:keepLines w:val="0"/>
        <w:pageBreakBefore w:val="0"/>
        <w:widowControl w:val="0"/>
        <w:tabs>
          <w:tab w:val="right" w:leader="dot" w:pos="9070"/>
        </w:tabs>
        <w:kinsoku/>
        <w:wordWrap/>
        <w:overflowPunct/>
        <w:topLinePunct w:val="0"/>
        <w:autoSpaceDE/>
        <w:autoSpaceDN/>
        <w:bidi w:val="0"/>
        <w:adjustRightInd/>
        <w:snapToGrid/>
        <w:spacing w:line="500" w:lineRule="exact"/>
        <w:textAlignment w:val="auto"/>
        <w:rPr>
          <w:rFonts w:hint="eastAsia" w:ascii="楷体" w:hAnsi="楷体" w:eastAsia="楷体" w:cs="楷体"/>
          <w:sz w:val="28"/>
          <w:szCs w:val="28"/>
        </w:rPr>
      </w:pPr>
      <w:r>
        <w:rPr>
          <w:rFonts w:hint="eastAsia" w:ascii="楷体" w:hAnsi="楷体" w:eastAsia="楷体" w:cs="楷体"/>
          <w:bCs/>
          <w:sz w:val="28"/>
          <w:szCs w:val="28"/>
          <w:lang w:val="zh-CN"/>
        </w:rPr>
        <w:fldChar w:fldCharType="begin"/>
      </w:r>
      <w:r>
        <w:rPr>
          <w:rFonts w:hint="eastAsia" w:ascii="楷体" w:hAnsi="楷体" w:eastAsia="楷体" w:cs="楷体"/>
          <w:bCs/>
          <w:sz w:val="28"/>
          <w:szCs w:val="28"/>
          <w:lang w:val="zh-CN"/>
        </w:rPr>
        <w:instrText xml:space="preserve"> HYPERLINK \l _Toc14953 </w:instrText>
      </w:r>
      <w:r>
        <w:rPr>
          <w:rFonts w:hint="eastAsia" w:ascii="楷体" w:hAnsi="楷体" w:eastAsia="楷体" w:cs="楷体"/>
          <w:bCs/>
          <w:sz w:val="28"/>
          <w:szCs w:val="28"/>
          <w:lang w:val="zh-CN"/>
        </w:rPr>
        <w:fldChar w:fldCharType="separate"/>
      </w:r>
      <w:r>
        <w:rPr>
          <w:rFonts w:hint="eastAsia" w:ascii="楷体" w:hAnsi="楷体" w:eastAsia="楷体" w:cs="楷体"/>
          <w:bCs/>
          <w:sz w:val="28"/>
          <w:szCs w:val="28"/>
        </w:rPr>
        <w:t>一、估价委托人</w:t>
      </w:r>
      <w:r>
        <w:rPr>
          <w:rFonts w:hint="eastAsia" w:ascii="楷体" w:hAnsi="楷体" w:eastAsia="楷体" w:cs="楷体"/>
          <w:sz w:val="28"/>
          <w:szCs w:val="28"/>
        </w:rPr>
        <w:tab/>
      </w:r>
      <w:r>
        <w:rPr>
          <w:rFonts w:hint="eastAsia" w:ascii="楷体" w:hAnsi="楷体" w:eastAsia="楷体" w:cs="楷体"/>
          <w:sz w:val="28"/>
          <w:szCs w:val="28"/>
        </w:rPr>
        <w:fldChar w:fldCharType="begin"/>
      </w:r>
      <w:r>
        <w:rPr>
          <w:rFonts w:hint="eastAsia" w:ascii="楷体" w:hAnsi="楷体" w:eastAsia="楷体" w:cs="楷体"/>
          <w:sz w:val="28"/>
          <w:szCs w:val="28"/>
        </w:rPr>
        <w:instrText xml:space="preserve"> PAGEREF _Toc14953 \h </w:instrText>
      </w:r>
      <w:r>
        <w:rPr>
          <w:rFonts w:hint="eastAsia" w:ascii="楷体" w:hAnsi="楷体" w:eastAsia="楷体" w:cs="楷体"/>
          <w:sz w:val="28"/>
          <w:szCs w:val="28"/>
        </w:rPr>
        <w:fldChar w:fldCharType="separate"/>
      </w:r>
      <w:r>
        <w:rPr>
          <w:rFonts w:hint="eastAsia" w:ascii="楷体" w:hAnsi="楷体" w:eastAsia="楷体" w:cs="楷体"/>
          <w:sz w:val="28"/>
          <w:szCs w:val="28"/>
        </w:rPr>
        <w:t>5</w:t>
      </w:r>
      <w:r>
        <w:rPr>
          <w:rFonts w:hint="eastAsia" w:ascii="楷体" w:hAnsi="楷体" w:eastAsia="楷体" w:cs="楷体"/>
          <w:sz w:val="28"/>
          <w:szCs w:val="28"/>
        </w:rPr>
        <w:fldChar w:fldCharType="end"/>
      </w:r>
      <w:r>
        <w:rPr>
          <w:rFonts w:hint="eastAsia" w:ascii="楷体" w:hAnsi="楷体" w:eastAsia="楷体" w:cs="楷体"/>
          <w:bCs/>
          <w:sz w:val="28"/>
          <w:szCs w:val="28"/>
          <w:lang w:val="zh-CN"/>
        </w:rPr>
        <w:fldChar w:fldCharType="end"/>
      </w:r>
    </w:p>
    <w:p w14:paraId="661027B9">
      <w:pPr>
        <w:pStyle w:val="23"/>
        <w:keepNext w:val="0"/>
        <w:keepLines w:val="0"/>
        <w:pageBreakBefore w:val="0"/>
        <w:widowControl w:val="0"/>
        <w:tabs>
          <w:tab w:val="right" w:leader="dot" w:pos="9070"/>
        </w:tabs>
        <w:kinsoku/>
        <w:wordWrap/>
        <w:overflowPunct/>
        <w:topLinePunct w:val="0"/>
        <w:autoSpaceDE/>
        <w:autoSpaceDN/>
        <w:bidi w:val="0"/>
        <w:adjustRightInd/>
        <w:snapToGrid/>
        <w:spacing w:line="500" w:lineRule="exact"/>
        <w:textAlignment w:val="auto"/>
        <w:rPr>
          <w:rFonts w:hint="eastAsia" w:ascii="楷体" w:hAnsi="楷体" w:eastAsia="楷体" w:cs="楷体"/>
          <w:sz w:val="28"/>
          <w:szCs w:val="28"/>
        </w:rPr>
      </w:pPr>
      <w:r>
        <w:rPr>
          <w:rFonts w:hint="eastAsia" w:ascii="楷体" w:hAnsi="楷体" w:eastAsia="楷体" w:cs="楷体"/>
          <w:bCs/>
          <w:sz w:val="28"/>
          <w:szCs w:val="28"/>
          <w:lang w:val="zh-CN"/>
        </w:rPr>
        <w:fldChar w:fldCharType="begin"/>
      </w:r>
      <w:r>
        <w:rPr>
          <w:rFonts w:hint="eastAsia" w:ascii="楷体" w:hAnsi="楷体" w:eastAsia="楷体" w:cs="楷体"/>
          <w:bCs/>
          <w:sz w:val="28"/>
          <w:szCs w:val="28"/>
          <w:lang w:val="zh-CN"/>
        </w:rPr>
        <w:instrText xml:space="preserve"> HYPERLINK \l _Toc10968 </w:instrText>
      </w:r>
      <w:r>
        <w:rPr>
          <w:rFonts w:hint="eastAsia" w:ascii="楷体" w:hAnsi="楷体" w:eastAsia="楷体" w:cs="楷体"/>
          <w:bCs/>
          <w:sz w:val="28"/>
          <w:szCs w:val="28"/>
          <w:lang w:val="zh-CN"/>
        </w:rPr>
        <w:fldChar w:fldCharType="separate"/>
      </w:r>
      <w:r>
        <w:rPr>
          <w:rFonts w:hint="eastAsia" w:ascii="楷体" w:hAnsi="楷体" w:eastAsia="楷体" w:cs="楷体"/>
          <w:bCs/>
          <w:sz w:val="28"/>
          <w:szCs w:val="28"/>
        </w:rPr>
        <w:t>二、房地产估价机构</w:t>
      </w:r>
      <w:r>
        <w:rPr>
          <w:rFonts w:hint="eastAsia" w:ascii="楷体" w:hAnsi="楷体" w:eastAsia="楷体" w:cs="楷体"/>
          <w:sz w:val="28"/>
          <w:szCs w:val="28"/>
        </w:rPr>
        <w:tab/>
      </w:r>
      <w:r>
        <w:rPr>
          <w:rFonts w:hint="eastAsia" w:ascii="楷体" w:hAnsi="楷体" w:eastAsia="楷体" w:cs="楷体"/>
          <w:sz w:val="28"/>
          <w:szCs w:val="28"/>
        </w:rPr>
        <w:fldChar w:fldCharType="begin"/>
      </w:r>
      <w:r>
        <w:rPr>
          <w:rFonts w:hint="eastAsia" w:ascii="楷体" w:hAnsi="楷体" w:eastAsia="楷体" w:cs="楷体"/>
          <w:sz w:val="28"/>
          <w:szCs w:val="28"/>
        </w:rPr>
        <w:instrText xml:space="preserve"> PAGEREF _Toc10968 \h </w:instrText>
      </w:r>
      <w:r>
        <w:rPr>
          <w:rFonts w:hint="eastAsia" w:ascii="楷体" w:hAnsi="楷体" w:eastAsia="楷体" w:cs="楷体"/>
          <w:sz w:val="28"/>
          <w:szCs w:val="28"/>
        </w:rPr>
        <w:fldChar w:fldCharType="separate"/>
      </w:r>
      <w:r>
        <w:rPr>
          <w:rFonts w:hint="eastAsia" w:ascii="楷体" w:hAnsi="楷体" w:eastAsia="楷体" w:cs="楷体"/>
          <w:sz w:val="28"/>
          <w:szCs w:val="28"/>
        </w:rPr>
        <w:t>5</w:t>
      </w:r>
      <w:r>
        <w:rPr>
          <w:rFonts w:hint="eastAsia" w:ascii="楷体" w:hAnsi="楷体" w:eastAsia="楷体" w:cs="楷体"/>
          <w:sz w:val="28"/>
          <w:szCs w:val="28"/>
        </w:rPr>
        <w:fldChar w:fldCharType="end"/>
      </w:r>
      <w:r>
        <w:rPr>
          <w:rFonts w:hint="eastAsia" w:ascii="楷体" w:hAnsi="楷体" w:eastAsia="楷体" w:cs="楷体"/>
          <w:bCs/>
          <w:sz w:val="28"/>
          <w:szCs w:val="28"/>
          <w:lang w:val="zh-CN"/>
        </w:rPr>
        <w:fldChar w:fldCharType="end"/>
      </w:r>
    </w:p>
    <w:p w14:paraId="614FEF59">
      <w:pPr>
        <w:pStyle w:val="23"/>
        <w:keepNext w:val="0"/>
        <w:keepLines w:val="0"/>
        <w:pageBreakBefore w:val="0"/>
        <w:widowControl w:val="0"/>
        <w:tabs>
          <w:tab w:val="right" w:leader="dot" w:pos="9070"/>
        </w:tabs>
        <w:kinsoku/>
        <w:wordWrap/>
        <w:overflowPunct/>
        <w:topLinePunct w:val="0"/>
        <w:autoSpaceDE/>
        <w:autoSpaceDN/>
        <w:bidi w:val="0"/>
        <w:adjustRightInd/>
        <w:snapToGrid/>
        <w:spacing w:line="500" w:lineRule="exact"/>
        <w:textAlignment w:val="auto"/>
        <w:rPr>
          <w:rFonts w:hint="eastAsia" w:ascii="楷体" w:hAnsi="楷体" w:eastAsia="楷体" w:cs="楷体"/>
          <w:sz w:val="28"/>
          <w:szCs w:val="28"/>
        </w:rPr>
      </w:pPr>
      <w:r>
        <w:rPr>
          <w:rFonts w:hint="eastAsia" w:ascii="楷体" w:hAnsi="楷体" w:eastAsia="楷体" w:cs="楷体"/>
          <w:bCs/>
          <w:sz w:val="28"/>
          <w:szCs w:val="28"/>
          <w:lang w:val="zh-CN"/>
        </w:rPr>
        <w:fldChar w:fldCharType="begin"/>
      </w:r>
      <w:r>
        <w:rPr>
          <w:rFonts w:hint="eastAsia" w:ascii="楷体" w:hAnsi="楷体" w:eastAsia="楷体" w:cs="楷体"/>
          <w:bCs/>
          <w:sz w:val="28"/>
          <w:szCs w:val="28"/>
          <w:lang w:val="zh-CN"/>
        </w:rPr>
        <w:instrText xml:space="preserve"> HYPERLINK \l _Toc15159 </w:instrText>
      </w:r>
      <w:r>
        <w:rPr>
          <w:rFonts w:hint="eastAsia" w:ascii="楷体" w:hAnsi="楷体" w:eastAsia="楷体" w:cs="楷体"/>
          <w:bCs/>
          <w:sz w:val="28"/>
          <w:szCs w:val="28"/>
          <w:lang w:val="zh-CN"/>
        </w:rPr>
        <w:fldChar w:fldCharType="separate"/>
      </w:r>
      <w:r>
        <w:rPr>
          <w:rFonts w:hint="eastAsia" w:ascii="楷体" w:hAnsi="楷体" w:eastAsia="楷体" w:cs="楷体"/>
          <w:bCs/>
          <w:sz w:val="28"/>
          <w:szCs w:val="28"/>
        </w:rPr>
        <w:t>三、估价目的</w:t>
      </w:r>
      <w:r>
        <w:rPr>
          <w:rFonts w:hint="eastAsia" w:ascii="楷体" w:hAnsi="楷体" w:eastAsia="楷体" w:cs="楷体"/>
          <w:sz w:val="28"/>
          <w:szCs w:val="28"/>
        </w:rPr>
        <w:tab/>
      </w:r>
      <w:r>
        <w:rPr>
          <w:rFonts w:hint="eastAsia" w:ascii="楷体" w:hAnsi="楷体" w:eastAsia="楷体" w:cs="楷体"/>
          <w:sz w:val="28"/>
          <w:szCs w:val="28"/>
        </w:rPr>
        <w:fldChar w:fldCharType="begin"/>
      </w:r>
      <w:r>
        <w:rPr>
          <w:rFonts w:hint="eastAsia" w:ascii="楷体" w:hAnsi="楷体" w:eastAsia="楷体" w:cs="楷体"/>
          <w:sz w:val="28"/>
          <w:szCs w:val="28"/>
        </w:rPr>
        <w:instrText xml:space="preserve"> PAGEREF _Toc15159 \h </w:instrText>
      </w:r>
      <w:r>
        <w:rPr>
          <w:rFonts w:hint="eastAsia" w:ascii="楷体" w:hAnsi="楷体" w:eastAsia="楷体" w:cs="楷体"/>
          <w:sz w:val="28"/>
          <w:szCs w:val="28"/>
        </w:rPr>
        <w:fldChar w:fldCharType="separate"/>
      </w:r>
      <w:r>
        <w:rPr>
          <w:rFonts w:hint="eastAsia" w:ascii="楷体" w:hAnsi="楷体" w:eastAsia="楷体" w:cs="楷体"/>
          <w:sz w:val="28"/>
          <w:szCs w:val="28"/>
        </w:rPr>
        <w:t>5</w:t>
      </w:r>
      <w:r>
        <w:rPr>
          <w:rFonts w:hint="eastAsia" w:ascii="楷体" w:hAnsi="楷体" w:eastAsia="楷体" w:cs="楷体"/>
          <w:sz w:val="28"/>
          <w:szCs w:val="28"/>
        </w:rPr>
        <w:fldChar w:fldCharType="end"/>
      </w:r>
      <w:r>
        <w:rPr>
          <w:rFonts w:hint="eastAsia" w:ascii="楷体" w:hAnsi="楷体" w:eastAsia="楷体" w:cs="楷体"/>
          <w:bCs/>
          <w:sz w:val="28"/>
          <w:szCs w:val="28"/>
          <w:lang w:val="zh-CN"/>
        </w:rPr>
        <w:fldChar w:fldCharType="end"/>
      </w:r>
    </w:p>
    <w:p w14:paraId="5B9A9A3E">
      <w:pPr>
        <w:pStyle w:val="23"/>
        <w:keepNext w:val="0"/>
        <w:keepLines w:val="0"/>
        <w:pageBreakBefore w:val="0"/>
        <w:widowControl w:val="0"/>
        <w:tabs>
          <w:tab w:val="right" w:leader="dot" w:pos="9070"/>
        </w:tabs>
        <w:kinsoku/>
        <w:wordWrap/>
        <w:overflowPunct/>
        <w:topLinePunct w:val="0"/>
        <w:autoSpaceDE/>
        <w:autoSpaceDN/>
        <w:bidi w:val="0"/>
        <w:adjustRightInd/>
        <w:snapToGrid/>
        <w:spacing w:line="500" w:lineRule="exact"/>
        <w:textAlignment w:val="auto"/>
        <w:rPr>
          <w:rFonts w:hint="eastAsia" w:ascii="楷体" w:hAnsi="楷体" w:eastAsia="楷体" w:cs="楷体"/>
          <w:sz w:val="28"/>
          <w:szCs w:val="28"/>
        </w:rPr>
      </w:pPr>
      <w:r>
        <w:rPr>
          <w:rFonts w:hint="eastAsia" w:ascii="楷体" w:hAnsi="楷体" w:eastAsia="楷体" w:cs="楷体"/>
          <w:bCs/>
          <w:sz w:val="28"/>
          <w:szCs w:val="28"/>
          <w:lang w:val="zh-CN"/>
        </w:rPr>
        <w:fldChar w:fldCharType="begin"/>
      </w:r>
      <w:r>
        <w:rPr>
          <w:rFonts w:hint="eastAsia" w:ascii="楷体" w:hAnsi="楷体" w:eastAsia="楷体" w:cs="楷体"/>
          <w:bCs/>
          <w:sz w:val="28"/>
          <w:szCs w:val="28"/>
          <w:lang w:val="zh-CN"/>
        </w:rPr>
        <w:instrText xml:space="preserve"> HYPERLINK \l _Toc25476 </w:instrText>
      </w:r>
      <w:r>
        <w:rPr>
          <w:rFonts w:hint="eastAsia" w:ascii="楷体" w:hAnsi="楷体" w:eastAsia="楷体" w:cs="楷体"/>
          <w:bCs/>
          <w:sz w:val="28"/>
          <w:szCs w:val="28"/>
          <w:lang w:val="zh-CN"/>
        </w:rPr>
        <w:fldChar w:fldCharType="separate"/>
      </w:r>
      <w:r>
        <w:rPr>
          <w:rFonts w:hint="eastAsia" w:ascii="楷体" w:hAnsi="楷体" w:eastAsia="楷体" w:cs="楷体"/>
          <w:bCs/>
          <w:sz w:val="28"/>
          <w:szCs w:val="28"/>
        </w:rPr>
        <w:t>四、估价对象</w:t>
      </w:r>
      <w:r>
        <w:rPr>
          <w:rFonts w:hint="eastAsia" w:ascii="楷体" w:hAnsi="楷体" w:eastAsia="楷体" w:cs="楷体"/>
          <w:sz w:val="28"/>
          <w:szCs w:val="28"/>
        </w:rPr>
        <w:tab/>
      </w:r>
      <w:r>
        <w:rPr>
          <w:rFonts w:hint="eastAsia" w:ascii="楷体" w:hAnsi="楷体" w:eastAsia="楷体" w:cs="楷体"/>
          <w:sz w:val="28"/>
          <w:szCs w:val="28"/>
        </w:rPr>
        <w:fldChar w:fldCharType="begin"/>
      </w:r>
      <w:r>
        <w:rPr>
          <w:rFonts w:hint="eastAsia" w:ascii="楷体" w:hAnsi="楷体" w:eastAsia="楷体" w:cs="楷体"/>
          <w:sz w:val="28"/>
          <w:szCs w:val="28"/>
        </w:rPr>
        <w:instrText xml:space="preserve"> PAGEREF _Toc25476 \h </w:instrText>
      </w:r>
      <w:r>
        <w:rPr>
          <w:rFonts w:hint="eastAsia" w:ascii="楷体" w:hAnsi="楷体" w:eastAsia="楷体" w:cs="楷体"/>
          <w:sz w:val="28"/>
          <w:szCs w:val="28"/>
        </w:rPr>
        <w:fldChar w:fldCharType="separate"/>
      </w:r>
      <w:r>
        <w:rPr>
          <w:rFonts w:hint="eastAsia" w:ascii="楷体" w:hAnsi="楷体" w:eastAsia="楷体" w:cs="楷体"/>
          <w:sz w:val="28"/>
          <w:szCs w:val="28"/>
        </w:rPr>
        <w:t>5</w:t>
      </w:r>
      <w:r>
        <w:rPr>
          <w:rFonts w:hint="eastAsia" w:ascii="楷体" w:hAnsi="楷体" w:eastAsia="楷体" w:cs="楷体"/>
          <w:sz w:val="28"/>
          <w:szCs w:val="28"/>
        </w:rPr>
        <w:fldChar w:fldCharType="end"/>
      </w:r>
      <w:r>
        <w:rPr>
          <w:rFonts w:hint="eastAsia" w:ascii="楷体" w:hAnsi="楷体" w:eastAsia="楷体" w:cs="楷体"/>
          <w:bCs/>
          <w:sz w:val="28"/>
          <w:szCs w:val="28"/>
          <w:lang w:val="zh-CN"/>
        </w:rPr>
        <w:fldChar w:fldCharType="end"/>
      </w:r>
    </w:p>
    <w:p w14:paraId="6D727C69">
      <w:pPr>
        <w:pStyle w:val="23"/>
        <w:keepNext w:val="0"/>
        <w:keepLines w:val="0"/>
        <w:pageBreakBefore w:val="0"/>
        <w:widowControl w:val="0"/>
        <w:tabs>
          <w:tab w:val="right" w:leader="dot" w:pos="9070"/>
        </w:tabs>
        <w:kinsoku/>
        <w:wordWrap/>
        <w:overflowPunct/>
        <w:topLinePunct w:val="0"/>
        <w:autoSpaceDE/>
        <w:autoSpaceDN/>
        <w:bidi w:val="0"/>
        <w:adjustRightInd/>
        <w:snapToGrid/>
        <w:spacing w:line="500" w:lineRule="exact"/>
        <w:textAlignment w:val="auto"/>
        <w:rPr>
          <w:rFonts w:hint="eastAsia" w:ascii="楷体" w:hAnsi="楷体" w:eastAsia="楷体" w:cs="楷体"/>
          <w:sz w:val="28"/>
          <w:szCs w:val="28"/>
        </w:rPr>
      </w:pPr>
      <w:r>
        <w:rPr>
          <w:rFonts w:hint="eastAsia" w:ascii="楷体" w:hAnsi="楷体" w:eastAsia="楷体" w:cs="楷体"/>
          <w:bCs/>
          <w:sz w:val="28"/>
          <w:szCs w:val="28"/>
          <w:lang w:val="zh-CN"/>
        </w:rPr>
        <w:fldChar w:fldCharType="begin"/>
      </w:r>
      <w:r>
        <w:rPr>
          <w:rFonts w:hint="eastAsia" w:ascii="楷体" w:hAnsi="楷体" w:eastAsia="楷体" w:cs="楷体"/>
          <w:bCs/>
          <w:sz w:val="28"/>
          <w:szCs w:val="28"/>
          <w:lang w:val="zh-CN"/>
        </w:rPr>
        <w:instrText xml:space="preserve"> HYPERLINK \l _Toc8975 </w:instrText>
      </w:r>
      <w:r>
        <w:rPr>
          <w:rFonts w:hint="eastAsia" w:ascii="楷体" w:hAnsi="楷体" w:eastAsia="楷体" w:cs="楷体"/>
          <w:bCs/>
          <w:sz w:val="28"/>
          <w:szCs w:val="28"/>
          <w:lang w:val="zh-CN"/>
        </w:rPr>
        <w:fldChar w:fldCharType="separate"/>
      </w:r>
      <w:r>
        <w:rPr>
          <w:rFonts w:hint="eastAsia" w:ascii="楷体" w:hAnsi="楷体" w:eastAsia="楷体" w:cs="楷体"/>
          <w:bCs/>
          <w:sz w:val="28"/>
          <w:szCs w:val="28"/>
        </w:rPr>
        <w:t>五、价值时点</w:t>
      </w:r>
      <w:r>
        <w:rPr>
          <w:rFonts w:hint="eastAsia" w:ascii="楷体" w:hAnsi="楷体" w:eastAsia="楷体" w:cs="楷体"/>
          <w:sz w:val="28"/>
          <w:szCs w:val="28"/>
        </w:rPr>
        <w:tab/>
      </w:r>
      <w:r>
        <w:rPr>
          <w:rFonts w:hint="eastAsia" w:ascii="楷体" w:hAnsi="楷体" w:eastAsia="楷体" w:cs="楷体"/>
          <w:sz w:val="28"/>
          <w:szCs w:val="28"/>
        </w:rPr>
        <w:fldChar w:fldCharType="begin"/>
      </w:r>
      <w:r>
        <w:rPr>
          <w:rFonts w:hint="eastAsia" w:ascii="楷体" w:hAnsi="楷体" w:eastAsia="楷体" w:cs="楷体"/>
          <w:sz w:val="28"/>
          <w:szCs w:val="28"/>
        </w:rPr>
        <w:instrText xml:space="preserve"> PAGEREF _Toc8975 \h </w:instrText>
      </w:r>
      <w:r>
        <w:rPr>
          <w:rFonts w:hint="eastAsia" w:ascii="楷体" w:hAnsi="楷体" w:eastAsia="楷体" w:cs="楷体"/>
          <w:sz w:val="28"/>
          <w:szCs w:val="28"/>
        </w:rPr>
        <w:fldChar w:fldCharType="separate"/>
      </w:r>
      <w:r>
        <w:rPr>
          <w:rFonts w:hint="eastAsia" w:ascii="楷体" w:hAnsi="楷体" w:eastAsia="楷体" w:cs="楷体"/>
          <w:sz w:val="28"/>
          <w:szCs w:val="28"/>
        </w:rPr>
        <w:t>7</w:t>
      </w:r>
      <w:r>
        <w:rPr>
          <w:rFonts w:hint="eastAsia" w:ascii="楷体" w:hAnsi="楷体" w:eastAsia="楷体" w:cs="楷体"/>
          <w:sz w:val="28"/>
          <w:szCs w:val="28"/>
        </w:rPr>
        <w:fldChar w:fldCharType="end"/>
      </w:r>
      <w:r>
        <w:rPr>
          <w:rFonts w:hint="eastAsia" w:ascii="楷体" w:hAnsi="楷体" w:eastAsia="楷体" w:cs="楷体"/>
          <w:bCs/>
          <w:sz w:val="28"/>
          <w:szCs w:val="28"/>
          <w:lang w:val="zh-CN"/>
        </w:rPr>
        <w:fldChar w:fldCharType="end"/>
      </w:r>
    </w:p>
    <w:p w14:paraId="12D5782D">
      <w:pPr>
        <w:pStyle w:val="23"/>
        <w:keepNext w:val="0"/>
        <w:keepLines w:val="0"/>
        <w:pageBreakBefore w:val="0"/>
        <w:widowControl w:val="0"/>
        <w:tabs>
          <w:tab w:val="right" w:leader="dot" w:pos="9070"/>
        </w:tabs>
        <w:kinsoku/>
        <w:wordWrap/>
        <w:overflowPunct/>
        <w:topLinePunct w:val="0"/>
        <w:autoSpaceDE/>
        <w:autoSpaceDN/>
        <w:bidi w:val="0"/>
        <w:adjustRightInd/>
        <w:snapToGrid/>
        <w:spacing w:line="500" w:lineRule="exact"/>
        <w:textAlignment w:val="auto"/>
        <w:rPr>
          <w:rFonts w:hint="eastAsia" w:ascii="楷体" w:hAnsi="楷体" w:eastAsia="楷体" w:cs="楷体"/>
          <w:sz w:val="28"/>
          <w:szCs w:val="28"/>
        </w:rPr>
      </w:pPr>
      <w:r>
        <w:rPr>
          <w:rFonts w:hint="eastAsia" w:ascii="楷体" w:hAnsi="楷体" w:eastAsia="楷体" w:cs="楷体"/>
          <w:bCs/>
          <w:sz w:val="28"/>
          <w:szCs w:val="28"/>
          <w:lang w:val="zh-CN"/>
        </w:rPr>
        <w:fldChar w:fldCharType="begin"/>
      </w:r>
      <w:r>
        <w:rPr>
          <w:rFonts w:hint="eastAsia" w:ascii="楷体" w:hAnsi="楷体" w:eastAsia="楷体" w:cs="楷体"/>
          <w:bCs/>
          <w:sz w:val="28"/>
          <w:szCs w:val="28"/>
          <w:lang w:val="zh-CN"/>
        </w:rPr>
        <w:instrText xml:space="preserve"> HYPERLINK \l _Toc11524 </w:instrText>
      </w:r>
      <w:r>
        <w:rPr>
          <w:rFonts w:hint="eastAsia" w:ascii="楷体" w:hAnsi="楷体" w:eastAsia="楷体" w:cs="楷体"/>
          <w:bCs/>
          <w:sz w:val="28"/>
          <w:szCs w:val="28"/>
          <w:lang w:val="zh-CN"/>
        </w:rPr>
        <w:fldChar w:fldCharType="separate"/>
      </w:r>
      <w:r>
        <w:rPr>
          <w:rFonts w:hint="eastAsia" w:ascii="楷体" w:hAnsi="楷体" w:eastAsia="楷体" w:cs="楷体"/>
          <w:bCs/>
          <w:sz w:val="28"/>
          <w:szCs w:val="28"/>
        </w:rPr>
        <w:t>六、价值类型</w:t>
      </w:r>
      <w:r>
        <w:rPr>
          <w:rFonts w:hint="eastAsia" w:ascii="楷体" w:hAnsi="楷体" w:eastAsia="楷体" w:cs="楷体"/>
          <w:sz w:val="28"/>
          <w:szCs w:val="28"/>
        </w:rPr>
        <w:tab/>
      </w:r>
      <w:r>
        <w:rPr>
          <w:rFonts w:hint="eastAsia" w:ascii="楷体" w:hAnsi="楷体" w:eastAsia="楷体" w:cs="楷体"/>
          <w:sz w:val="28"/>
          <w:szCs w:val="28"/>
        </w:rPr>
        <w:fldChar w:fldCharType="begin"/>
      </w:r>
      <w:r>
        <w:rPr>
          <w:rFonts w:hint="eastAsia" w:ascii="楷体" w:hAnsi="楷体" w:eastAsia="楷体" w:cs="楷体"/>
          <w:sz w:val="28"/>
          <w:szCs w:val="28"/>
        </w:rPr>
        <w:instrText xml:space="preserve"> PAGEREF _Toc11524 \h </w:instrText>
      </w:r>
      <w:r>
        <w:rPr>
          <w:rFonts w:hint="eastAsia" w:ascii="楷体" w:hAnsi="楷体" w:eastAsia="楷体" w:cs="楷体"/>
          <w:sz w:val="28"/>
          <w:szCs w:val="28"/>
        </w:rPr>
        <w:fldChar w:fldCharType="separate"/>
      </w:r>
      <w:r>
        <w:rPr>
          <w:rFonts w:hint="eastAsia" w:ascii="楷体" w:hAnsi="楷体" w:eastAsia="楷体" w:cs="楷体"/>
          <w:sz w:val="28"/>
          <w:szCs w:val="28"/>
        </w:rPr>
        <w:t>7</w:t>
      </w:r>
      <w:r>
        <w:rPr>
          <w:rFonts w:hint="eastAsia" w:ascii="楷体" w:hAnsi="楷体" w:eastAsia="楷体" w:cs="楷体"/>
          <w:sz w:val="28"/>
          <w:szCs w:val="28"/>
        </w:rPr>
        <w:fldChar w:fldCharType="end"/>
      </w:r>
      <w:r>
        <w:rPr>
          <w:rFonts w:hint="eastAsia" w:ascii="楷体" w:hAnsi="楷体" w:eastAsia="楷体" w:cs="楷体"/>
          <w:bCs/>
          <w:sz w:val="28"/>
          <w:szCs w:val="28"/>
          <w:lang w:val="zh-CN"/>
        </w:rPr>
        <w:fldChar w:fldCharType="end"/>
      </w:r>
    </w:p>
    <w:p w14:paraId="1E2A7C44">
      <w:pPr>
        <w:pStyle w:val="23"/>
        <w:keepNext w:val="0"/>
        <w:keepLines w:val="0"/>
        <w:pageBreakBefore w:val="0"/>
        <w:widowControl w:val="0"/>
        <w:tabs>
          <w:tab w:val="right" w:leader="dot" w:pos="9070"/>
        </w:tabs>
        <w:kinsoku/>
        <w:wordWrap/>
        <w:overflowPunct/>
        <w:topLinePunct w:val="0"/>
        <w:autoSpaceDE/>
        <w:autoSpaceDN/>
        <w:bidi w:val="0"/>
        <w:adjustRightInd/>
        <w:snapToGrid/>
        <w:spacing w:line="500" w:lineRule="exact"/>
        <w:textAlignment w:val="auto"/>
        <w:rPr>
          <w:rFonts w:hint="eastAsia" w:ascii="楷体" w:hAnsi="楷体" w:eastAsia="楷体" w:cs="楷体"/>
          <w:sz w:val="28"/>
          <w:szCs w:val="28"/>
        </w:rPr>
      </w:pPr>
      <w:r>
        <w:rPr>
          <w:rFonts w:hint="eastAsia" w:ascii="楷体" w:hAnsi="楷体" w:eastAsia="楷体" w:cs="楷体"/>
          <w:bCs/>
          <w:sz w:val="28"/>
          <w:szCs w:val="28"/>
          <w:lang w:val="zh-CN"/>
        </w:rPr>
        <w:fldChar w:fldCharType="begin"/>
      </w:r>
      <w:r>
        <w:rPr>
          <w:rFonts w:hint="eastAsia" w:ascii="楷体" w:hAnsi="楷体" w:eastAsia="楷体" w:cs="楷体"/>
          <w:bCs/>
          <w:sz w:val="28"/>
          <w:szCs w:val="28"/>
          <w:lang w:val="zh-CN"/>
        </w:rPr>
        <w:instrText xml:space="preserve"> HYPERLINK \l _Toc8087 </w:instrText>
      </w:r>
      <w:r>
        <w:rPr>
          <w:rFonts w:hint="eastAsia" w:ascii="楷体" w:hAnsi="楷体" w:eastAsia="楷体" w:cs="楷体"/>
          <w:bCs/>
          <w:sz w:val="28"/>
          <w:szCs w:val="28"/>
          <w:lang w:val="zh-CN"/>
        </w:rPr>
        <w:fldChar w:fldCharType="separate"/>
      </w:r>
      <w:r>
        <w:rPr>
          <w:rFonts w:hint="eastAsia" w:ascii="楷体" w:hAnsi="楷体" w:eastAsia="楷体" w:cs="楷体"/>
          <w:bCs/>
          <w:sz w:val="28"/>
          <w:szCs w:val="28"/>
        </w:rPr>
        <w:t>七、估价原则</w:t>
      </w:r>
      <w:r>
        <w:rPr>
          <w:rFonts w:hint="eastAsia" w:ascii="楷体" w:hAnsi="楷体" w:eastAsia="楷体" w:cs="楷体"/>
          <w:sz w:val="28"/>
          <w:szCs w:val="28"/>
        </w:rPr>
        <w:tab/>
      </w:r>
      <w:r>
        <w:rPr>
          <w:rFonts w:hint="eastAsia" w:ascii="楷体" w:hAnsi="楷体" w:eastAsia="楷体" w:cs="楷体"/>
          <w:sz w:val="28"/>
          <w:szCs w:val="28"/>
        </w:rPr>
        <w:fldChar w:fldCharType="begin"/>
      </w:r>
      <w:r>
        <w:rPr>
          <w:rFonts w:hint="eastAsia" w:ascii="楷体" w:hAnsi="楷体" w:eastAsia="楷体" w:cs="楷体"/>
          <w:sz w:val="28"/>
          <w:szCs w:val="28"/>
        </w:rPr>
        <w:instrText xml:space="preserve"> PAGEREF _Toc8087 \h </w:instrText>
      </w:r>
      <w:r>
        <w:rPr>
          <w:rFonts w:hint="eastAsia" w:ascii="楷体" w:hAnsi="楷体" w:eastAsia="楷体" w:cs="楷体"/>
          <w:sz w:val="28"/>
          <w:szCs w:val="28"/>
        </w:rPr>
        <w:fldChar w:fldCharType="separate"/>
      </w:r>
      <w:r>
        <w:rPr>
          <w:rFonts w:hint="eastAsia" w:ascii="楷体" w:hAnsi="楷体" w:eastAsia="楷体" w:cs="楷体"/>
          <w:sz w:val="28"/>
          <w:szCs w:val="28"/>
        </w:rPr>
        <w:t>8</w:t>
      </w:r>
      <w:r>
        <w:rPr>
          <w:rFonts w:hint="eastAsia" w:ascii="楷体" w:hAnsi="楷体" w:eastAsia="楷体" w:cs="楷体"/>
          <w:sz w:val="28"/>
          <w:szCs w:val="28"/>
        </w:rPr>
        <w:fldChar w:fldCharType="end"/>
      </w:r>
      <w:r>
        <w:rPr>
          <w:rFonts w:hint="eastAsia" w:ascii="楷体" w:hAnsi="楷体" w:eastAsia="楷体" w:cs="楷体"/>
          <w:bCs/>
          <w:sz w:val="28"/>
          <w:szCs w:val="28"/>
          <w:lang w:val="zh-CN"/>
        </w:rPr>
        <w:fldChar w:fldCharType="end"/>
      </w:r>
    </w:p>
    <w:p w14:paraId="120CD436">
      <w:pPr>
        <w:pStyle w:val="23"/>
        <w:keepNext w:val="0"/>
        <w:keepLines w:val="0"/>
        <w:pageBreakBefore w:val="0"/>
        <w:widowControl w:val="0"/>
        <w:tabs>
          <w:tab w:val="right" w:leader="dot" w:pos="9070"/>
        </w:tabs>
        <w:kinsoku/>
        <w:wordWrap/>
        <w:overflowPunct/>
        <w:topLinePunct w:val="0"/>
        <w:autoSpaceDE/>
        <w:autoSpaceDN/>
        <w:bidi w:val="0"/>
        <w:adjustRightInd/>
        <w:snapToGrid/>
        <w:spacing w:line="500" w:lineRule="exact"/>
        <w:textAlignment w:val="auto"/>
        <w:rPr>
          <w:rFonts w:hint="eastAsia" w:ascii="楷体" w:hAnsi="楷体" w:eastAsia="楷体" w:cs="楷体"/>
          <w:sz w:val="28"/>
          <w:szCs w:val="28"/>
        </w:rPr>
      </w:pPr>
      <w:r>
        <w:rPr>
          <w:rFonts w:hint="eastAsia" w:ascii="楷体" w:hAnsi="楷体" w:eastAsia="楷体" w:cs="楷体"/>
          <w:bCs/>
          <w:sz w:val="28"/>
          <w:szCs w:val="28"/>
          <w:lang w:val="zh-CN"/>
        </w:rPr>
        <w:fldChar w:fldCharType="begin"/>
      </w:r>
      <w:r>
        <w:rPr>
          <w:rFonts w:hint="eastAsia" w:ascii="楷体" w:hAnsi="楷体" w:eastAsia="楷体" w:cs="楷体"/>
          <w:bCs/>
          <w:sz w:val="28"/>
          <w:szCs w:val="28"/>
          <w:lang w:val="zh-CN"/>
        </w:rPr>
        <w:instrText xml:space="preserve"> HYPERLINK \l _Toc6137 </w:instrText>
      </w:r>
      <w:r>
        <w:rPr>
          <w:rFonts w:hint="eastAsia" w:ascii="楷体" w:hAnsi="楷体" w:eastAsia="楷体" w:cs="楷体"/>
          <w:bCs/>
          <w:sz w:val="28"/>
          <w:szCs w:val="28"/>
          <w:lang w:val="zh-CN"/>
        </w:rPr>
        <w:fldChar w:fldCharType="separate"/>
      </w:r>
      <w:r>
        <w:rPr>
          <w:rFonts w:hint="eastAsia" w:ascii="楷体" w:hAnsi="楷体" w:eastAsia="楷体" w:cs="楷体"/>
          <w:bCs/>
          <w:sz w:val="28"/>
          <w:szCs w:val="28"/>
        </w:rPr>
        <w:t>八、估价依据</w:t>
      </w:r>
      <w:r>
        <w:rPr>
          <w:rFonts w:hint="eastAsia" w:ascii="楷体" w:hAnsi="楷体" w:eastAsia="楷体" w:cs="楷体"/>
          <w:sz w:val="28"/>
          <w:szCs w:val="28"/>
        </w:rPr>
        <w:tab/>
      </w:r>
      <w:r>
        <w:rPr>
          <w:rFonts w:hint="eastAsia" w:ascii="楷体" w:hAnsi="楷体" w:eastAsia="楷体" w:cs="楷体"/>
          <w:sz w:val="28"/>
          <w:szCs w:val="28"/>
        </w:rPr>
        <w:fldChar w:fldCharType="begin"/>
      </w:r>
      <w:r>
        <w:rPr>
          <w:rFonts w:hint="eastAsia" w:ascii="楷体" w:hAnsi="楷体" w:eastAsia="楷体" w:cs="楷体"/>
          <w:sz w:val="28"/>
          <w:szCs w:val="28"/>
        </w:rPr>
        <w:instrText xml:space="preserve"> PAGEREF _Toc6137 \h </w:instrText>
      </w:r>
      <w:r>
        <w:rPr>
          <w:rFonts w:hint="eastAsia" w:ascii="楷体" w:hAnsi="楷体" w:eastAsia="楷体" w:cs="楷体"/>
          <w:sz w:val="28"/>
          <w:szCs w:val="28"/>
        </w:rPr>
        <w:fldChar w:fldCharType="separate"/>
      </w:r>
      <w:r>
        <w:rPr>
          <w:rFonts w:hint="eastAsia" w:ascii="楷体" w:hAnsi="楷体" w:eastAsia="楷体" w:cs="楷体"/>
          <w:sz w:val="28"/>
          <w:szCs w:val="28"/>
        </w:rPr>
        <w:t>8</w:t>
      </w:r>
      <w:r>
        <w:rPr>
          <w:rFonts w:hint="eastAsia" w:ascii="楷体" w:hAnsi="楷体" w:eastAsia="楷体" w:cs="楷体"/>
          <w:sz w:val="28"/>
          <w:szCs w:val="28"/>
        </w:rPr>
        <w:fldChar w:fldCharType="end"/>
      </w:r>
      <w:r>
        <w:rPr>
          <w:rFonts w:hint="eastAsia" w:ascii="楷体" w:hAnsi="楷体" w:eastAsia="楷体" w:cs="楷体"/>
          <w:bCs/>
          <w:sz w:val="28"/>
          <w:szCs w:val="28"/>
          <w:lang w:val="zh-CN"/>
        </w:rPr>
        <w:fldChar w:fldCharType="end"/>
      </w:r>
    </w:p>
    <w:p w14:paraId="50F5EF55">
      <w:pPr>
        <w:pStyle w:val="23"/>
        <w:keepNext w:val="0"/>
        <w:keepLines w:val="0"/>
        <w:pageBreakBefore w:val="0"/>
        <w:widowControl w:val="0"/>
        <w:tabs>
          <w:tab w:val="right" w:leader="dot" w:pos="9070"/>
        </w:tabs>
        <w:kinsoku/>
        <w:wordWrap/>
        <w:overflowPunct/>
        <w:topLinePunct w:val="0"/>
        <w:autoSpaceDE/>
        <w:autoSpaceDN/>
        <w:bidi w:val="0"/>
        <w:adjustRightInd/>
        <w:snapToGrid/>
        <w:spacing w:line="500" w:lineRule="exact"/>
        <w:textAlignment w:val="auto"/>
        <w:rPr>
          <w:rFonts w:hint="eastAsia" w:ascii="楷体" w:hAnsi="楷体" w:eastAsia="楷体" w:cs="楷体"/>
          <w:sz w:val="28"/>
          <w:szCs w:val="28"/>
        </w:rPr>
      </w:pPr>
      <w:r>
        <w:rPr>
          <w:rFonts w:hint="eastAsia" w:ascii="楷体" w:hAnsi="楷体" w:eastAsia="楷体" w:cs="楷体"/>
          <w:bCs/>
          <w:sz w:val="28"/>
          <w:szCs w:val="28"/>
          <w:lang w:val="zh-CN"/>
        </w:rPr>
        <w:fldChar w:fldCharType="begin"/>
      </w:r>
      <w:r>
        <w:rPr>
          <w:rFonts w:hint="eastAsia" w:ascii="楷体" w:hAnsi="楷体" w:eastAsia="楷体" w:cs="楷体"/>
          <w:bCs/>
          <w:sz w:val="28"/>
          <w:szCs w:val="28"/>
          <w:lang w:val="zh-CN"/>
        </w:rPr>
        <w:instrText xml:space="preserve"> HYPERLINK \l _Toc31282 </w:instrText>
      </w:r>
      <w:r>
        <w:rPr>
          <w:rFonts w:hint="eastAsia" w:ascii="楷体" w:hAnsi="楷体" w:eastAsia="楷体" w:cs="楷体"/>
          <w:bCs/>
          <w:sz w:val="28"/>
          <w:szCs w:val="28"/>
          <w:lang w:val="zh-CN"/>
        </w:rPr>
        <w:fldChar w:fldCharType="separate"/>
      </w:r>
      <w:r>
        <w:rPr>
          <w:rFonts w:hint="eastAsia" w:ascii="楷体" w:hAnsi="楷体" w:eastAsia="楷体" w:cs="楷体"/>
          <w:bCs/>
          <w:sz w:val="28"/>
          <w:szCs w:val="28"/>
        </w:rPr>
        <w:t>九、估价方法</w:t>
      </w:r>
      <w:r>
        <w:rPr>
          <w:rFonts w:hint="eastAsia" w:ascii="楷体" w:hAnsi="楷体" w:eastAsia="楷体" w:cs="楷体"/>
          <w:sz w:val="28"/>
          <w:szCs w:val="28"/>
        </w:rPr>
        <w:tab/>
      </w:r>
      <w:r>
        <w:rPr>
          <w:rFonts w:hint="eastAsia" w:ascii="楷体" w:hAnsi="楷体" w:eastAsia="楷体" w:cs="楷体"/>
          <w:sz w:val="28"/>
          <w:szCs w:val="28"/>
        </w:rPr>
        <w:fldChar w:fldCharType="begin"/>
      </w:r>
      <w:r>
        <w:rPr>
          <w:rFonts w:hint="eastAsia" w:ascii="楷体" w:hAnsi="楷体" w:eastAsia="楷体" w:cs="楷体"/>
          <w:sz w:val="28"/>
          <w:szCs w:val="28"/>
        </w:rPr>
        <w:instrText xml:space="preserve"> PAGEREF _Toc31282 \h </w:instrText>
      </w:r>
      <w:r>
        <w:rPr>
          <w:rFonts w:hint="eastAsia" w:ascii="楷体" w:hAnsi="楷体" w:eastAsia="楷体" w:cs="楷体"/>
          <w:sz w:val="28"/>
          <w:szCs w:val="28"/>
        </w:rPr>
        <w:fldChar w:fldCharType="separate"/>
      </w:r>
      <w:r>
        <w:rPr>
          <w:rFonts w:hint="eastAsia" w:ascii="楷体" w:hAnsi="楷体" w:eastAsia="楷体" w:cs="楷体"/>
          <w:sz w:val="28"/>
          <w:szCs w:val="28"/>
        </w:rPr>
        <w:t>9</w:t>
      </w:r>
      <w:r>
        <w:rPr>
          <w:rFonts w:hint="eastAsia" w:ascii="楷体" w:hAnsi="楷体" w:eastAsia="楷体" w:cs="楷体"/>
          <w:sz w:val="28"/>
          <w:szCs w:val="28"/>
        </w:rPr>
        <w:fldChar w:fldCharType="end"/>
      </w:r>
      <w:r>
        <w:rPr>
          <w:rFonts w:hint="eastAsia" w:ascii="楷体" w:hAnsi="楷体" w:eastAsia="楷体" w:cs="楷体"/>
          <w:bCs/>
          <w:sz w:val="28"/>
          <w:szCs w:val="28"/>
          <w:lang w:val="zh-CN"/>
        </w:rPr>
        <w:fldChar w:fldCharType="end"/>
      </w:r>
    </w:p>
    <w:p w14:paraId="75105212">
      <w:pPr>
        <w:pStyle w:val="23"/>
        <w:keepNext w:val="0"/>
        <w:keepLines w:val="0"/>
        <w:pageBreakBefore w:val="0"/>
        <w:widowControl w:val="0"/>
        <w:tabs>
          <w:tab w:val="right" w:leader="dot" w:pos="9070"/>
        </w:tabs>
        <w:kinsoku/>
        <w:wordWrap/>
        <w:overflowPunct/>
        <w:topLinePunct w:val="0"/>
        <w:autoSpaceDE/>
        <w:autoSpaceDN/>
        <w:bidi w:val="0"/>
        <w:adjustRightInd/>
        <w:snapToGrid/>
        <w:spacing w:line="500" w:lineRule="exact"/>
        <w:textAlignment w:val="auto"/>
        <w:rPr>
          <w:rFonts w:hint="eastAsia" w:ascii="楷体" w:hAnsi="楷体" w:eastAsia="楷体" w:cs="楷体"/>
          <w:sz w:val="28"/>
          <w:szCs w:val="28"/>
        </w:rPr>
      </w:pPr>
      <w:r>
        <w:rPr>
          <w:rFonts w:hint="eastAsia" w:ascii="楷体" w:hAnsi="楷体" w:eastAsia="楷体" w:cs="楷体"/>
          <w:bCs/>
          <w:sz w:val="28"/>
          <w:szCs w:val="28"/>
          <w:lang w:val="zh-CN"/>
        </w:rPr>
        <w:fldChar w:fldCharType="begin"/>
      </w:r>
      <w:r>
        <w:rPr>
          <w:rFonts w:hint="eastAsia" w:ascii="楷体" w:hAnsi="楷体" w:eastAsia="楷体" w:cs="楷体"/>
          <w:bCs/>
          <w:sz w:val="28"/>
          <w:szCs w:val="28"/>
          <w:lang w:val="zh-CN"/>
        </w:rPr>
        <w:instrText xml:space="preserve"> HYPERLINK \l _Toc32348 </w:instrText>
      </w:r>
      <w:r>
        <w:rPr>
          <w:rFonts w:hint="eastAsia" w:ascii="楷体" w:hAnsi="楷体" w:eastAsia="楷体" w:cs="楷体"/>
          <w:bCs/>
          <w:sz w:val="28"/>
          <w:szCs w:val="28"/>
          <w:lang w:val="zh-CN"/>
        </w:rPr>
        <w:fldChar w:fldCharType="separate"/>
      </w:r>
      <w:r>
        <w:rPr>
          <w:rFonts w:hint="eastAsia" w:ascii="楷体" w:hAnsi="楷体" w:eastAsia="楷体" w:cs="楷体"/>
          <w:bCs/>
          <w:sz w:val="28"/>
          <w:szCs w:val="28"/>
        </w:rPr>
        <w:t>十、估价结果</w:t>
      </w:r>
      <w:r>
        <w:rPr>
          <w:rFonts w:hint="eastAsia" w:ascii="楷体" w:hAnsi="楷体" w:eastAsia="楷体" w:cs="楷体"/>
          <w:sz w:val="28"/>
          <w:szCs w:val="28"/>
        </w:rPr>
        <w:tab/>
      </w:r>
      <w:r>
        <w:rPr>
          <w:rFonts w:hint="eastAsia" w:ascii="楷体" w:hAnsi="楷体" w:eastAsia="楷体" w:cs="楷体"/>
          <w:sz w:val="28"/>
          <w:szCs w:val="28"/>
        </w:rPr>
        <w:fldChar w:fldCharType="begin"/>
      </w:r>
      <w:r>
        <w:rPr>
          <w:rFonts w:hint="eastAsia" w:ascii="楷体" w:hAnsi="楷体" w:eastAsia="楷体" w:cs="楷体"/>
          <w:sz w:val="28"/>
          <w:szCs w:val="28"/>
        </w:rPr>
        <w:instrText xml:space="preserve"> PAGEREF _Toc32348 \h </w:instrText>
      </w:r>
      <w:r>
        <w:rPr>
          <w:rFonts w:hint="eastAsia" w:ascii="楷体" w:hAnsi="楷体" w:eastAsia="楷体" w:cs="楷体"/>
          <w:sz w:val="28"/>
          <w:szCs w:val="28"/>
        </w:rPr>
        <w:fldChar w:fldCharType="separate"/>
      </w:r>
      <w:r>
        <w:rPr>
          <w:rFonts w:hint="eastAsia" w:ascii="楷体" w:hAnsi="楷体" w:eastAsia="楷体" w:cs="楷体"/>
          <w:sz w:val="28"/>
          <w:szCs w:val="28"/>
        </w:rPr>
        <w:t>10</w:t>
      </w:r>
      <w:r>
        <w:rPr>
          <w:rFonts w:hint="eastAsia" w:ascii="楷体" w:hAnsi="楷体" w:eastAsia="楷体" w:cs="楷体"/>
          <w:sz w:val="28"/>
          <w:szCs w:val="28"/>
        </w:rPr>
        <w:fldChar w:fldCharType="end"/>
      </w:r>
      <w:r>
        <w:rPr>
          <w:rFonts w:hint="eastAsia" w:ascii="楷体" w:hAnsi="楷体" w:eastAsia="楷体" w:cs="楷体"/>
          <w:bCs/>
          <w:sz w:val="28"/>
          <w:szCs w:val="28"/>
          <w:lang w:val="zh-CN"/>
        </w:rPr>
        <w:fldChar w:fldCharType="end"/>
      </w:r>
    </w:p>
    <w:p w14:paraId="2E02A8FD">
      <w:pPr>
        <w:pStyle w:val="23"/>
        <w:keepNext w:val="0"/>
        <w:keepLines w:val="0"/>
        <w:pageBreakBefore w:val="0"/>
        <w:widowControl w:val="0"/>
        <w:tabs>
          <w:tab w:val="right" w:leader="dot" w:pos="9070"/>
        </w:tabs>
        <w:kinsoku/>
        <w:wordWrap/>
        <w:overflowPunct/>
        <w:topLinePunct w:val="0"/>
        <w:autoSpaceDE/>
        <w:autoSpaceDN/>
        <w:bidi w:val="0"/>
        <w:adjustRightInd/>
        <w:snapToGrid/>
        <w:spacing w:line="500" w:lineRule="exact"/>
        <w:textAlignment w:val="auto"/>
        <w:rPr>
          <w:rFonts w:hint="eastAsia" w:ascii="楷体" w:hAnsi="楷体" w:eastAsia="楷体" w:cs="楷体"/>
          <w:sz w:val="28"/>
          <w:szCs w:val="28"/>
        </w:rPr>
      </w:pPr>
      <w:r>
        <w:rPr>
          <w:rFonts w:hint="eastAsia" w:ascii="楷体" w:hAnsi="楷体" w:eastAsia="楷体" w:cs="楷体"/>
          <w:bCs/>
          <w:sz w:val="28"/>
          <w:szCs w:val="28"/>
          <w:lang w:val="zh-CN"/>
        </w:rPr>
        <w:fldChar w:fldCharType="begin"/>
      </w:r>
      <w:r>
        <w:rPr>
          <w:rFonts w:hint="eastAsia" w:ascii="楷体" w:hAnsi="楷体" w:eastAsia="楷体" w:cs="楷体"/>
          <w:bCs/>
          <w:sz w:val="28"/>
          <w:szCs w:val="28"/>
          <w:lang w:val="zh-CN"/>
        </w:rPr>
        <w:instrText xml:space="preserve"> HYPERLINK \l _Toc2703 </w:instrText>
      </w:r>
      <w:r>
        <w:rPr>
          <w:rFonts w:hint="eastAsia" w:ascii="楷体" w:hAnsi="楷体" w:eastAsia="楷体" w:cs="楷体"/>
          <w:bCs/>
          <w:sz w:val="28"/>
          <w:szCs w:val="28"/>
          <w:lang w:val="zh-CN"/>
        </w:rPr>
        <w:fldChar w:fldCharType="separate"/>
      </w:r>
      <w:r>
        <w:rPr>
          <w:rFonts w:hint="eastAsia" w:ascii="楷体" w:hAnsi="楷体" w:eastAsia="楷体" w:cs="楷体"/>
          <w:bCs/>
          <w:sz w:val="28"/>
          <w:szCs w:val="28"/>
        </w:rPr>
        <w:t>十一、注册房地产估价师</w:t>
      </w:r>
      <w:r>
        <w:rPr>
          <w:rFonts w:hint="eastAsia" w:ascii="楷体" w:hAnsi="楷体" w:eastAsia="楷体" w:cs="楷体"/>
          <w:sz w:val="28"/>
          <w:szCs w:val="28"/>
        </w:rPr>
        <w:tab/>
      </w:r>
      <w:r>
        <w:rPr>
          <w:rFonts w:hint="eastAsia" w:ascii="楷体" w:hAnsi="楷体" w:eastAsia="楷体" w:cs="楷体"/>
          <w:sz w:val="28"/>
          <w:szCs w:val="28"/>
        </w:rPr>
        <w:fldChar w:fldCharType="begin"/>
      </w:r>
      <w:r>
        <w:rPr>
          <w:rFonts w:hint="eastAsia" w:ascii="楷体" w:hAnsi="楷体" w:eastAsia="楷体" w:cs="楷体"/>
          <w:sz w:val="28"/>
          <w:szCs w:val="28"/>
        </w:rPr>
        <w:instrText xml:space="preserve"> PAGEREF _Toc2703 \h </w:instrText>
      </w:r>
      <w:r>
        <w:rPr>
          <w:rFonts w:hint="eastAsia" w:ascii="楷体" w:hAnsi="楷体" w:eastAsia="楷体" w:cs="楷体"/>
          <w:sz w:val="28"/>
          <w:szCs w:val="28"/>
        </w:rPr>
        <w:fldChar w:fldCharType="separate"/>
      </w:r>
      <w:r>
        <w:rPr>
          <w:rFonts w:hint="eastAsia" w:ascii="楷体" w:hAnsi="楷体" w:eastAsia="楷体" w:cs="楷体"/>
          <w:sz w:val="28"/>
          <w:szCs w:val="28"/>
        </w:rPr>
        <w:t>10</w:t>
      </w:r>
      <w:r>
        <w:rPr>
          <w:rFonts w:hint="eastAsia" w:ascii="楷体" w:hAnsi="楷体" w:eastAsia="楷体" w:cs="楷体"/>
          <w:sz w:val="28"/>
          <w:szCs w:val="28"/>
        </w:rPr>
        <w:fldChar w:fldCharType="end"/>
      </w:r>
      <w:r>
        <w:rPr>
          <w:rFonts w:hint="eastAsia" w:ascii="楷体" w:hAnsi="楷体" w:eastAsia="楷体" w:cs="楷体"/>
          <w:bCs/>
          <w:sz w:val="28"/>
          <w:szCs w:val="28"/>
          <w:lang w:val="zh-CN"/>
        </w:rPr>
        <w:fldChar w:fldCharType="end"/>
      </w:r>
    </w:p>
    <w:p w14:paraId="4F56AD58">
      <w:pPr>
        <w:pStyle w:val="23"/>
        <w:keepNext w:val="0"/>
        <w:keepLines w:val="0"/>
        <w:pageBreakBefore w:val="0"/>
        <w:widowControl w:val="0"/>
        <w:tabs>
          <w:tab w:val="right" w:leader="dot" w:pos="9070"/>
        </w:tabs>
        <w:kinsoku/>
        <w:wordWrap/>
        <w:overflowPunct/>
        <w:topLinePunct w:val="0"/>
        <w:autoSpaceDE/>
        <w:autoSpaceDN/>
        <w:bidi w:val="0"/>
        <w:adjustRightInd/>
        <w:snapToGrid/>
        <w:spacing w:line="500" w:lineRule="exact"/>
        <w:textAlignment w:val="auto"/>
        <w:rPr>
          <w:rFonts w:hint="eastAsia" w:ascii="楷体" w:hAnsi="楷体" w:eastAsia="楷体" w:cs="楷体"/>
          <w:sz w:val="28"/>
          <w:szCs w:val="28"/>
        </w:rPr>
      </w:pPr>
      <w:r>
        <w:rPr>
          <w:rFonts w:hint="eastAsia" w:ascii="楷体" w:hAnsi="楷体" w:eastAsia="楷体" w:cs="楷体"/>
          <w:bCs/>
          <w:sz w:val="28"/>
          <w:szCs w:val="28"/>
          <w:lang w:val="zh-CN"/>
        </w:rPr>
        <w:fldChar w:fldCharType="begin"/>
      </w:r>
      <w:r>
        <w:rPr>
          <w:rFonts w:hint="eastAsia" w:ascii="楷体" w:hAnsi="楷体" w:eastAsia="楷体" w:cs="楷体"/>
          <w:bCs/>
          <w:sz w:val="28"/>
          <w:szCs w:val="28"/>
          <w:lang w:val="zh-CN"/>
        </w:rPr>
        <w:instrText xml:space="preserve"> HYPERLINK \l _Toc4175 </w:instrText>
      </w:r>
      <w:r>
        <w:rPr>
          <w:rFonts w:hint="eastAsia" w:ascii="楷体" w:hAnsi="楷体" w:eastAsia="楷体" w:cs="楷体"/>
          <w:bCs/>
          <w:sz w:val="28"/>
          <w:szCs w:val="28"/>
          <w:lang w:val="zh-CN"/>
        </w:rPr>
        <w:fldChar w:fldCharType="separate"/>
      </w:r>
      <w:r>
        <w:rPr>
          <w:rFonts w:hint="eastAsia" w:ascii="楷体" w:hAnsi="楷体" w:eastAsia="楷体" w:cs="楷体"/>
          <w:bCs/>
          <w:sz w:val="28"/>
          <w:szCs w:val="28"/>
        </w:rPr>
        <w:t>十二、实地查勘期</w:t>
      </w:r>
      <w:r>
        <w:rPr>
          <w:rFonts w:hint="eastAsia" w:ascii="楷体" w:hAnsi="楷体" w:eastAsia="楷体" w:cs="楷体"/>
          <w:sz w:val="28"/>
          <w:szCs w:val="28"/>
        </w:rPr>
        <w:tab/>
      </w:r>
      <w:r>
        <w:rPr>
          <w:rFonts w:hint="eastAsia" w:ascii="楷体" w:hAnsi="楷体" w:eastAsia="楷体" w:cs="楷体"/>
          <w:sz w:val="28"/>
          <w:szCs w:val="28"/>
        </w:rPr>
        <w:fldChar w:fldCharType="begin"/>
      </w:r>
      <w:r>
        <w:rPr>
          <w:rFonts w:hint="eastAsia" w:ascii="楷体" w:hAnsi="楷体" w:eastAsia="楷体" w:cs="楷体"/>
          <w:sz w:val="28"/>
          <w:szCs w:val="28"/>
        </w:rPr>
        <w:instrText xml:space="preserve"> PAGEREF _Toc4175 \h </w:instrText>
      </w:r>
      <w:r>
        <w:rPr>
          <w:rFonts w:hint="eastAsia" w:ascii="楷体" w:hAnsi="楷体" w:eastAsia="楷体" w:cs="楷体"/>
          <w:sz w:val="28"/>
          <w:szCs w:val="28"/>
        </w:rPr>
        <w:fldChar w:fldCharType="separate"/>
      </w:r>
      <w:r>
        <w:rPr>
          <w:rFonts w:hint="eastAsia" w:ascii="楷体" w:hAnsi="楷体" w:eastAsia="楷体" w:cs="楷体"/>
          <w:sz w:val="28"/>
          <w:szCs w:val="28"/>
        </w:rPr>
        <w:t>10</w:t>
      </w:r>
      <w:r>
        <w:rPr>
          <w:rFonts w:hint="eastAsia" w:ascii="楷体" w:hAnsi="楷体" w:eastAsia="楷体" w:cs="楷体"/>
          <w:sz w:val="28"/>
          <w:szCs w:val="28"/>
        </w:rPr>
        <w:fldChar w:fldCharType="end"/>
      </w:r>
      <w:r>
        <w:rPr>
          <w:rFonts w:hint="eastAsia" w:ascii="楷体" w:hAnsi="楷体" w:eastAsia="楷体" w:cs="楷体"/>
          <w:bCs/>
          <w:sz w:val="28"/>
          <w:szCs w:val="28"/>
          <w:lang w:val="zh-CN"/>
        </w:rPr>
        <w:fldChar w:fldCharType="end"/>
      </w:r>
    </w:p>
    <w:p w14:paraId="79786E30">
      <w:pPr>
        <w:pStyle w:val="23"/>
        <w:keepNext w:val="0"/>
        <w:keepLines w:val="0"/>
        <w:pageBreakBefore w:val="0"/>
        <w:widowControl w:val="0"/>
        <w:tabs>
          <w:tab w:val="right" w:leader="dot" w:pos="9070"/>
        </w:tabs>
        <w:kinsoku/>
        <w:wordWrap/>
        <w:overflowPunct/>
        <w:topLinePunct w:val="0"/>
        <w:autoSpaceDE/>
        <w:autoSpaceDN/>
        <w:bidi w:val="0"/>
        <w:adjustRightInd/>
        <w:snapToGrid/>
        <w:spacing w:line="500" w:lineRule="exact"/>
        <w:textAlignment w:val="auto"/>
        <w:rPr>
          <w:rFonts w:hint="eastAsia" w:ascii="楷体" w:hAnsi="楷体" w:eastAsia="楷体" w:cs="楷体"/>
          <w:sz w:val="28"/>
          <w:szCs w:val="28"/>
        </w:rPr>
      </w:pPr>
      <w:r>
        <w:rPr>
          <w:rFonts w:hint="eastAsia" w:ascii="楷体" w:hAnsi="楷体" w:eastAsia="楷体" w:cs="楷体"/>
          <w:bCs/>
          <w:sz w:val="28"/>
          <w:szCs w:val="28"/>
          <w:lang w:val="zh-CN"/>
        </w:rPr>
        <w:fldChar w:fldCharType="begin"/>
      </w:r>
      <w:r>
        <w:rPr>
          <w:rFonts w:hint="eastAsia" w:ascii="楷体" w:hAnsi="楷体" w:eastAsia="楷体" w:cs="楷体"/>
          <w:bCs/>
          <w:sz w:val="28"/>
          <w:szCs w:val="28"/>
          <w:lang w:val="zh-CN"/>
        </w:rPr>
        <w:instrText xml:space="preserve"> HYPERLINK \l _Toc25269 </w:instrText>
      </w:r>
      <w:r>
        <w:rPr>
          <w:rFonts w:hint="eastAsia" w:ascii="楷体" w:hAnsi="楷体" w:eastAsia="楷体" w:cs="楷体"/>
          <w:bCs/>
          <w:sz w:val="28"/>
          <w:szCs w:val="28"/>
          <w:lang w:val="zh-CN"/>
        </w:rPr>
        <w:fldChar w:fldCharType="separate"/>
      </w:r>
      <w:r>
        <w:rPr>
          <w:rFonts w:hint="eastAsia" w:ascii="楷体" w:hAnsi="楷体" w:eastAsia="楷体" w:cs="楷体"/>
          <w:bCs/>
          <w:sz w:val="28"/>
          <w:szCs w:val="28"/>
        </w:rPr>
        <w:t>十三、估价作业期</w:t>
      </w:r>
      <w:r>
        <w:rPr>
          <w:rFonts w:hint="eastAsia" w:ascii="楷体" w:hAnsi="楷体" w:eastAsia="楷体" w:cs="楷体"/>
          <w:sz w:val="28"/>
          <w:szCs w:val="28"/>
        </w:rPr>
        <w:tab/>
      </w:r>
      <w:r>
        <w:rPr>
          <w:rFonts w:hint="eastAsia" w:ascii="楷体" w:hAnsi="楷体" w:eastAsia="楷体" w:cs="楷体"/>
          <w:sz w:val="28"/>
          <w:szCs w:val="28"/>
        </w:rPr>
        <w:fldChar w:fldCharType="begin"/>
      </w:r>
      <w:r>
        <w:rPr>
          <w:rFonts w:hint="eastAsia" w:ascii="楷体" w:hAnsi="楷体" w:eastAsia="楷体" w:cs="楷体"/>
          <w:sz w:val="28"/>
          <w:szCs w:val="28"/>
        </w:rPr>
        <w:instrText xml:space="preserve"> PAGEREF _Toc25269 \h </w:instrText>
      </w:r>
      <w:r>
        <w:rPr>
          <w:rFonts w:hint="eastAsia" w:ascii="楷体" w:hAnsi="楷体" w:eastAsia="楷体" w:cs="楷体"/>
          <w:sz w:val="28"/>
          <w:szCs w:val="28"/>
        </w:rPr>
        <w:fldChar w:fldCharType="separate"/>
      </w:r>
      <w:r>
        <w:rPr>
          <w:rFonts w:hint="eastAsia" w:ascii="楷体" w:hAnsi="楷体" w:eastAsia="楷体" w:cs="楷体"/>
          <w:sz w:val="28"/>
          <w:szCs w:val="28"/>
        </w:rPr>
        <w:t>10</w:t>
      </w:r>
      <w:r>
        <w:rPr>
          <w:rFonts w:hint="eastAsia" w:ascii="楷体" w:hAnsi="楷体" w:eastAsia="楷体" w:cs="楷体"/>
          <w:sz w:val="28"/>
          <w:szCs w:val="28"/>
        </w:rPr>
        <w:fldChar w:fldCharType="end"/>
      </w:r>
      <w:r>
        <w:rPr>
          <w:rFonts w:hint="eastAsia" w:ascii="楷体" w:hAnsi="楷体" w:eastAsia="楷体" w:cs="楷体"/>
          <w:bCs/>
          <w:sz w:val="28"/>
          <w:szCs w:val="28"/>
          <w:lang w:val="zh-CN"/>
        </w:rPr>
        <w:fldChar w:fldCharType="end"/>
      </w:r>
    </w:p>
    <w:p w14:paraId="52C96FEB">
      <w:pPr>
        <w:pStyle w:val="19"/>
        <w:keepNext w:val="0"/>
        <w:keepLines w:val="0"/>
        <w:pageBreakBefore w:val="0"/>
        <w:widowControl w:val="0"/>
        <w:tabs>
          <w:tab w:val="right" w:leader="dot" w:pos="9070"/>
        </w:tabs>
        <w:kinsoku/>
        <w:wordWrap/>
        <w:overflowPunct/>
        <w:topLinePunct w:val="0"/>
        <w:autoSpaceDE/>
        <w:autoSpaceDN/>
        <w:bidi w:val="0"/>
        <w:adjustRightInd/>
        <w:snapToGrid/>
        <w:spacing w:line="500" w:lineRule="exact"/>
        <w:textAlignment w:val="auto"/>
        <w:rPr>
          <w:rFonts w:hint="eastAsia" w:ascii="楷体" w:hAnsi="楷体" w:eastAsia="楷体" w:cs="楷体"/>
          <w:sz w:val="28"/>
          <w:szCs w:val="28"/>
        </w:rPr>
      </w:pPr>
      <w:r>
        <w:rPr>
          <w:rFonts w:hint="eastAsia" w:ascii="楷体" w:hAnsi="楷体" w:eastAsia="楷体" w:cs="楷体"/>
          <w:bCs w:val="0"/>
          <w:sz w:val="28"/>
          <w:szCs w:val="28"/>
          <w:lang w:val="zh-CN"/>
        </w:rPr>
        <w:fldChar w:fldCharType="begin"/>
      </w:r>
      <w:r>
        <w:rPr>
          <w:rFonts w:hint="eastAsia" w:ascii="楷体" w:hAnsi="楷体" w:eastAsia="楷体" w:cs="楷体"/>
          <w:bCs w:val="0"/>
          <w:sz w:val="28"/>
          <w:szCs w:val="28"/>
          <w:lang w:val="zh-CN"/>
        </w:rPr>
        <w:instrText xml:space="preserve"> HYPERLINK \l _Toc22660 </w:instrText>
      </w:r>
      <w:r>
        <w:rPr>
          <w:rFonts w:hint="eastAsia" w:ascii="楷体" w:hAnsi="楷体" w:eastAsia="楷体" w:cs="楷体"/>
          <w:bCs w:val="0"/>
          <w:sz w:val="28"/>
          <w:szCs w:val="28"/>
          <w:lang w:val="zh-CN"/>
        </w:rPr>
        <w:fldChar w:fldCharType="separate"/>
      </w:r>
      <w:r>
        <w:rPr>
          <w:rFonts w:hint="eastAsia" w:ascii="楷体" w:hAnsi="楷体" w:eastAsia="楷体" w:cs="楷体"/>
          <w:sz w:val="28"/>
          <w:szCs w:val="28"/>
        </w:rPr>
        <w:t>附 件</w:t>
      </w:r>
      <w:r>
        <w:rPr>
          <w:rFonts w:hint="eastAsia" w:ascii="楷体" w:hAnsi="楷体" w:eastAsia="楷体" w:cs="楷体"/>
          <w:sz w:val="28"/>
          <w:szCs w:val="28"/>
        </w:rPr>
        <w:tab/>
      </w:r>
      <w:r>
        <w:rPr>
          <w:rFonts w:hint="eastAsia" w:ascii="楷体" w:hAnsi="楷体" w:eastAsia="楷体" w:cs="楷体"/>
          <w:sz w:val="28"/>
          <w:szCs w:val="28"/>
        </w:rPr>
        <w:fldChar w:fldCharType="begin"/>
      </w:r>
      <w:r>
        <w:rPr>
          <w:rFonts w:hint="eastAsia" w:ascii="楷体" w:hAnsi="楷体" w:eastAsia="楷体" w:cs="楷体"/>
          <w:sz w:val="28"/>
          <w:szCs w:val="28"/>
        </w:rPr>
        <w:instrText xml:space="preserve"> PAGEREF _Toc22660 \h </w:instrText>
      </w:r>
      <w:r>
        <w:rPr>
          <w:rFonts w:hint="eastAsia" w:ascii="楷体" w:hAnsi="楷体" w:eastAsia="楷体" w:cs="楷体"/>
          <w:sz w:val="28"/>
          <w:szCs w:val="28"/>
        </w:rPr>
        <w:fldChar w:fldCharType="separate"/>
      </w:r>
      <w:r>
        <w:rPr>
          <w:rFonts w:hint="eastAsia" w:ascii="楷体" w:hAnsi="楷体" w:eastAsia="楷体" w:cs="楷体"/>
          <w:sz w:val="28"/>
          <w:szCs w:val="28"/>
        </w:rPr>
        <w:t>11</w:t>
      </w:r>
      <w:r>
        <w:rPr>
          <w:rFonts w:hint="eastAsia" w:ascii="楷体" w:hAnsi="楷体" w:eastAsia="楷体" w:cs="楷体"/>
          <w:sz w:val="28"/>
          <w:szCs w:val="28"/>
        </w:rPr>
        <w:fldChar w:fldCharType="end"/>
      </w:r>
      <w:r>
        <w:rPr>
          <w:rFonts w:hint="eastAsia" w:ascii="楷体" w:hAnsi="楷体" w:eastAsia="楷体" w:cs="楷体"/>
          <w:bCs w:val="0"/>
          <w:sz w:val="28"/>
          <w:szCs w:val="28"/>
          <w:lang w:val="zh-CN"/>
        </w:rPr>
        <w:fldChar w:fldCharType="end"/>
      </w:r>
    </w:p>
    <w:p w14:paraId="3711E07D">
      <w:pPr>
        <w:keepNext w:val="0"/>
        <w:keepLines w:val="0"/>
        <w:pageBreakBefore w:val="0"/>
        <w:widowControl w:val="0"/>
        <w:kinsoku/>
        <w:wordWrap/>
        <w:overflowPunct/>
        <w:topLinePunct w:val="0"/>
        <w:autoSpaceDE/>
        <w:autoSpaceDN/>
        <w:bidi w:val="0"/>
        <w:adjustRightInd/>
        <w:snapToGrid/>
        <w:spacing w:line="500" w:lineRule="exact"/>
        <w:textAlignment w:val="auto"/>
      </w:pPr>
      <w:r>
        <w:rPr>
          <w:rFonts w:hint="eastAsia" w:ascii="楷体" w:hAnsi="楷体" w:eastAsia="楷体" w:cs="楷体"/>
          <w:bCs/>
          <w:sz w:val="28"/>
          <w:szCs w:val="28"/>
          <w:lang w:val="zh-CN"/>
        </w:rPr>
        <w:fldChar w:fldCharType="end"/>
      </w:r>
    </w:p>
    <w:p w14:paraId="2799A0DE">
      <w:pPr>
        <w:rPr>
          <w:rFonts w:ascii="楷体" w:hAnsi="楷体" w:eastAsia="楷体"/>
          <w:bCs/>
          <w:sz w:val="44"/>
          <w:szCs w:val="44"/>
        </w:rPr>
        <w:sectPr>
          <w:footerReference r:id="rId6" w:type="default"/>
          <w:pgSz w:w="11906" w:h="16838"/>
          <w:pgMar w:top="1418" w:right="1134" w:bottom="1134" w:left="1418" w:header="851" w:footer="851" w:gutter="284"/>
          <w:pgNumType w:start="1" w:chapStyle="1"/>
          <w:cols w:space="720" w:num="1"/>
          <w:docGrid w:type="lines" w:linePitch="312" w:charSpace="0"/>
        </w:sectPr>
      </w:pPr>
    </w:p>
    <w:p w14:paraId="2BAAAA18">
      <w:pPr>
        <w:spacing w:before="312" w:beforeLines="100" w:after="156" w:afterLines="50" w:line="360" w:lineRule="auto"/>
        <w:jc w:val="center"/>
        <w:outlineLvl w:val="0"/>
        <w:rPr>
          <w:rFonts w:hint="eastAsia" w:ascii="楷体" w:hAnsi="楷体" w:eastAsia="楷体"/>
          <w:bCs/>
          <w:sz w:val="28"/>
          <w:szCs w:val="28"/>
        </w:rPr>
      </w:pPr>
      <w:bookmarkStart w:id="12" w:name="_Toc484941653"/>
      <w:bookmarkStart w:id="13" w:name="_Toc505087745"/>
      <w:bookmarkStart w:id="14" w:name="_Toc25605"/>
      <w:bookmarkStart w:id="15" w:name="_Toc221710848"/>
      <w:r>
        <w:rPr>
          <w:rFonts w:hint="eastAsia" w:ascii="楷体" w:hAnsi="楷体" w:eastAsia="楷体"/>
          <w:b/>
          <w:bCs/>
          <w:sz w:val="48"/>
          <w:szCs w:val="48"/>
        </w:rPr>
        <w:t>估价师声明</w:t>
      </w:r>
      <w:bookmarkEnd w:id="12"/>
      <w:bookmarkEnd w:id="13"/>
      <w:bookmarkEnd w:id="14"/>
      <w:bookmarkEnd w:id="15"/>
    </w:p>
    <w:p w14:paraId="4FEB135E">
      <w:pPr>
        <w:spacing w:line="500" w:lineRule="exact"/>
        <w:jc w:val="left"/>
        <w:rPr>
          <w:rFonts w:hint="eastAsia" w:ascii="楷体" w:hAnsi="楷体" w:eastAsia="楷体"/>
          <w:bCs/>
          <w:sz w:val="28"/>
          <w:szCs w:val="28"/>
        </w:rPr>
      </w:pPr>
      <w:r>
        <w:rPr>
          <w:rFonts w:hint="eastAsia" w:ascii="楷体" w:hAnsi="楷体" w:eastAsia="楷体"/>
          <w:bCs/>
          <w:sz w:val="28"/>
          <w:szCs w:val="28"/>
        </w:rPr>
        <w:t>估价师郑重声明：</w:t>
      </w:r>
    </w:p>
    <w:p w14:paraId="33E24C33">
      <w:pPr>
        <w:spacing w:line="500" w:lineRule="exact"/>
        <w:ind w:firstLine="560" w:firstLineChars="200"/>
        <w:jc w:val="left"/>
        <w:rPr>
          <w:rFonts w:hint="eastAsia" w:ascii="楷体" w:hAnsi="楷体" w:eastAsia="楷体"/>
          <w:bCs/>
          <w:sz w:val="28"/>
          <w:szCs w:val="28"/>
        </w:rPr>
      </w:pPr>
      <w:r>
        <w:rPr>
          <w:rFonts w:hint="eastAsia" w:ascii="楷体" w:hAnsi="楷体" w:eastAsia="楷体"/>
          <w:bCs/>
          <w:sz w:val="28"/>
          <w:szCs w:val="28"/>
          <w:lang w:eastAsia="zh-CN"/>
        </w:rPr>
        <w:t>1.</w:t>
      </w:r>
      <w:r>
        <w:rPr>
          <w:rFonts w:hint="eastAsia" w:ascii="楷体" w:hAnsi="楷体" w:eastAsia="楷体"/>
          <w:bCs/>
          <w:sz w:val="28"/>
          <w:szCs w:val="28"/>
        </w:rPr>
        <w:t>注册房地产估价师在本估价报告中陈述的事实是真实和准确的，没有虚假记载、误导性陈述和重大遗漏。</w:t>
      </w:r>
    </w:p>
    <w:p w14:paraId="633FCB56">
      <w:pPr>
        <w:spacing w:line="500" w:lineRule="exact"/>
        <w:ind w:right="97" w:rightChars="46" w:firstLine="560" w:firstLineChars="200"/>
        <w:jc w:val="left"/>
        <w:rPr>
          <w:rFonts w:hint="eastAsia" w:ascii="楷体" w:hAnsi="楷体" w:eastAsia="楷体"/>
          <w:bCs/>
          <w:sz w:val="28"/>
          <w:szCs w:val="28"/>
        </w:rPr>
      </w:pPr>
      <w:r>
        <w:rPr>
          <w:rFonts w:hint="eastAsia" w:ascii="楷体" w:hAnsi="楷体" w:eastAsia="楷体"/>
          <w:bCs/>
          <w:sz w:val="28"/>
          <w:szCs w:val="28"/>
          <w:lang w:eastAsia="zh-CN"/>
        </w:rPr>
        <w:t>2.</w:t>
      </w:r>
      <w:r>
        <w:rPr>
          <w:rFonts w:hint="eastAsia" w:ascii="楷体" w:hAnsi="楷体" w:eastAsia="楷体"/>
          <w:bCs/>
          <w:sz w:val="28"/>
          <w:szCs w:val="28"/>
        </w:rPr>
        <w:t>本估价报告中的分析、意见和结论是注册房地产估价师独立、客观、公正的专业分析、意见和结论，在估价中做到勤勉尽责，但受到本估价报告中已说明的估价假设和限制条件的限制。</w:t>
      </w:r>
    </w:p>
    <w:p w14:paraId="4D635E56">
      <w:pPr>
        <w:spacing w:line="500" w:lineRule="exact"/>
        <w:ind w:right="97" w:rightChars="46" w:firstLine="560" w:firstLineChars="200"/>
        <w:jc w:val="left"/>
        <w:rPr>
          <w:rFonts w:hint="eastAsia" w:ascii="楷体" w:hAnsi="楷体" w:eastAsia="楷体"/>
          <w:bCs/>
          <w:sz w:val="28"/>
          <w:szCs w:val="28"/>
        </w:rPr>
      </w:pPr>
      <w:r>
        <w:rPr>
          <w:rFonts w:hint="eastAsia" w:ascii="楷体" w:hAnsi="楷体" w:eastAsia="楷体"/>
          <w:bCs/>
          <w:sz w:val="28"/>
          <w:szCs w:val="28"/>
          <w:lang w:eastAsia="zh-CN"/>
        </w:rPr>
        <w:t>3.</w:t>
      </w:r>
      <w:r>
        <w:rPr>
          <w:rFonts w:hint="eastAsia" w:ascii="楷体" w:hAnsi="楷体" w:eastAsia="楷体"/>
          <w:bCs/>
          <w:sz w:val="28"/>
          <w:szCs w:val="28"/>
        </w:rPr>
        <w:t>注册房地产估价师与估价报告中的估价委托人没有利害关系，与估价报告中的估价对象及有关当事人也没有个人利害关系或偏见。</w:t>
      </w:r>
    </w:p>
    <w:p w14:paraId="1B725F12">
      <w:pPr>
        <w:spacing w:line="500" w:lineRule="exact"/>
        <w:ind w:right="97" w:rightChars="46" w:firstLine="560" w:firstLineChars="200"/>
        <w:jc w:val="left"/>
        <w:rPr>
          <w:rFonts w:hint="eastAsia" w:ascii="楷体" w:hAnsi="楷体" w:eastAsia="楷体"/>
          <w:bCs/>
          <w:sz w:val="28"/>
          <w:szCs w:val="28"/>
        </w:rPr>
      </w:pPr>
      <w:r>
        <w:rPr>
          <w:rFonts w:hint="eastAsia" w:ascii="楷体" w:hAnsi="楷体" w:eastAsia="楷体"/>
          <w:bCs/>
          <w:sz w:val="28"/>
          <w:szCs w:val="28"/>
          <w:lang w:eastAsia="zh-CN"/>
        </w:rPr>
        <w:t>4.</w:t>
      </w:r>
      <w:r>
        <w:rPr>
          <w:rFonts w:hint="eastAsia" w:ascii="楷体" w:hAnsi="楷体" w:eastAsia="楷体"/>
          <w:bCs/>
          <w:sz w:val="28"/>
          <w:szCs w:val="28"/>
        </w:rPr>
        <w:t>注册房地产估价师依照中华人民共和国国家标准《房地产估价规范》（GB/T50291-2015）、《房地产估价基本术语标准》（GB/T50899-2013）进行分析，形成意见和结论，撰写本估价报告。</w:t>
      </w:r>
    </w:p>
    <w:p w14:paraId="28E0FB41">
      <w:pPr>
        <w:spacing w:line="500" w:lineRule="exact"/>
        <w:ind w:firstLine="560" w:firstLineChars="200"/>
        <w:jc w:val="left"/>
        <w:rPr>
          <w:rFonts w:hint="eastAsia" w:ascii="楷体" w:hAnsi="楷体" w:eastAsia="楷体" w:cs="仿宋"/>
          <w:kern w:val="2"/>
          <w:sz w:val="28"/>
          <w:szCs w:val="28"/>
          <w:lang w:val="en-US" w:eastAsia="zh-CN" w:bidi="ar-SA"/>
        </w:rPr>
      </w:pPr>
      <w:r>
        <w:rPr>
          <w:rFonts w:hint="eastAsia" w:ascii="楷体" w:hAnsi="楷体" w:eastAsia="楷体" w:cs="宋体"/>
          <w:kern w:val="2"/>
          <w:sz w:val="28"/>
          <w:szCs w:val="28"/>
          <w:lang w:val="en-US" w:eastAsia="zh-CN" w:bidi="ar-SA"/>
        </w:rPr>
        <w:t>5.注册房地产估价师及现场查勘记录人员郑伟娜已对本报告中的估价对象进行了实地查勘。但仅限于对估价对象的外观和使用状况。注册房地产估价师不承担对估价对象建筑结构、质量进行调查的责任，也不承担其他被遮盖未暴露及难以接触到的部分进行查勘的责任。报告中对估价对象权属情况的披露不能作为对其权属确认的依据，估价对象权属界定以有关管理部门认定为准。</w:t>
      </w:r>
    </w:p>
    <w:tbl>
      <w:tblPr>
        <w:tblStyle w:val="28"/>
        <w:tblW w:w="9087" w:type="dxa"/>
        <w:tblInd w:w="0" w:type="dxa"/>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Layout w:type="autofit"/>
        <w:tblCellMar>
          <w:top w:w="0" w:type="dxa"/>
          <w:left w:w="108" w:type="dxa"/>
          <w:bottom w:w="0" w:type="dxa"/>
          <w:right w:w="108" w:type="dxa"/>
        </w:tblCellMar>
      </w:tblPr>
      <w:tblGrid>
        <w:gridCol w:w="1640"/>
        <w:gridCol w:w="2092"/>
        <w:gridCol w:w="3072"/>
        <w:gridCol w:w="2283"/>
      </w:tblGrid>
      <w:tr w14:paraId="2FE6702F">
        <w:trPr>
          <w:wBefore w:w="0" w:type="auto"/>
          <w:wAfter w:w="0" w:type="auto"/>
          <w:trHeight w:val="611" w:hRule="exact"/>
        </w:trPr>
        <w:tc>
          <w:tcPr>
            <w:tcW w:w="1640" w:type="dxa"/>
            <w:noWrap w:val="0"/>
            <w:vAlign w:val="center"/>
          </w:tcPr>
          <w:p w14:paraId="3D8FB4CD">
            <w:pPr>
              <w:tabs>
                <w:tab w:val="left" w:pos="8931"/>
                <w:tab w:val="left" w:pos="9214"/>
                <w:tab w:val="left" w:pos="9240"/>
              </w:tabs>
              <w:spacing w:line="440" w:lineRule="exact"/>
              <w:ind w:right="168" w:rightChars="80" w:firstLine="280" w:firstLineChars="100"/>
              <w:rPr>
                <w:rFonts w:ascii="楷体" w:hAnsi="楷体" w:eastAsia="楷体" w:cs="宋体"/>
                <w:sz w:val="28"/>
                <w:szCs w:val="28"/>
              </w:rPr>
            </w:pPr>
            <w:r>
              <w:rPr>
                <w:rFonts w:hint="eastAsia" w:ascii="楷体" w:hAnsi="楷体" w:eastAsia="楷体" w:cs="宋体"/>
                <w:sz w:val="28"/>
                <w:szCs w:val="28"/>
              </w:rPr>
              <w:t>姓 名</w:t>
            </w:r>
          </w:p>
        </w:tc>
        <w:tc>
          <w:tcPr>
            <w:tcW w:w="2092" w:type="dxa"/>
            <w:noWrap w:val="0"/>
            <w:vAlign w:val="center"/>
          </w:tcPr>
          <w:p w14:paraId="4613FE92">
            <w:pPr>
              <w:tabs>
                <w:tab w:val="left" w:pos="8931"/>
                <w:tab w:val="left" w:pos="9214"/>
                <w:tab w:val="left" w:pos="9240"/>
              </w:tabs>
              <w:spacing w:line="440" w:lineRule="exact"/>
              <w:ind w:right="168" w:rightChars="80" w:firstLine="420" w:firstLineChars="150"/>
              <w:rPr>
                <w:rFonts w:ascii="楷体" w:hAnsi="楷体" w:eastAsia="楷体" w:cs="宋体"/>
                <w:sz w:val="28"/>
                <w:szCs w:val="28"/>
              </w:rPr>
            </w:pPr>
            <w:r>
              <w:rPr>
                <w:rFonts w:hint="eastAsia" w:ascii="楷体" w:hAnsi="楷体" w:eastAsia="楷体" w:cs="宋体"/>
                <w:sz w:val="28"/>
                <w:szCs w:val="28"/>
              </w:rPr>
              <w:t>注册号</w:t>
            </w:r>
          </w:p>
        </w:tc>
        <w:tc>
          <w:tcPr>
            <w:tcW w:w="3072" w:type="dxa"/>
            <w:noWrap w:val="0"/>
            <w:vAlign w:val="center"/>
          </w:tcPr>
          <w:p w14:paraId="7D1446A0">
            <w:pPr>
              <w:tabs>
                <w:tab w:val="left" w:pos="8931"/>
                <w:tab w:val="left" w:pos="9214"/>
                <w:tab w:val="left" w:pos="9240"/>
              </w:tabs>
              <w:spacing w:line="440" w:lineRule="exact"/>
              <w:ind w:left="105" w:leftChars="50" w:right="168" w:rightChars="80" w:firstLine="560" w:firstLineChars="200"/>
              <w:rPr>
                <w:rFonts w:ascii="楷体" w:hAnsi="楷体" w:eastAsia="楷体" w:cs="宋体"/>
                <w:sz w:val="28"/>
                <w:szCs w:val="28"/>
              </w:rPr>
            </w:pPr>
            <w:r>
              <w:rPr>
                <w:rFonts w:hint="eastAsia" w:ascii="楷体" w:hAnsi="楷体" w:eastAsia="楷体" w:cs="宋体"/>
                <w:sz w:val="28"/>
                <w:szCs w:val="28"/>
              </w:rPr>
              <w:t>签名及盖章</w:t>
            </w:r>
          </w:p>
        </w:tc>
        <w:tc>
          <w:tcPr>
            <w:tcW w:w="2283" w:type="dxa"/>
            <w:noWrap w:val="0"/>
            <w:vAlign w:val="center"/>
          </w:tcPr>
          <w:p w14:paraId="7DF1A3D3">
            <w:pPr>
              <w:tabs>
                <w:tab w:val="left" w:pos="8931"/>
                <w:tab w:val="left" w:pos="9214"/>
                <w:tab w:val="left" w:pos="9240"/>
              </w:tabs>
              <w:spacing w:line="440" w:lineRule="exact"/>
              <w:ind w:left="105" w:leftChars="50" w:right="168" w:rightChars="80" w:firstLine="280" w:firstLineChars="100"/>
              <w:rPr>
                <w:rFonts w:ascii="楷体" w:hAnsi="楷体" w:eastAsia="楷体" w:cs="宋体"/>
                <w:sz w:val="28"/>
                <w:szCs w:val="28"/>
              </w:rPr>
            </w:pPr>
            <w:r>
              <w:rPr>
                <w:rFonts w:hint="eastAsia" w:ascii="楷体" w:hAnsi="楷体" w:eastAsia="楷体" w:cs="宋体"/>
                <w:sz w:val="28"/>
                <w:szCs w:val="28"/>
              </w:rPr>
              <w:t>签名日期</w:t>
            </w:r>
          </w:p>
        </w:tc>
      </w:tr>
      <w:tr w14:paraId="114FAC9E">
        <w:trPr>
          <w:wBefore w:w="0" w:type="auto"/>
          <w:wAfter w:w="0" w:type="auto"/>
          <w:trHeight w:val="1259" w:hRule="exact"/>
        </w:trPr>
        <w:tc>
          <w:tcPr>
            <w:tcW w:w="1640" w:type="dxa"/>
            <w:noWrap w:val="0"/>
            <w:vAlign w:val="center"/>
          </w:tcPr>
          <w:p w14:paraId="72E28823">
            <w:pPr>
              <w:tabs>
                <w:tab w:val="left" w:pos="8931"/>
                <w:tab w:val="left" w:pos="9214"/>
                <w:tab w:val="left" w:pos="9240"/>
              </w:tabs>
              <w:spacing w:line="440" w:lineRule="exact"/>
              <w:ind w:right="168" w:rightChars="80" w:firstLine="280" w:firstLineChars="100"/>
              <w:rPr>
                <w:rFonts w:ascii="楷体" w:hAnsi="楷体" w:eastAsia="楷体"/>
                <w:sz w:val="28"/>
              </w:rPr>
            </w:pPr>
            <w:r>
              <w:rPr>
                <w:rFonts w:hint="eastAsia" w:ascii="楷体" w:hAnsi="楷体" w:eastAsia="楷体" w:cs="宋体"/>
                <w:sz w:val="28"/>
                <w:szCs w:val="28"/>
              </w:rPr>
              <w:t>韩  伟</w:t>
            </w:r>
          </w:p>
        </w:tc>
        <w:tc>
          <w:tcPr>
            <w:tcW w:w="2092" w:type="dxa"/>
            <w:noWrap w:val="0"/>
            <w:vAlign w:val="center"/>
          </w:tcPr>
          <w:p w14:paraId="6097A5C4">
            <w:pPr>
              <w:tabs>
                <w:tab w:val="left" w:pos="8931"/>
                <w:tab w:val="left" w:pos="9214"/>
                <w:tab w:val="left" w:pos="9240"/>
              </w:tabs>
              <w:spacing w:line="440" w:lineRule="exact"/>
              <w:ind w:left="105" w:leftChars="50" w:right="168" w:rightChars="80"/>
              <w:rPr>
                <w:rFonts w:hint="eastAsia" w:ascii="楷体" w:hAnsi="楷体" w:eastAsia="楷体" w:cs="宋体"/>
                <w:sz w:val="28"/>
                <w:szCs w:val="28"/>
              </w:rPr>
            </w:pPr>
            <w:r>
              <w:rPr>
                <w:rFonts w:hint="eastAsia" w:ascii="楷体" w:hAnsi="楷体" w:eastAsia="楷体" w:cs="宋体"/>
                <w:sz w:val="28"/>
                <w:szCs w:val="28"/>
              </w:rPr>
              <w:t>3320130071</w:t>
            </w:r>
          </w:p>
        </w:tc>
        <w:tc>
          <w:tcPr>
            <w:tcW w:w="3072" w:type="dxa"/>
            <w:noWrap w:val="0"/>
            <w:vAlign w:val="center"/>
          </w:tcPr>
          <w:p w14:paraId="0420A8CE">
            <w:pPr>
              <w:tabs>
                <w:tab w:val="left" w:pos="8931"/>
                <w:tab w:val="left" w:pos="9214"/>
                <w:tab w:val="left" w:pos="9240"/>
              </w:tabs>
              <w:spacing w:line="440" w:lineRule="exact"/>
              <w:ind w:left="105" w:leftChars="50" w:right="168" w:rightChars="80" w:firstLine="560" w:firstLineChars="200"/>
              <w:rPr>
                <w:rFonts w:ascii="楷体" w:hAnsi="楷体" w:eastAsia="楷体"/>
                <w:sz w:val="28"/>
              </w:rPr>
            </w:pPr>
          </w:p>
        </w:tc>
        <w:tc>
          <w:tcPr>
            <w:tcW w:w="2283" w:type="dxa"/>
            <w:noWrap w:val="0"/>
            <w:vAlign w:val="center"/>
          </w:tcPr>
          <w:p w14:paraId="656ABDD5">
            <w:pPr>
              <w:tabs>
                <w:tab w:val="left" w:pos="8931"/>
                <w:tab w:val="left" w:pos="9214"/>
                <w:tab w:val="left" w:pos="9240"/>
              </w:tabs>
              <w:spacing w:line="440" w:lineRule="exact"/>
              <w:ind w:left="105" w:leftChars="50" w:right="168" w:rightChars="80"/>
              <w:rPr>
                <w:rFonts w:ascii="楷体" w:hAnsi="楷体" w:eastAsia="楷体"/>
                <w:sz w:val="28"/>
              </w:rPr>
            </w:pPr>
          </w:p>
        </w:tc>
      </w:tr>
      <w:tr w14:paraId="3E87910D">
        <w:trPr>
          <w:wBefore w:w="0" w:type="auto"/>
          <w:wAfter w:w="0" w:type="auto"/>
          <w:trHeight w:val="1406" w:hRule="exact"/>
        </w:trPr>
        <w:tc>
          <w:tcPr>
            <w:tcW w:w="1640" w:type="dxa"/>
            <w:noWrap w:val="0"/>
            <w:vAlign w:val="center"/>
          </w:tcPr>
          <w:p w14:paraId="448E4694">
            <w:pPr>
              <w:tabs>
                <w:tab w:val="left" w:pos="8931"/>
                <w:tab w:val="left" w:pos="9214"/>
                <w:tab w:val="left" w:pos="9240"/>
              </w:tabs>
              <w:spacing w:line="440" w:lineRule="exact"/>
              <w:ind w:right="168" w:rightChars="80" w:firstLine="280" w:firstLineChars="100"/>
              <w:rPr>
                <w:rFonts w:ascii="楷体" w:hAnsi="楷体" w:eastAsia="楷体"/>
                <w:sz w:val="28"/>
              </w:rPr>
            </w:pPr>
            <w:r>
              <w:rPr>
                <w:rFonts w:hint="eastAsia" w:ascii="楷体" w:hAnsi="楷体" w:eastAsia="楷体" w:cs="宋体"/>
                <w:sz w:val="28"/>
                <w:szCs w:val="28"/>
              </w:rPr>
              <w:t>胡  柯</w:t>
            </w:r>
          </w:p>
        </w:tc>
        <w:tc>
          <w:tcPr>
            <w:tcW w:w="2092" w:type="dxa"/>
            <w:noWrap w:val="0"/>
            <w:vAlign w:val="center"/>
          </w:tcPr>
          <w:p w14:paraId="2C1F5694">
            <w:pPr>
              <w:tabs>
                <w:tab w:val="left" w:pos="8931"/>
                <w:tab w:val="left" w:pos="9214"/>
                <w:tab w:val="left" w:pos="9240"/>
              </w:tabs>
              <w:spacing w:line="440" w:lineRule="exact"/>
              <w:ind w:left="105" w:leftChars="50" w:right="168" w:rightChars="80"/>
              <w:rPr>
                <w:rFonts w:ascii="楷体" w:hAnsi="楷体" w:eastAsia="楷体"/>
                <w:sz w:val="28"/>
              </w:rPr>
            </w:pPr>
            <w:r>
              <w:rPr>
                <w:rFonts w:ascii="楷体" w:hAnsi="楷体" w:eastAsia="楷体" w:cs="Arial"/>
                <w:sz w:val="28"/>
                <w:szCs w:val="28"/>
              </w:rPr>
              <w:t>3320190174</w:t>
            </w:r>
          </w:p>
        </w:tc>
        <w:tc>
          <w:tcPr>
            <w:tcW w:w="3072" w:type="dxa"/>
            <w:noWrap w:val="0"/>
            <w:vAlign w:val="center"/>
          </w:tcPr>
          <w:p w14:paraId="6C037BC3">
            <w:pPr>
              <w:tabs>
                <w:tab w:val="left" w:pos="8931"/>
                <w:tab w:val="left" w:pos="9214"/>
                <w:tab w:val="left" w:pos="9240"/>
              </w:tabs>
              <w:spacing w:line="440" w:lineRule="exact"/>
              <w:ind w:left="105" w:leftChars="50" w:right="168" w:rightChars="80" w:firstLine="560" w:firstLineChars="200"/>
              <w:rPr>
                <w:rFonts w:ascii="楷体" w:hAnsi="楷体" w:eastAsia="楷体"/>
                <w:sz w:val="28"/>
              </w:rPr>
            </w:pPr>
          </w:p>
        </w:tc>
        <w:tc>
          <w:tcPr>
            <w:tcW w:w="2283" w:type="dxa"/>
            <w:noWrap w:val="0"/>
            <w:vAlign w:val="center"/>
          </w:tcPr>
          <w:p w14:paraId="26E3E4D9">
            <w:pPr>
              <w:tabs>
                <w:tab w:val="left" w:pos="8931"/>
                <w:tab w:val="left" w:pos="9214"/>
                <w:tab w:val="left" w:pos="9240"/>
              </w:tabs>
              <w:spacing w:line="440" w:lineRule="exact"/>
              <w:ind w:left="105" w:leftChars="50" w:right="168" w:rightChars="80"/>
              <w:rPr>
                <w:rFonts w:ascii="楷体" w:hAnsi="楷体" w:eastAsia="楷体"/>
                <w:sz w:val="28"/>
              </w:rPr>
            </w:pPr>
          </w:p>
        </w:tc>
      </w:tr>
    </w:tbl>
    <w:p w14:paraId="3D854C1E">
      <w:pPr>
        <w:spacing w:before="312" w:beforeLines="100" w:after="156" w:afterLines="50" w:line="240" w:lineRule="exact"/>
        <w:outlineLvl w:val="0"/>
        <w:rPr>
          <w:rFonts w:hint="eastAsia" w:ascii="楷体" w:hAnsi="楷体" w:eastAsia="楷体"/>
          <w:b/>
          <w:bCs/>
          <w:sz w:val="48"/>
          <w:szCs w:val="48"/>
        </w:rPr>
      </w:pPr>
      <w:bookmarkStart w:id="16" w:name="_Toc505087746"/>
      <w:bookmarkStart w:id="17" w:name="_Toc484941654"/>
    </w:p>
    <w:p w14:paraId="1E8E4629">
      <w:pPr>
        <w:spacing w:after="156" w:afterLines="50" w:line="360" w:lineRule="auto"/>
        <w:ind w:firstLine="2402" w:firstLineChars="500"/>
        <w:outlineLvl w:val="0"/>
        <w:rPr>
          <w:rFonts w:ascii="楷体" w:hAnsi="楷体" w:eastAsia="楷体"/>
          <w:b/>
          <w:bCs/>
          <w:sz w:val="48"/>
          <w:szCs w:val="48"/>
        </w:rPr>
        <w:sectPr>
          <w:footerReference r:id="rId7" w:type="default"/>
          <w:pgSz w:w="11906" w:h="16838"/>
          <w:pgMar w:top="1418" w:right="1134" w:bottom="1134" w:left="1418" w:header="851" w:footer="851" w:gutter="284"/>
          <w:pgNumType w:start="1" w:chapStyle="1"/>
          <w:cols w:space="720" w:num="1"/>
          <w:docGrid w:type="lines" w:linePitch="312" w:charSpace="0"/>
        </w:sectPr>
      </w:pPr>
    </w:p>
    <w:p w14:paraId="56E0C0F8">
      <w:pPr>
        <w:spacing w:before="468" w:beforeLines="150" w:line="480" w:lineRule="auto"/>
        <w:ind w:firstLine="2402" w:firstLineChars="500"/>
        <w:outlineLvl w:val="0"/>
        <w:rPr>
          <w:rFonts w:hint="eastAsia" w:ascii="楷体" w:hAnsi="楷体" w:eastAsia="楷体"/>
          <w:b/>
          <w:bCs/>
          <w:sz w:val="48"/>
          <w:szCs w:val="48"/>
        </w:rPr>
      </w:pPr>
      <w:bookmarkStart w:id="18" w:name="_Toc221710849"/>
      <w:bookmarkStart w:id="19" w:name="_Toc9611"/>
      <w:r>
        <w:rPr>
          <w:rFonts w:hint="eastAsia" w:ascii="楷体" w:hAnsi="楷体" w:eastAsia="楷体"/>
          <w:b/>
          <w:bCs/>
          <w:sz w:val="48"/>
          <w:szCs w:val="48"/>
        </w:rPr>
        <w:t>估价假设和限制条件</w:t>
      </w:r>
      <w:bookmarkEnd w:id="16"/>
      <w:bookmarkEnd w:id="17"/>
      <w:bookmarkEnd w:id="18"/>
      <w:bookmarkEnd w:id="19"/>
    </w:p>
    <w:p w14:paraId="059766AF">
      <w:pPr>
        <w:spacing w:before="156" w:beforeLines="50" w:line="510" w:lineRule="exact"/>
        <w:jc w:val="left"/>
        <w:outlineLvl w:val="1"/>
        <w:rPr>
          <w:rFonts w:hint="eastAsia" w:ascii="楷体" w:hAnsi="楷体" w:eastAsia="楷体"/>
          <w:b/>
          <w:bCs/>
          <w:sz w:val="28"/>
          <w:szCs w:val="28"/>
        </w:rPr>
      </w:pPr>
      <w:bookmarkStart w:id="20" w:name="_Toc484941655"/>
      <w:bookmarkStart w:id="21" w:name="_Toc221710850"/>
      <w:bookmarkStart w:id="22" w:name="_Toc29912"/>
      <w:bookmarkStart w:id="23" w:name="_Toc505087747"/>
      <w:r>
        <w:rPr>
          <w:rFonts w:hint="eastAsia" w:ascii="楷体" w:hAnsi="楷体" w:eastAsia="楷体"/>
          <w:b/>
          <w:bCs/>
          <w:sz w:val="28"/>
          <w:szCs w:val="28"/>
        </w:rPr>
        <w:t>一、一般性假设</w:t>
      </w:r>
      <w:bookmarkEnd w:id="20"/>
      <w:bookmarkEnd w:id="21"/>
      <w:bookmarkEnd w:id="22"/>
      <w:bookmarkEnd w:id="23"/>
    </w:p>
    <w:p w14:paraId="6A07CC18">
      <w:pPr>
        <w:spacing w:line="510" w:lineRule="exact"/>
        <w:ind w:firstLine="560" w:firstLineChars="200"/>
        <w:jc w:val="left"/>
        <w:rPr>
          <w:rFonts w:hint="eastAsia" w:ascii="楷体" w:hAnsi="楷体" w:eastAsia="楷体"/>
          <w:bCs/>
          <w:kern w:val="2"/>
          <w:sz w:val="28"/>
          <w:szCs w:val="28"/>
          <w:lang w:val="en-US" w:eastAsia="zh-CN" w:bidi="ar-SA"/>
        </w:rPr>
      </w:pPr>
      <w:r>
        <w:rPr>
          <w:rFonts w:hint="eastAsia" w:ascii="楷体" w:hAnsi="楷体" w:eastAsia="楷体" w:cs="宋体"/>
          <w:kern w:val="2"/>
          <w:sz w:val="28"/>
          <w:szCs w:val="28"/>
          <w:lang w:val="en-US" w:eastAsia="zh-CN" w:bidi="ar-SA"/>
        </w:rPr>
        <w:t>1.估价委托人提供了估价对象的《委托评估协议书》及其有关资料，我们在无理由怀疑其合法性、真实性、准确性和完整性的情况下，假定估价委托人提供的资料合法、真实、准确、完整，因不实造成的影响本公司不承担任何责任。</w:t>
      </w:r>
    </w:p>
    <w:p w14:paraId="6E35D374">
      <w:pPr>
        <w:spacing w:line="51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2.注册房地产估价师已对</w:t>
      </w:r>
      <w:r>
        <w:rPr>
          <w:rFonts w:hint="eastAsia" w:ascii="楷体" w:hAnsi="楷体" w:eastAsia="楷体"/>
          <w:bCs/>
          <w:sz w:val="28"/>
          <w:szCs w:val="28"/>
          <w:lang w:val="en-US" w:eastAsia="zh-CN"/>
        </w:rPr>
        <w:t>估价对象的</w:t>
      </w:r>
      <w:r>
        <w:rPr>
          <w:rFonts w:hint="eastAsia" w:ascii="楷体" w:hAnsi="楷体" w:eastAsia="楷体"/>
          <w:bCs/>
          <w:sz w:val="28"/>
          <w:szCs w:val="28"/>
        </w:rPr>
        <w:t>环境污染等影响估价对象价值的重大因素给予了关注，在无理由怀疑估价对象存在安全隐患且无相应的专业机构进行鉴定、检测的情况下，假定估价对象能正常安全使用。</w:t>
      </w:r>
    </w:p>
    <w:p w14:paraId="400C832C">
      <w:pPr>
        <w:spacing w:line="51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3.估价对象在价值时点的房地产市场为公开、平等、自愿的交易市场，即能满足以下条件：</w:t>
      </w:r>
    </w:p>
    <w:p w14:paraId="2AA85539">
      <w:pPr>
        <w:spacing w:line="51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（1）交易双方自愿地进行交易；</w:t>
      </w:r>
    </w:p>
    <w:p w14:paraId="5F6097AA">
      <w:pPr>
        <w:spacing w:line="51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（2）交易双方精明、谨慎行事，并了解交易对象、知晓市场行情；</w:t>
      </w:r>
    </w:p>
    <w:p w14:paraId="570012F3">
      <w:pPr>
        <w:spacing w:line="51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（3）交易双方有较充裕的时间进行交易；</w:t>
      </w:r>
    </w:p>
    <w:p w14:paraId="41B756D2">
      <w:pPr>
        <w:spacing w:line="51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（4）不存在买方因特殊兴趣而给予附加出价。</w:t>
      </w:r>
    </w:p>
    <w:p w14:paraId="79029520">
      <w:pPr>
        <w:spacing w:line="510" w:lineRule="exact"/>
        <w:ind w:firstLine="560" w:firstLineChars="200"/>
        <w:jc w:val="left"/>
        <w:rPr>
          <w:rFonts w:hint="eastAsia" w:ascii="楷体" w:hAnsi="楷体" w:eastAsia="楷体"/>
          <w:bCs/>
          <w:sz w:val="28"/>
          <w:szCs w:val="28"/>
        </w:rPr>
      </w:pPr>
      <w:r>
        <w:rPr>
          <w:rFonts w:hint="eastAsia" w:ascii="楷体" w:hAnsi="楷体" w:eastAsia="楷体"/>
          <w:bCs/>
          <w:sz w:val="28"/>
          <w:szCs w:val="28"/>
          <w:lang w:eastAsia="zh-CN"/>
        </w:rPr>
        <w:t>4.</w:t>
      </w:r>
      <w:r>
        <w:rPr>
          <w:rFonts w:hint="eastAsia" w:ascii="楷体" w:hAnsi="楷体" w:eastAsia="楷体"/>
          <w:bCs/>
          <w:sz w:val="28"/>
          <w:szCs w:val="28"/>
        </w:rPr>
        <w:t>估价时未考虑估价对象抵押、租赁、债务等对估价结果的影响。</w:t>
      </w:r>
      <w:bookmarkStart w:id="24" w:name="_Toc484941656"/>
      <w:bookmarkStart w:id="25" w:name="_Toc505087748"/>
    </w:p>
    <w:p w14:paraId="4A4BD4CD">
      <w:pPr>
        <w:spacing w:line="510" w:lineRule="exact"/>
        <w:ind w:firstLine="560" w:firstLineChars="200"/>
        <w:jc w:val="left"/>
        <w:rPr>
          <w:rFonts w:ascii="楷体" w:hAnsi="楷体" w:eastAsia="楷体"/>
          <w:sz w:val="28"/>
          <w:szCs w:val="24"/>
        </w:rPr>
      </w:pPr>
      <w:r>
        <w:rPr>
          <w:rFonts w:hint="eastAsia" w:ascii="楷体" w:hAnsi="楷体" w:eastAsia="楷体"/>
          <w:sz w:val="28"/>
          <w:szCs w:val="24"/>
          <w:lang w:eastAsia="zh-CN"/>
        </w:rPr>
        <w:t>5.</w:t>
      </w:r>
      <w:r>
        <w:rPr>
          <w:rFonts w:hint="eastAsia" w:ascii="楷体" w:hAnsi="楷体" w:eastAsia="楷体"/>
          <w:sz w:val="28"/>
          <w:szCs w:val="24"/>
        </w:rPr>
        <w:t>本估价报告中估价对象在价值时点状况与完成实地勘查之日一致。</w:t>
      </w:r>
    </w:p>
    <w:p w14:paraId="321AA3D6">
      <w:pPr>
        <w:spacing w:before="156" w:beforeLines="50" w:line="510" w:lineRule="exact"/>
        <w:jc w:val="left"/>
        <w:outlineLvl w:val="1"/>
        <w:rPr>
          <w:rFonts w:hint="eastAsia" w:ascii="楷体" w:hAnsi="楷体" w:eastAsia="楷体"/>
          <w:b/>
          <w:bCs/>
          <w:sz w:val="28"/>
          <w:szCs w:val="28"/>
        </w:rPr>
      </w:pPr>
      <w:bookmarkStart w:id="26" w:name="_Toc221710851"/>
      <w:bookmarkStart w:id="27" w:name="_Toc18567"/>
      <w:r>
        <w:rPr>
          <w:rFonts w:hint="eastAsia" w:ascii="楷体" w:hAnsi="楷体" w:eastAsia="楷体"/>
          <w:b/>
          <w:bCs/>
          <w:sz w:val="28"/>
          <w:szCs w:val="28"/>
        </w:rPr>
        <w:t>二、未定事项假设</w:t>
      </w:r>
      <w:bookmarkEnd w:id="24"/>
      <w:bookmarkEnd w:id="25"/>
      <w:bookmarkEnd w:id="26"/>
      <w:bookmarkEnd w:id="27"/>
    </w:p>
    <w:p w14:paraId="63FEAB94">
      <w:pPr>
        <w:spacing w:line="50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未定事项假设指对估价所必需的尚未明确或不够明确的土地用途、容积率等事项所做的合理的、最可能的假定。本次估价无未定事项假设。</w:t>
      </w:r>
    </w:p>
    <w:p w14:paraId="447A2BE7">
      <w:pPr>
        <w:spacing w:before="156" w:beforeLines="50" w:line="510" w:lineRule="exact"/>
        <w:jc w:val="left"/>
        <w:outlineLvl w:val="1"/>
        <w:rPr>
          <w:rFonts w:hint="eastAsia" w:ascii="楷体" w:hAnsi="楷体" w:eastAsia="楷体"/>
          <w:b/>
          <w:bCs/>
          <w:sz w:val="28"/>
          <w:szCs w:val="28"/>
        </w:rPr>
      </w:pPr>
      <w:bookmarkStart w:id="28" w:name="_Toc484941657"/>
      <w:bookmarkStart w:id="29" w:name="_Toc221710852"/>
      <w:bookmarkStart w:id="30" w:name="_Toc505087749"/>
      <w:bookmarkStart w:id="31" w:name="_Toc20772"/>
      <w:r>
        <w:rPr>
          <w:rFonts w:hint="eastAsia" w:ascii="楷体" w:hAnsi="楷体" w:eastAsia="楷体"/>
          <w:b/>
          <w:bCs/>
          <w:sz w:val="28"/>
          <w:szCs w:val="28"/>
        </w:rPr>
        <w:t>三、背离事实假设</w:t>
      </w:r>
      <w:bookmarkEnd w:id="28"/>
      <w:bookmarkEnd w:id="29"/>
      <w:bookmarkEnd w:id="30"/>
      <w:bookmarkEnd w:id="31"/>
    </w:p>
    <w:p w14:paraId="2E34EB50">
      <w:pPr>
        <w:spacing w:line="51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背离事实假设是指因估价目的的特殊需要、交易条件设定或约定，对估价对象状况所做的与估价对象在价值时点的状况不一致的合理假定。</w:t>
      </w:r>
      <w:r>
        <w:rPr>
          <w:rFonts w:hint="eastAsia" w:ascii="楷体" w:hAnsi="楷体" w:eastAsia="楷体"/>
          <w:bCs/>
          <w:sz w:val="28"/>
          <w:szCs w:val="28"/>
        </w:rPr>
        <w:t>本次估价无背离事实假设</w:t>
      </w:r>
      <w:r>
        <w:rPr>
          <w:rFonts w:hint="eastAsia" w:ascii="楷体" w:hAnsi="楷体" w:eastAsia="楷体"/>
          <w:bCs/>
          <w:sz w:val="28"/>
          <w:szCs w:val="28"/>
        </w:rPr>
        <w:t>。</w:t>
      </w:r>
    </w:p>
    <w:p w14:paraId="65A28FBA">
      <w:pPr>
        <w:spacing w:before="156" w:beforeLines="50" w:line="510" w:lineRule="exact"/>
        <w:jc w:val="left"/>
        <w:outlineLvl w:val="1"/>
        <w:rPr>
          <w:rFonts w:hint="eastAsia" w:ascii="楷体" w:hAnsi="楷体" w:eastAsia="楷体"/>
          <w:b/>
          <w:bCs/>
          <w:sz w:val="28"/>
          <w:szCs w:val="28"/>
        </w:rPr>
      </w:pPr>
      <w:bookmarkStart w:id="32" w:name="_Toc221710853"/>
      <w:bookmarkStart w:id="33" w:name="_Toc484941658"/>
      <w:bookmarkStart w:id="34" w:name="_Toc4865"/>
      <w:bookmarkStart w:id="35" w:name="_Toc505087750"/>
      <w:r>
        <w:rPr>
          <w:rFonts w:hint="eastAsia" w:ascii="楷体" w:hAnsi="楷体" w:eastAsia="楷体"/>
          <w:b/>
          <w:bCs/>
          <w:sz w:val="28"/>
          <w:szCs w:val="28"/>
        </w:rPr>
        <w:t>四、不相一致假设</w:t>
      </w:r>
      <w:bookmarkEnd w:id="32"/>
      <w:bookmarkEnd w:id="33"/>
      <w:bookmarkEnd w:id="34"/>
      <w:bookmarkEnd w:id="35"/>
    </w:p>
    <w:p w14:paraId="4F847BD8">
      <w:pPr>
        <w:spacing w:line="51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不相一致假设是指在估价对象的实际用途、房屋登记用途、土地登记用途、规划用途等用途之间不一致，或房屋权属证明、土地权属证明等的权利人之间不一致，估价对象的名称不一致等情况下，对估价所依据的用途或权利人、名称等的合理假定。</w:t>
      </w:r>
      <w:bookmarkStart w:id="36" w:name="OLE_LINK11"/>
      <w:r>
        <w:rPr>
          <w:rFonts w:hint="eastAsia" w:ascii="楷体" w:hAnsi="楷体" w:eastAsia="楷体"/>
          <w:bCs/>
          <w:sz w:val="28"/>
          <w:szCs w:val="28"/>
        </w:rPr>
        <w:t>本次估价无不</w:t>
      </w:r>
      <w:bookmarkEnd w:id="36"/>
      <w:r>
        <w:rPr>
          <w:rFonts w:hint="eastAsia" w:ascii="楷体" w:hAnsi="楷体" w:eastAsia="楷体"/>
          <w:bCs/>
          <w:sz w:val="28"/>
          <w:szCs w:val="28"/>
        </w:rPr>
        <w:t>相一致假设。</w:t>
      </w:r>
    </w:p>
    <w:p w14:paraId="33CB1002">
      <w:pPr>
        <w:spacing w:before="156" w:beforeLines="50" w:line="510" w:lineRule="exact"/>
        <w:jc w:val="left"/>
        <w:outlineLvl w:val="1"/>
        <w:rPr>
          <w:rFonts w:hint="eastAsia" w:ascii="楷体" w:hAnsi="楷体" w:eastAsia="楷体"/>
          <w:b/>
          <w:bCs/>
          <w:sz w:val="28"/>
          <w:szCs w:val="28"/>
        </w:rPr>
      </w:pPr>
      <w:bookmarkStart w:id="37" w:name="_Toc505087751"/>
      <w:bookmarkStart w:id="38" w:name="_Toc221710854"/>
      <w:bookmarkStart w:id="39" w:name="_Toc17987"/>
      <w:bookmarkStart w:id="40" w:name="_Toc484941659"/>
      <w:r>
        <w:rPr>
          <w:rFonts w:hint="eastAsia" w:ascii="楷体" w:hAnsi="楷体" w:eastAsia="楷体"/>
          <w:b/>
          <w:bCs/>
          <w:sz w:val="28"/>
          <w:szCs w:val="28"/>
        </w:rPr>
        <w:t>五、依据不足假设</w:t>
      </w:r>
      <w:bookmarkEnd w:id="37"/>
      <w:bookmarkEnd w:id="38"/>
      <w:bookmarkEnd w:id="39"/>
      <w:bookmarkEnd w:id="40"/>
    </w:p>
    <w:p w14:paraId="415134EE">
      <w:pPr>
        <w:spacing w:line="510" w:lineRule="exact"/>
        <w:ind w:firstLine="560" w:firstLineChars="200"/>
        <w:jc w:val="left"/>
        <w:rPr>
          <w:rFonts w:hint="eastAsia" w:ascii="楷体" w:hAnsi="楷体" w:eastAsia="楷体"/>
          <w:bCs/>
          <w:kern w:val="2"/>
          <w:sz w:val="28"/>
          <w:szCs w:val="28"/>
          <w:lang w:val="en-US" w:eastAsia="zh-CN" w:bidi="ar-SA"/>
        </w:rPr>
      </w:pPr>
      <w:bookmarkStart w:id="41" w:name="_Toc24096"/>
      <w:bookmarkStart w:id="42" w:name="_Toc484941660"/>
      <w:bookmarkStart w:id="43" w:name="_Toc221710855"/>
      <w:bookmarkStart w:id="44" w:name="_Toc505087752"/>
      <w:r>
        <w:rPr>
          <w:rFonts w:hint="eastAsia" w:ascii="楷体" w:hAnsi="楷体" w:eastAsia="楷体" w:cs="宋体"/>
          <w:kern w:val="2"/>
          <w:sz w:val="28"/>
          <w:szCs w:val="28"/>
          <w:lang w:val="en-US" w:eastAsia="zh-CN" w:bidi="ar-SA"/>
        </w:rPr>
        <w:t>依据不足假设是指在估价委托人无法提供估价所必需的反映估价对象状况的资料以及注册房地产估价师进行了尽职调查仍然难以取得该资料的情况下，对缺少该资料及对相应的估价对象状况的合理假定。估价对象未取得《不动产权证》，根据《委托评估协议书》设定：{{ owner }}位于{{ address }}的土地，估价对象范围为土地使用权面积50.00亩，设定出租用途为{{ usage }}。若离开上述前提，本次估价结果应做相应调整乃至重新评估。</w:t>
      </w:r>
    </w:p>
    <w:p w14:paraId="2F26ADD8">
      <w:pPr>
        <w:spacing w:before="156" w:beforeLines="50" w:line="510" w:lineRule="exact"/>
        <w:jc w:val="left"/>
        <w:outlineLvl w:val="1"/>
        <w:rPr>
          <w:rFonts w:hint="eastAsia" w:ascii="楷体" w:hAnsi="楷体" w:eastAsia="楷体"/>
          <w:b/>
          <w:bCs/>
          <w:sz w:val="28"/>
          <w:szCs w:val="28"/>
        </w:rPr>
      </w:pPr>
      <w:r>
        <w:rPr>
          <w:rFonts w:hint="eastAsia" w:ascii="楷体" w:hAnsi="楷体" w:eastAsia="楷体"/>
          <w:b/>
          <w:bCs/>
          <w:sz w:val="28"/>
          <w:szCs w:val="28"/>
        </w:rPr>
        <w:t>六、报告使用限制条件</w:t>
      </w:r>
      <w:bookmarkEnd w:id="41"/>
      <w:bookmarkEnd w:id="42"/>
      <w:bookmarkEnd w:id="43"/>
      <w:bookmarkEnd w:id="44"/>
    </w:p>
    <w:p w14:paraId="3D850104">
      <w:pPr>
        <w:spacing w:line="510" w:lineRule="exact"/>
        <w:ind w:firstLine="560" w:firstLineChars="200"/>
        <w:jc w:val="left"/>
        <w:rPr>
          <w:rFonts w:ascii="楷体" w:hAnsi="楷体" w:eastAsia="楷体"/>
          <w:b/>
          <w:bCs/>
          <w:kern w:val="2"/>
          <w:sz w:val="28"/>
          <w:szCs w:val="28"/>
          <w:lang w:val="en-US" w:eastAsia="zh-CN" w:bidi="ar-SA"/>
        </w:rPr>
      </w:pPr>
      <w:r>
        <w:rPr>
          <w:rFonts w:hint="eastAsia" w:ascii="楷体" w:hAnsi="楷体" w:eastAsia="楷体" w:cs="宋体"/>
          <w:kern w:val="2"/>
          <w:sz w:val="28"/>
          <w:szCs w:val="28"/>
          <w:lang w:val="en-US" w:eastAsia="zh-CN" w:bidi="ar-SA"/>
        </w:rPr>
        <w:t>1.本估价机构的估价范围由委托人指认，并由现场查勘记录人员郑伟娜记录，如与实际需估价范围有出入，应以书面告知，估价结果也做相应调整。</w:t>
      </w:r>
    </w:p>
    <w:p w14:paraId="418BB4F4">
      <w:pPr>
        <w:spacing w:line="500" w:lineRule="exact"/>
        <w:ind w:right="97" w:rightChars="46"/>
        <w:rPr>
          <w:rFonts w:hint="eastAsia" w:ascii="楷体" w:hAnsi="楷体" w:eastAsia="楷体"/>
          <w:sz w:val="28"/>
          <w:szCs w:val="24"/>
        </w:rPr>
      </w:pPr>
      <w:r>
        <w:rPr>
          <w:rFonts w:hint="eastAsia" w:ascii="楷体" w:hAnsi="楷体" w:eastAsia="楷体"/>
          <w:sz w:val="28"/>
          <w:szCs w:val="24"/>
        </w:rPr>
        <w:t xml:space="preserve">    2.本估价报告依据了估价委托人提供的相关资料。估价委托人应对资料的真实性、合法性、准确性和完整性负责，如以隐瞒、欺骗等不正当手段，致使估价人员在报告中选用了错误的数据和内容，相应责任由估价委托人承担。</w:t>
      </w:r>
    </w:p>
    <w:p w14:paraId="080E04CB">
      <w:pPr>
        <w:spacing w:line="500" w:lineRule="exact"/>
        <w:ind w:right="97" w:rightChars="46" w:firstLine="560" w:firstLineChars="200"/>
        <w:rPr>
          <w:rFonts w:hint="eastAsia" w:ascii="楷体" w:hAnsi="楷体" w:eastAsia="楷体"/>
          <w:sz w:val="28"/>
          <w:szCs w:val="24"/>
        </w:rPr>
      </w:pPr>
      <w:r>
        <w:rPr>
          <w:rFonts w:hint="eastAsia" w:ascii="楷体" w:hAnsi="楷体" w:eastAsia="楷体"/>
          <w:sz w:val="28"/>
          <w:szCs w:val="24"/>
        </w:rPr>
        <w:t>3.本估价报告的估价结果为满足全部假设与限制条件下的价值。</w:t>
      </w:r>
    </w:p>
    <w:p w14:paraId="68000C2D">
      <w:pPr>
        <w:spacing w:line="560" w:lineRule="exact"/>
        <w:ind w:firstLine="560"/>
        <w:rPr>
          <w:rFonts w:hint="eastAsia" w:ascii="楷体" w:hAnsi="楷体" w:eastAsia="楷体"/>
          <w:sz w:val="28"/>
          <w:szCs w:val="24"/>
        </w:rPr>
      </w:pPr>
      <w:r>
        <w:rPr>
          <w:rFonts w:hint="eastAsia" w:ascii="楷体" w:hAnsi="楷体" w:eastAsia="楷体"/>
          <w:sz w:val="28"/>
          <w:szCs w:val="24"/>
        </w:rPr>
        <w:t>4.本次估价结果仅</w:t>
      </w:r>
      <w:r>
        <w:rPr>
          <w:rFonts w:hint="eastAsia" w:ascii="楷体" w:hAnsi="楷体" w:eastAsia="楷体" w:cs="仿宋"/>
          <w:sz w:val="28"/>
          <w:szCs w:val="28"/>
        </w:rPr>
        <w:t>为委托人确定拟出租房地产市场租金提供价格参考</w:t>
      </w:r>
      <w:r>
        <w:rPr>
          <w:rFonts w:hint="eastAsia" w:ascii="楷体" w:hAnsi="楷体" w:eastAsia="楷体" w:cs="宋体"/>
          <w:sz w:val="28"/>
          <w:szCs w:val="28"/>
        </w:rPr>
        <w:t>，</w:t>
      </w:r>
      <w:r>
        <w:rPr>
          <w:rFonts w:hint="eastAsia" w:ascii="楷体" w:hAnsi="楷体" w:eastAsia="楷体"/>
          <w:sz w:val="28"/>
          <w:szCs w:val="24"/>
        </w:rPr>
        <w:t>超出此使用范围无效，本评估机构不负法律责任。</w:t>
      </w:r>
    </w:p>
    <w:p w14:paraId="54F2C120">
      <w:pPr>
        <w:spacing w:line="560" w:lineRule="exact"/>
        <w:ind w:firstLine="560"/>
        <w:rPr>
          <w:rFonts w:hint="eastAsia" w:ascii="楷体" w:hAnsi="楷体" w:eastAsia="楷体"/>
          <w:sz w:val="28"/>
          <w:szCs w:val="24"/>
        </w:rPr>
      </w:pPr>
      <w:r>
        <w:rPr>
          <w:rFonts w:hint="eastAsia" w:ascii="楷体" w:hAnsi="楷体" w:eastAsia="楷体"/>
          <w:sz w:val="28"/>
          <w:szCs w:val="24"/>
        </w:rPr>
        <w:t>5.估价委托人及相关使用者应当完整地使用本报告，对仅使用报告中的部分内容或片面使用导致的有关损失，估价机构不承担责任。</w:t>
      </w:r>
    </w:p>
    <w:p w14:paraId="0165F066">
      <w:pPr>
        <w:spacing w:line="560" w:lineRule="exact"/>
        <w:ind w:firstLine="420" w:firstLineChars="150"/>
        <w:rPr>
          <w:rFonts w:hint="eastAsia" w:ascii="楷体" w:hAnsi="楷体" w:eastAsia="楷体"/>
          <w:sz w:val="28"/>
          <w:szCs w:val="24"/>
        </w:rPr>
      </w:pPr>
      <w:r>
        <w:rPr>
          <w:rFonts w:hint="eastAsia" w:ascii="楷体" w:hAnsi="楷体" w:eastAsia="楷体"/>
          <w:sz w:val="28"/>
          <w:szCs w:val="24"/>
        </w:rPr>
        <w:t xml:space="preserve"> 6.如发现本估价报告文字或数字因校对或类似原因出现差错，请及时通知本公司进行更正，如因明知正常失误而不及时通知更正而对估价结果应用造成影响和损失的，本公司不承担责任。</w:t>
      </w:r>
    </w:p>
    <w:p w14:paraId="70E45DC7">
      <w:pPr>
        <w:spacing w:line="560" w:lineRule="exact"/>
        <w:ind w:firstLine="420" w:firstLineChars="150"/>
        <w:rPr>
          <w:rFonts w:hint="eastAsia" w:ascii="楷体" w:hAnsi="楷体" w:eastAsia="楷体"/>
          <w:sz w:val="28"/>
          <w:szCs w:val="24"/>
        </w:rPr>
      </w:pPr>
      <w:r>
        <w:rPr>
          <w:rFonts w:hint="eastAsia" w:ascii="楷体" w:hAnsi="楷体" w:eastAsia="楷体"/>
          <w:sz w:val="28"/>
          <w:szCs w:val="24"/>
        </w:rPr>
        <w:t xml:space="preserve"> 7.本估价报告须经注册房地产估价师签名盖章并加盖房地产估价机构公章作为一个整体时方为有效，估价报告的全部或部分复印件均无效。</w:t>
      </w:r>
    </w:p>
    <w:p w14:paraId="371A0067">
      <w:pPr>
        <w:spacing w:line="560" w:lineRule="exact"/>
        <w:ind w:firstLine="560"/>
        <w:rPr>
          <w:rFonts w:hint="eastAsia" w:ascii="楷体" w:hAnsi="楷体" w:eastAsia="楷体"/>
          <w:sz w:val="28"/>
          <w:szCs w:val="24"/>
        </w:rPr>
      </w:pPr>
      <w:r>
        <w:rPr>
          <w:rFonts w:hint="eastAsia" w:ascii="楷体" w:hAnsi="楷体" w:eastAsia="楷体"/>
          <w:sz w:val="28"/>
          <w:szCs w:val="24"/>
        </w:rPr>
        <w:t>8.未经委托人和本公司书面同意，本估价报告不得向估价委托人、估价目的的有关方和估价报告审核部门外的单位和个人提供，不得将本估价报告的全部或部分内容提供给其他各方，也不得</w:t>
      </w:r>
      <w:r>
        <w:rPr>
          <w:rFonts w:hint="eastAsia" w:ascii="楷体" w:hAnsi="楷体" w:eastAsia="楷体"/>
          <w:sz w:val="28"/>
          <w:szCs w:val="24"/>
          <w:lang w:eastAsia="zh-CN"/>
        </w:rPr>
        <w:t>见诸</w:t>
      </w:r>
      <w:r>
        <w:rPr>
          <w:rFonts w:hint="eastAsia" w:ascii="楷体" w:hAnsi="楷体" w:eastAsia="楷体"/>
          <w:sz w:val="28"/>
          <w:szCs w:val="24"/>
        </w:rPr>
        <w:t>任何公开的媒体。若本估价报告被用于其他场合，本公司不负任何法律责任。</w:t>
      </w:r>
    </w:p>
    <w:p w14:paraId="7E2B94B9">
      <w:pPr>
        <w:spacing w:line="560" w:lineRule="exact"/>
        <w:ind w:firstLine="560"/>
        <w:rPr>
          <w:rFonts w:hint="eastAsia" w:ascii="楷体" w:hAnsi="楷体" w:eastAsia="楷体"/>
          <w:sz w:val="28"/>
          <w:szCs w:val="24"/>
        </w:rPr>
      </w:pPr>
      <w:r>
        <w:rPr>
          <w:rFonts w:hint="eastAsia" w:ascii="楷体" w:hAnsi="楷体" w:eastAsia="楷体"/>
          <w:sz w:val="28"/>
          <w:szCs w:val="24"/>
        </w:rPr>
        <w:t>9.本估价报告使用期限一年，请报告使用人在报告使用期内使用，否则，本估价结果无效。随着时间的推移和房地产市场的变动，国家法律政策的调整等，估价结果应作相应调整。</w:t>
      </w:r>
    </w:p>
    <w:p w14:paraId="6F25019C">
      <w:pPr>
        <w:spacing w:line="510" w:lineRule="exact"/>
        <w:ind w:firstLine="560" w:firstLineChars="200"/>
        <w:jc w:val="left"/>
        <w:rPr>
          <w:rFonts w:hint="eastAsia" w:ascii="楷体" w:hAnsi="楷体" w:eastAsia="楷体"/>
          <w:bCs/>
          <w:sz w:val="28"/>
          <w:szCs w:val="28"/>
        </w:rPr>
      </w:pPr>
      <w:r>
        <w:rPr>
          <w:rFonts w:hint="eastAsia" w:ascii="楷体" w:hAnsi="楷体" w:eastAsia="楷体"/>
          <w:sz w:val="28"/>
          <w:szCs w:val="24"/>
        </w:rPr>
        <w:t>10.本估价报告由浙江正恒房地产土地资产评估咨询有限公司负责解释。</w:t>
      </w:r>
    </w:p>
    <w:p w14:paraId="731D06CB">
      <w:pPr>
        <w:spacing w:before="156" w:beforeLines="50" w:after="156" w:afterLines="50" w:line="240" w:lineRule="exact"/>
        <w:jc w:val="center"/>
        <w:outlineLvl w:val="0"/>
        <w:rPr>
          <w:rFonts w:ascii="楷体" w:hAnsi="楷体" w:eastAsia="楷体"/>
          <w:bCs/>
          <w:sz w:val="44"/>
          <w:szCs w:val="44"/>
        </w:rPr>
        <w:sectPr>
          <w:pgSz w:w="11906" w:h="16838"/>
          <w:pgMar w:top="1418" w:right="1134" w:bottom="1134" w:left="1418" w:header="851" w:footer="851" w:gutter="284"/>
          <w:pgNumType w:start="2" w:chapStyle="1"/>
          <w:cols w:space="720" w:num="1"/>
          <w:docGrid w:type="lines" w:linePitch="312" w:charSpace="0"/>
        </w:sectPr>
      </w:pPr>
      <w:r>
        <w:rPr>
          <w:rFonts w:hint="eastAsia" w:ascii="楷体" w:hAnsi="楷体" w:eastAsia="楷体"/>
          <w:bCs/>
          <w:sz w:val="44"/>
          <w:szCs w:val="44"/>
        </w:rPr>
        <w:t xml:space="preserve"> </w:t>
      </w:r>
      <w:bookmarkStart w:id="45" w:name="_Toc484941661"/>
      <w:bookmarkStart w:id="46" w:name="_Toc505087753"/>
    </w:p>
    <w:p w14:paraId="77DACDE7">
      <w:pPr>
        <w:spacing w:before="468" w:beforeLines="150" w:after="156" w:afterLines="50" w:line="480" w:lineRule="auto"/>
        <w:jc w:val="center"/>
        <w:outlineLvl w:val="0"/>
        <w:rPr>
          <w:rFonts w:hint="eastAsia" w:ascii="楷体" w:hAnsi="楷体" w:eastAsia="楷体"/>
          <w:b/>
          <w:sz w:val="48"/>
          <w:szCs w:val="48"/>
        </w:rPr>
      </w:pPr>
      <w:bookmarkStart w:id="47" w:name="_Toc221710856"/>
      <w:bookmarkStart w:id="48" w:name="_Toc27918"/>
      <w:r>
        <w:rPr>
          <w:rFonts w:hint="eastAsia" w:ascii="楷体" w:hAnsi="楷体" w:eastAsia="楷体"/>
          <w:b/>
          <w:bCs/>
          <w:sz w:val="48"/>
          <w:szCs w:val="48"/>
        </w:rPr>
        <w:t>估价结果报告</w:t>
      </w:r>
      <w:bookmarkEnd w:id="45"/>
      <w:bookmarkEnd w:id="46"/>
      <w:bookmarkEnd w:id="47"/>
      <w:bookmarkEnd w:id="48"/>
    </w:p>
    <w:p w14:paraId="7422D8F7">
      <w:pPr>
        <w:spacing w:before="156" w:beforeLines="50" w:line="560" w:lineRule="exact"/>
        <w:jc w:val="left"/>
        <w:outlineLvl w:val="1"/>
        <w:rPr>
          <w:rFonts w:hint="eastAsia" w:ascii="楷体" w:hAnsi="楷体" w:eastAsia="楷体"/>
          <w:b/>
          <w:bCs/>
          <w:sz w:val="28"/>
          <w:szCs w:val="28"/>
        </w:rPr>
      </w:pPr>
      <w:bookmarkStart w:id="49" w:name="_Toc484941662"/>
      <w:bookmarkStart w:id="50" w:name="_Toc14953"/>
      <w:bookmarkStart w:id="51" w:name="_Toc221710857"/>
      <w:bookmarkStart w:id="52" w:name="_Toc505087754"/>
      <w:r>
        <w:rPr>
          <w:rFonts w:hint="eastAsia" w:ascii="楷体" w:hAnsi="楷体" w:eastAsia="楷体"/>
          <w:b/>
          <w:bCs/>
          <w:sz w:val="28"/>
          <w:szCs w:val="28"/>
        </w:rPr>
        <w:t>一、估价委托人</w:t>
      </w:r>
      <w:bookmarkEnd w:id="49"/>
      <w:bookmarkEnd w:id="50"/>
      <w:bookmarkEnd w:id="51"/>
      <w:bookmarkEnd w:id="52"/>
    </w:p>
    <w:p w14:paraId="31622078">
      <w:pPr>
        <w:spacing w:line="560" w:lineRule="exact"/>
        <w:ind w:firstLine="560" w:firstLineChars="200"/>
        <w:jc w:val="left"/>
      </w:pPr>
      <w:bookmarkStart w:id="53" w:name="_Toc484941663"/>
      <w:bookmarkStart w:id="54" w:name="_Toc505087755"/>
      <w:r>
        <w:rPr>
          <w:rFonts w:hint="eastAsia" w:ascii="楷体" w:hAnsi="楷体" w:eastAsia="楷体" w:cs="宋体"/>
          <w:kern w:val="2"/>
          <w:sz w:val="28"/>
          <w:szCs w:val="28"/>
          <w:lang w:val="en-US" w:eastAsia="zh-CN" w:bidi="ar-SA"/>
        </w:rPr>
        <w:t>委托人名称：{{ owner }}</w:t>
      </w:r>
    </w:p>
    <w:p w14:paraId="0B3CBD15">
      <w:pPr>
        <w:spacing w:line="560" w:lineRule="exact"/>
        <w:ind w:firstLine="560" w:firstLineChars="200"/>
        <w:jc w:val="left"/>
        <w:rPr>
          <w:rFonts w:hint="eastAsia" w:ascii="楷体" w:hAnsi="楷体" w:eastAsia="楷体"/>
          <w:bCs/>
          <w:kern w:val="2"/>
          <w:sz w:val="28"/>
          <w:szCs w:val="28"/>
          <w:lang w:val="en-US" w:eastAsia="zh-CN" w:bidi="ar-SA"/>
        </w:rPr>
      </w:pPr>
      <w:r>
        <w:rPr>
          <w:rFonts w:hint="eastAsia" w:ascii="楷体" w:hAnsi="楷体" w:eastAsia="楷体" w:cs="宋体"/>
          <w:kern w:val="2"/>
          <w:sz w:val="28"/>
          <w:szCs w:val="28"/>
          <w:lang w:val="en-US" w:eastAsia="zh-CN" w:bidi="ar-SA"/>
        </w:rPr>
        <w:t>住      址：杭州市钱塘区义蓬街道义蓬村</w:t>
      </w:r>
    </w:p>
    <w:p w14:paraId="0915C6D1">
      <w:pPr>
        <w:spacing w:line="560" w:lineRule="exact"/>
        <w:ind w:firstLine="560" w:firstLineChars="200"/>
        <w:jc w:val="left"/>
        <w:rPr>
          <w:rFonts w:hint="eastAsia" w:ascii="楷体" w:hAnsi="楷体" w:eastAsia="楷体"/>
          <w:bCs/>
          <w:kern w:val="2"/>
          <w:sz w:val="28"/>
          <w:szCs w:val="28"/>
          <w:lang w:val="en-US" w:eastAsia="zh-CN" w:bidi="ar-SA"/>
        </w:rPr>
      </w:pPr>
      <w:bookmarkStart w:id="55" w:name="_Toc221710858"/>
      <w:bookmarkStart w:id="56" w:name="_Toc10968"/>
      <w:r>
        <w:rPr>
          <w:rFonts w:hint="eastAsia" w:ascii="楷体" w:hAnsi="楷体" w:eastAsia="楷体" w:cs="宋体"/>
          <w:kern w:val="2"/>
          <w:sz w:val="28"/>
          <w:szCs w:val="28"/>
          <w:lang w:val="en-US" w:eastAsia="zh-CN" w:bidi="ar-SA"/>
        </w:rPr>
        <w:t>法定代表人或负责人：周国祥</w:t>
      </w:r>
    </w:p>
    <w:p w14:paraId="45B2B31D">
      <w:pPr>
        <w:spacing w:before="156" w:beforeLines="50" w:line="560" w:lineRule="exact"/>
        <w:jc w:val="left"/>
        <w:outlineLvl w:val="1"/>
        <w:rPr>
          <w:rFonts w:hint="eastAsia" w:ascii="楷体" w:hAnsi="楷体" w:eastAsia="楷体"/>
          <w:b/>
          <w:bCs/>
          <w:sz w:val="28"/>
          <w:szCs w:val="28"/>
        </w:rPr>
      </w:pPr>
      <w:r>
        <w:rPr>
          <w:rFonts w:hint="eastAsia" w:ascii="楷体" w:hAnsi="楷体" w:eastAsia="楷体"/>
          <w:b/>
          <w:bCs/>
          <w:sz w:val="28"/>
          <w:szCs w:val="28"/>
        </w:rPr>
        <w:t>二、房地产估价机构</w:t>
      </w:r>
      <w:bookmarkEnd w:id="53"/>
      <w:bookmarkEnd w:id="54"/>
      <w:bookmarkEnd w:id="55"/>
      <w:bookmarkEnd w:id="56"/>
    </w:p>
    <w:p w14:paraId="352B19AA">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估价机构：浙江正恒房地产土地资产评估咨询有限公司</w:t>
      </w:r>
    </w:p>
    <w:p w14:paraId="05611644">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法人代表：韩伟</w:t>
      </w:r>
    </w:p>
    <w:p w14:paraId="5F392E82">
      <w:pPr>
        <w:tabs>
          <w:tab w:val="left" w:pos="4140"/>
        </w:tabs>
        <w:spacing w:line="560" w:lineRule="exact"/>
        <w:ind w:firstLine="560" w:firstLineChars="200"/>
        <w:jc w:val="left"/>
        <w:rPr>
          <w:rFonts w:hint="eastAsia" w:ascii="楷体" w:hAnsi="楷体" w:eastAsia="楷体" w:cs="宋体"/>
          <w:sz w:val="28"/>
          <w:szCs w:val="28"/>
        </w:rPr>
      </w:pPr>
      <w:r>
        <w:rPr>
          <w:rFonts w:hint="eastAsia" w:ascii="楷体" w:hAnsi="楷体" w:eastAsia="楷体"/>
          <w:bCs/>
          <w:sz w:val="28"/>
          <w:szCs w:val="28"/>
        </w:rPr>
        <w:t>住    所：</w:t>
      </w:r>
      <w:r>
        <w:rPr>
          <w:rFonts w:hint="eastAsia" w:ascii="楷体" w:hAnsi="楷体" w:eastAsia="楷体" w:cs="宋体"/>
          <w:sz w:val="28"/>
          <w:szCs w:val="28"/>
        </w:rPr>
        <w:t>浙江省杭州市萧山区北干街道天汇园1幢1单元201室</w:t>
      </w:r>
    </w:p>
    <w:p w14:paraId="2EAB24E2">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资质等级：房地产壹级</w:t>
      </w:r>
    </w:p>
    <w:p w14:paraId="08D7B86B">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资质证书编号：浙建房估证字（2010）006号</w:t>
      </w:r>
    </w:p>
    <w:p w14:paraId="3A082ED2">
      <w:pPr>
        <w:spacing w:before="156" w:beforeLines="50" w:line="560" w:lineRule="exact"/>
        <w:jc w:val="left"/>
        <w:outlineLvl w:val="1"/>
        <w:rPr>
          <w:rFonts w:hint="eastAsia" w:ascii="楷体" w:hAnsi="楷体" w:eastAsia="楷体"/>
          <w:b/>
          <w:bCs/>
          <w:sz w:val="28"/>
          <w:szCs w:val="28"/>
        </w:rPr>
      </w:pPr>
      <w:bookmarkStart w:id="57" w:name="_Toc484941664"/>
      <w:bookmarkStart w:id="58" w:name="_Toc221710859"/>
      <w:bookmarkStart w:id="59" w:name="_Toc505087756"/>
      <w:bookmarkStart w:id="60" w:name="_Toc15159"/>
      <w:r>
        <w:rPr>
          <w:rFonts w:hint="eastAsia" w:ascii="楷体" w:hAnsi="楷体" w:eastAsia="楷体"/>
          <w:b/>
          <w:bCs/>
          <w:sz w:val="28"/>
          <w:szCs w:val="28"/>
        </w:rPr>
        <w:t>三、估价目的</w:t>
      </w:r>
      <w:bookmarkEnd w:id="57"/>
      <w:bookmarkEnd w:id="58"/>
      <w:bookmarkEnd w:id="59"/>
      <w:bookmarkEnd w:id="60"/>
    </w:p>
    <w:p w14:paraId="53872D58">
      <w:pPr>
        <w:spacing w:line="360" w:lineRule="auto"/>
        <w:ind w:firstLine="560" w:firstLineChars="200"/>
        <w:jc w:val="left"/>
        <w:rPr>
          <w:rFonts w:hint="eastAsia" w:ascii="楷体" w:hAnsi="楷体" w:eastAsia="楷体"/>
          <w:bCs/>
          <w:sz w:val="28"/>
          <w:szCs w:val="28"/>
        </w:rPr>
      </w:pPr>
      <w:bookmarkStart w:id="61" w:name="_Toc505087757"/>
      <w:bookmarkStart w:id="62" w:name="_Toc484941665"/>
      <w:r>
        <w:rPr>
          <w:rFonts w:hint="eastAsia" w:ascii="楷体" w:hAnsi="楷体" w:eastAsia="楷体"/>
          <w:bCs/>
          <w:sz w:val="28"/>
          <w:szCs w:val="28"/>
        </w:rPr>
        <w:t>为委托人确定拟出租房地产市场租金提供价格参考，而评估房地产租赁</w:t>
      </w:r>
      <w:r>
        <w:rPr>
          <w:rFonts w:hint="eastAsia" w:ascii="楷体" w:hAnsi="楷体" w:eastAsia="楷体" w:cs="仿宋"/>
          <w:sz w:val="28"/>
          <w:szCs w:val="28"/>
        </w:rPr>
        <w:t>价值</w:t>
      </w:r>
      <w:r>
        <w:rPr>
          <w:rFonts w:hint="eastAsia" w:ascii="楷体" w:hAnsi="楷体" w:eastAsia="楷体"/>
          <w:bCs/>
          <w:sz w:val="28"/>
          <w:szCs w:val="28"/>
        </w:rPr>
        <w:t>。</w:t>
      </w:r>
    </w:p>
    <w:p w14:paraId="6DF92278">
      <w:pPr>
        <w:spacing w:before="156" w:beforeLines="50" w:line="560" w:lineRule="exact"/>
        <w:jc w:val="left"/>
        <w:outlineLvl w:val="1"/>
        <w:rPr>
          <w:rFonts w:hint="eastAsia" w:ascii="楷体" w:hAnsi="楷体" w:eastAsia="楷体"/>
          <w:b/>
          <w:bCs/>
          <w:sz w:val="28"/>
          <w:szCs w:val="28"/>
        </w:rPr>
      </w:pPr>
      <w:bookmarkStart w:id="63" w:name="_Toc221710860"/>
      <w:bookmarkStart w:id="64" w:name="_Toc25476"/>
      <w:r>
        <w:rPr>
          <w:rFonts w:hint="eastAsia" w:ascii="楷体" w:hAnsi="楷体" w:eastAsia="楷体"/>
          <w:b/>
          <w:bCs/>
          <w:sz w:val="28"/>
          <w:szCs w:val="28"/>
        </w:rPr>
        <w:t>四、估价对象</w:t>
      </w:r>
      <w:bookmarkEnd w:id="61"/>
      <w:bookmarkEnd w:id="62"/>
      <w:bookmarkEnd w:id="63"/>
      <w:bookmarkEnd w:id="64"/>
    </w:p>
    <w:p w14:paraId="2E176CA7">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lang w:eastAsia="zh-CN"/>
        </w:rPr>
        <w:t>（一）</w:t>
      </w:r>
      <w:r>
        <w:rPr>
          <w:rFonts w:hint="eastAsia" w:ascii="楷体" w:hAnsi="楷体" w:eastAsia="楷体"/>
          <w:bCs/>
          <w:sz w:val="28"/>
          <w:szCs w:val="28"/>
        </w:rPr>
        <w:t>估价对象范围</w:t>
      </w:r>
    </w:p>
    <w:p w14:paraId="40090D1F">
      <w:pPr>
        <w:spacing w:line="560" w:lineRule="exact"/>
        <w:ind w:firstLine="560" w:firstLineChars="0"/>
        <w:rPr>
          <w:rFonts w:hint="eastAsia" w:ascii="楷体" w:hAnsi="楷体" w:eastAsia="楷体" w:cs="仿宋_GB2312"/>
          <w:kern w:val="2"/>
          <w:sz w:val="28"/>
          <w:szCs w:val="28"/>
          <w:lang w:val="en-US" w:eastAsia="zh-CN" w:bidi="ar-SA"/>
        </w:rPr>
      </w:pPr>
      <w:r>
        <w:rPr>
          <w:rFonts w:hint="eastAsia" w:ascii="楷体" w:hAnsi="楷体" w:eastAsia="楷体" w:cs="宋体"/>
          <w:kern w:val="2"/>
          <w:sz w:val="28"/>
          <w:szCs w:val="28"/>
          <w:lang w:val="en-US" w:eastAsia="zh-CN" w:bidi="ar-SA"/>
        </w:rPr>
        <w:t>根据估价委托人提供的与本次估价范围有关的基础资料复印件及有关数据，我们进行了核对，估价委托人指定的估价范围为{{ owner }}位于{{ address }}的土地。本次估价范围包含土地使用权，不包含水电费、债权债务、特许经营权等其他权利。</w:t>
      </w:r>
    </w:p>
    <w:p w14:paraId="4FCE1E28">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lang w:eastAsia="zh-CN"/>
        </w:rPr>
        <w:t>（二）</w:t>
      </w:r>
      <w:r>
        <w:rPr>
          <w:rFonts w:hint="eastAsia" w:ascii="楷体" w:hAnsi="楷体" w:eastAsia="楷体"/>
          <w:bCs/>
          <w:sz w:val="28"/>
          <w:szCs w:val="28"/>
        </w:rPr>
        <w:t>估价对象基本状况</w:t>
      </w:r>
    </w:p>
    <w:p w14:paraId="22BE2FD0">
      <w:pPr>
        <w:spacing w:line="500" w:lineRule="exact"/>
        <w:ind w:right="97" w:rightChars="46" w:firstLine="560" w:firstLineChars="200"/>
        <w:rPr>
          <w:rFonts w:ascii="楷体" w:hAnsi="楷体" w:eastAsia="楷体" w:cs="仿宋"/>
          <w:kern w:val="2"/>
          <w:sz w:val="28"/>
          <w:szCs w:val="28"/>
          <w:lang w:val="en-US" w:eastAsia="zh-CN" w:bidi="ar-SA"/>
        </w:rPr>
      </w:pPr>
      <w:r>
        <w:rPr>
          <w:rFonts w:hint="eastAsia" w:ascii="楷体" w:hAnsi="楷体" w:eastAsia="楷体" w:cs="宋体"/>
          <w:kern w:val="2"/>
          <w:sz w:val="28"/>
          <w:szCs w:val="28"/>
          <w:lang w:val="en-US" w:eastAsia="zh-CN" w:bidi="ar-SA"/>
        </w:rPr>
        <w:t>{{ owner }}位于{{ address }}的土地。估价对象未取得《不动产权证》。根据《委托评估协议书》记载估价对象基本情况如下：</w:t>
      </w:r>
    </w:p>
    <w:tbl>
      <w:tblPr>
        <w:tblStyle w:val="28"/>
        <w:tblW w:w="5000"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35"/>
        <w:gridCol w:w="2578"/>
        <w:gridCol w:w="2465"/>
        <w:gridCol w:w="1519"/>
        <w:gridCol w:w="1989"/>
      </w:tblGrid>
      <w:tr w14:paraId="300E176F">
        <w:trPr>
          <w:trHeight w:val="720" w:hRule="atLeast"/>
          <w:jc w:val="center"/>
        </w:trPr>
        <w:tc>
          <w:tcPr>
            <w:tcW w:w="396" w:type="pct"/>
            <w:tcBorders>
              <w:top w:val="single" w:color="000000" w:sz="4" w:space="0"/>
              <w:left w:val="single" w:color="000000" w:sz="4" w:space="0"/>
              <w:bottom w:val="single" w:color="000000" w:sz="4" w:space="0"/>
              <w:right w:val="single" w:color="000000" w:sz="4" w:space="0"/>
            </w:tcBorders>
            <w:noWrap w:val="0"/>
            <w:tcMar>
              <w:left w:w="108" w:type="dxa"/>
              <w:right w:w="108" w:type="dxa"/>
            </w:tcMar>
            <w:vAlign w:val="center"/>
          </w:tcPr>
          <w:p w14:paraId="38367D21">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序号</w:t>
            </w:r>
          </w:p>
        </w:tc>
        <w:tc>
          <w:tcPr>
            <w:tcW w:w="1388" w:type="pct"/>
            <w:tcBorders>
              <w:top w:val="single" w:color="000000" w:sz="4" w:space="0"/>
              <w:left w:val="single" w:color="000000" w:sz="4" w:space="0"/>
              <w:bottom w:val="single" w:color="auto" w:sz="4" w:space="0"/>
              <w:right w:val="single" w:color="000000" w:sz="4" w:space="0"/>
            </w:tcBorders>
            <w:noWrap w:val="0"/>
            <w:tcMar>
              <w:left w:w="108" w:type="dxa"/>
              <w:right w:w="108" w:type="dxa"/>
            </w:tcMar>
            <w:vAlign w:val="center"/>
          </w:tcPr>
          <w:p w14:paraId="1DA1B908">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权利人</w:t>
            </w:r>
          </w:p>
        </w:tc>
        <w:tc>
          <w:tcPr>
            <w:tcW w:w="1327" w:type="pct"/>
            <w:tcBorders>
              <w:top w:val="single" w:color="000000" w:sz="4" w:space="0"/>
              <w:left w:val="single" w:color="000000" w:sz="4" w:space="0"/>
              <w:bottom w:val="single" w:color="auto" w:sz="4" w:space="0"/>
              <w:right w:val="single" w:color="000000" w:sz="4" w:space="0"/>
            </w:tcBorders>
            <w:noWrap w:val="0"/>
            <w:tcMar>
              <w:left w:w="108" w:type="dxa"/>
              <w:right w:w="108" w:type="dxa"/>
            </w:tcMar>
            <w:vAlign w:val="center"/>
          </w:tcPr>
          <w:p w14:paraId="0C3C25DF">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地址</w:t>
            </w:r>
          </w:p>
        </w:tc>
        <w:tc>
          <w:tcPr>
            <w:tcW w:w="818" w:type="pct"/>
            <w:tcBorders>
              <w:top w:val="single" w:color="000000" w:sz="4" w:space="0"/>
              <w:left w:val="single" w:color="000000" w:sz="4" w:space="0"/>
              <w:bottom w:val="single" w:color="auto" w:sz="4" w:space="0"/>
              <w:right w:val="single" w:color="000000" w:sz="4" w:space="0"/>
            </w:tcBorders>
            <w:noWrap w:val="0"/>
            <w:tcMar>
              <w:left w:w="108" w:type="dxa"/>
              <w:right w:w="108" w:type="dxa"/>
            </w:tcMar>
            <w:vAlign w:val="center"/>
          </w:tcPr>
          <w:p w14:paraId="48A7B7F7">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设定出租用途</w:t>
            </w:r>
          </w:p>
        </w:tc>
        <w:tc>
          <w:tcPr>
            <w:tcW w:w="1071" w:type="pct"/>
            <w:tcBorders>
              <w:top w:val="single" w:color="000000" w:sz="4" w:space="0"/>
              <w:left w:val="single" w:color="000000" w:sz="4" w:space="0"/>
              <w:bottom w:val="single" w:color="auto" w:sz="4" w:space="0"/>
              <w:right w:val="single" w:color="000000" w:sz="4" w:space="0"/>
            </w:tcBorders>
            <w:noWrap w:val="0"/>
            <w:tcMar>
              <w:left w:w="108" w:type="dxa"/>
              <w:right w:w="108" w:type="dxa"/>
            </w:tcMar>
            <w:vAlign w:val="center"/>
          </w:tcPr>
          <w:p w14:paraId="72023800">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面积（亩）</w:t>
            </w:r>
          </w:p>
        </w:tc>
      </w:tr>
      <w:tr w14:paraId="12783694">
        <w:trPr>
          <w:trHeight w:val="285" w:hRule="atLeast"/>
          <w:jc w:val="center"/>
        </w:trPr>
        <w:tc>
          <w:tcPr>
            <w:tcW w:w="396" w:type="pct"/>
            <w:tcBorders>
              <w:top w:val="single" w:color="000000" w:sz="4" w:space="0"/>
              <w:left w:val="single" w:color="000000" w:sz="4" w:space="0"/>
              <w:bottom w:val="single" w:color="000000" w:sz="4" w:space="0"/>
              <w:right w:val="single" w:color="auto" w:sz="4" w:space="0"/>
            </w:tcBorders>
            <w:noWrap w:val="0"/>
            <w:tcMar>
              <w:left w:w="108" w:type="dxa"/>
              <w:right w:w="108" w:type="dxa"/>
            </w:tcMar>
            <w:vAlign w:val="center"/>
          </w:tcPr>
          <w:p w14:paraId="0AA24EC2">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{%tr for s in subjects %}</w:t>
            </w:r>
          </w:p>
        </w:tc>
        <w:tc>
          <w:tcPr>
            <w:tcW w:w="1388" w:type="pct"/>
            <w:tcBorders>
              <w:top w:val="single" w:color="auto" w:sz="4" w:space="0"/>
              <w:left w:val="single" w:color="auto" w:sz="4" w:space="0"/>
              <w:bottom w:val="single" w:color="auto" w:sz="4" w:space="0"/>
              <w:right w:val="single" w:color="000000" w:sz="4" w:space="0"/>
            </w:tcBorders>
            <w:noWrap w:val="0"/>
            <w:tcMar>
              <w:left w:w="108" w:type="dxa"/>
              <w:right w:w="108" w:type="dxa"/>
            </w:tcMar>
            <w:vAlign w:val="center"/>
          </w:tcPr>
          <w:p w14:paraId="346AE8D5">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 owner }}</w:t>
            </w:r>
          </w:p>
        </w:tc>
        <w:tc>
          <w:tcPr>
            <w:tcW w:w="1327"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171F75E2">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 address }}</w:t>
            </w:r>
          </w:p>
        </w:tc>
        <w:tc>
          <w:tcPr>
            <w:tcW w:w="818"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18B1BF50">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 usage }}</w:t>
            </w:r>
          </w:p>
        </w:tc>
        <w:tc>
          <w:tcPr>
            <w:tcW w:w="1071"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768F4B4F">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50.00</w:t>
            </w:r>
          </w:p>
        </w:tc>
      </w:tr>
      <w:tr w14:paraId="12783694">
        <w:trPr>
          <w:trHeight w:val="285" w:hRule="atLeast"/>
          <w:jc w:val="center"/>
        </w:trPr>
        <w:tc>
          <w:tcPr>
            <w:tcW w:w="396" w:type="pct"/>
            <w:tcBorders>
              <w:top w:val="single" w:color="000000" w:sz="4" w:space="0"/>
              <w:left w:val="single" w:color="000000" w:sz="4" w:space="0"/>
              <w:bottom w:val="single" w:color="000000" w:sz="4" w:space="0"/>
              <w:right w:val="single" w:color="auto" w:sz="4" w:space="0"/>
            </w:tcBorders>
            <w:noWrap w:val="0"/>
            <w:tcMar>
              <w:left w:w="108" w:type="dxa"/>
              <w:right w:w="108" w:type="dxa"/>
            </w:tcMar>
            <w:vAlign w:val="center"/>
          </w:tcPr>
          <w:p w14:paraId="0AA24EC2">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 s.index }}</w:t>
            </w:r>
          </w:p>
        </w:tc>
        <w:tc>
          <w:tcPr>
            <w:tcW w:w="1388" w:type="pct"/>
            <w:tcBorders>
              <w:top w:val="single" w:color="auto" w:sz="4" w:space="0"/>
              <w:left w:val="single" w:color="auto" w:sz="4" w:space="0"/>
              <w:bottom w:val="single" w:color="auto" w:sz="4" w:space="0"/>
              <w:right w:val="single" w:color="000000" w:sz="4" w:space="0"/>
            </w:tcBorders>
            <w:noWrap w:val="0"/>
            <w:tcMar>
              <w:left w:w="108" w:type="dxa"/>
              <w:right w:w="108" w:type="dxa"/>
            </w:tcMar>
            <w:vAlign w:val="center"/>
          </w:tcPr>
          <w:p w14:paraId="346AE8D5">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 s.owner }}</w:t>
            </w:r>
          </w:p>
        </w:tc>
        <w:tc>
          <w:tcPr>
            <w:tcW w:w="1327"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171F75E2">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 s.address }}</w:t>
            </w:r>
          </w:p>
        </w:tc>
        <w:tc>
          <w:tcPr>
            <w:tcW w:w="818"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18B1BF50">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 s.usage }}</w:t>
            </w:r>
          </w:p>
        </w:tc>
        <w:tc>
          <w:tcPr>
            <w:tcW w:w="1071"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768F4B4F">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 s.area }}</w:t>
            </w:r>
          </w:p>
        </w:tc>
      </w:tr>
      <w:tr w14:paraId="12783694">
        <w:trPr>
          <w:trHeight w:val="285" w:hRule="atLeast"/>
          <w:jc w:val="center"/>
        </w:trPr>
        <w:tc>
          <w:tcPr>
            <w:tcW w:w="396" w:type="pct"/>
            <w:tcBorders>
              <w:top w:val="single" w:color="000000" w:sz="4" w:space="0"/>
              <w:left w:val="single" w:color="000000" w:sz="4" w:space="0"/>
              <w:bottom w:val="single" w:color="000000" w:sz="4" w:space="0"/>
              <w:right w:val="single" w:color="auto" w:sz="4" w:space="0"/>
            </w:tcBorders>
            <w:noWrap w:val="0"/>
            <w:tcMar>
              <w:left w:w="108" w:type="dxa"/>
              <w:right w:w="108" w:type="dxa"/>
            </w:tcMar>
            <w:vAlign w:val="center"/>
          </w:tcPr>
          <w:p w14:paraId="0AA24EC2">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{%tr endfor %}</w:t>
            </w:r>
          </w:p>
        </w:tc>
        <w:tc>
          <w:tcPr>
            <w:tcW w:w="1388" w:type="pct"/>
            <w:tcBorders>
              <w:top w:val="single" w:color="auto" w:sz="4" w:space="0"/>
              <w:left w:val="single" w:color="auto" w:sz="4" w:space="0"/>
              <w:bottom w:val="single" w:color="auto" w:sz="4" w:space="0"/>
              <w:right w:val="single" w:color="000000" w:sz="4" w:space="0"/>
            </w:tcBorders>
            <w:noWrap w:val="0"/>
            <w:tcMar>
              <w:left w:w="108" w:type="dxa"/>
              <w:right w:w="108" w:type="dxa"/>
            </w:tcMar>
            <w:vAlign w:val="center"/>
          </w:tcPr>
          <w:p w14:paraId="346AE8D5">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 owner }}</w:t>
            </w:r>
          </w:p>
        </w:tc>
        <w:tc>
          <w:tcPr>
            <w:tcW w:w="1327"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171F75E2">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 address }}</w:t>
            </w:r>
          </w:p>
        </w:tc>
        <w:tc>
          <w:tcPr>
            <w:tcW w:w="818"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18B1BF50">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 usage }}</w:t>
            </w:r>
          </w:p>
        </w:tc>
        <w:tc>
          <w:tcPr>
            <w:tcW w:w="1071"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768F4B4F">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50.00</w:t>
            </w:r>
          </w:p>
        </w:tc>
      </w:tr>
    </w:tbl>
    <w:p w14:paraId="0360D0F8"/>
    <w:p w14:paraId="13351F2F">
      <w:pPr>
        <w:spacing w:line="560" w:lineRule="exact"/>
        <w:ind w:firstLine="560" w:firstLineChars="200"/>
        <w:jc w:val="left"/>
        <w:rPr>
          <w:rFonts w:ascii="楷体" w:hAnsi="楷体" w:eastAsia="楷体" w:cs="楷体"/>
          <w:bCs/>
          <w:sz w:val="28"/>
          <w:szCs w:val="28"/>
        </w:rPr>
      </w:pPr>
      <w:r>
        <w:rPr>
          <w:rFonts w:hint="eastAsia" w:ascii="楷体" w:hAnsi="楷体" w:eastAsia="楷体"/>
          <w:bCs/>
          <w:sz w:val="28"/>
          <w:szCs w:val="28"/>
        </w:rPr>
        <w:t xml:space="preserve"> (三)</w:t>
      </w:r>
      <w:r>
        <w:rPr>
          <w:rFonts w:hint="eastAsia" w:ascii="楷体" w:hAnsi="楷体" w:eastAsia="楷体" w:cs="楷体"/>
          <w:bCs/>
          <w:sz w:val="28"/>
          <w:szCs w:val="28"/>
        </w:rPr>
        <w:t>估价对象资产状况</w:t>
      </w:r>
    </w:p>
    <w:p w14:paraId="7C0E3B7D">
      <w:pPr>
        <w:spacing w:line="560" w:lineRule="exact"/>
        <w:ind w:firstLine="560" w:firstLineChars="200"/>
        <w:jc w:val="left"/>
        <w:rPr>
          <w:rFonts w:ascii="楷体" w:hAnsi="楷体" w:eastAsia="楷体"/>
          <w:bCs/>
          <w:sz w:val="28"/>
          <w:szCs w:val="28"/>
        </w:rPr>
      </w:pPr>
      <w:r>
        <w:rPr>
          <w:rFonts w:hint="eastAsia" w:ascii="楷体" w:hAnsi="楷体" w:eastAsia="楷体"/>
          <w:bCs/>
          <w:sz w:val="28"/>
          <w:szCs w:val="28"/>
        </w:rPr>
        <w:t>1</w:t>
      </w:r>
      <w:r>
        <w:rPr>
          <w:rFonts w:ascii="楷体" w:hAnsi="楷体" w:eastAsia="楷体"/>
          <w:bCs/>
          <w:sz w:val="28"/>
          <w:szCs w:val="28"/>
        </w:rPr>
        <w:t>.</w:t>
      </w:r>
      <w:r>
        <w:rPr>
          <w:rFonts w:hint="eastAsia" w:ascii="楷体" w:hAnsi="楷体" w:eastAsia="楷体"/>
          <w:bCs/>
          <w:sz w:val="28"/>
          <w:szCs w:val="28"/>
        </w:rPr>
        <w:t>区位状况</w:t>
      </w:r>
    </w:p>
    <w:tbl>
      <w:tblPr>
        <w:tblStyle w:val="28"/>
        <w:tblW w:w="928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08"/>
        <w:gridCol w:w="1953"/>
        <w:gridCol w:w="6625"/>
      </w:tblGrid>
      <w:tr w14:paraId="6A9F1ACA">
        <w:trPr>
          <w:trHeight w:val="499" w:hRule="atLeast"/>
        </w:trPr>
        <w:tc>
          <w:tcPr>
            <w:tcW w:w="708" w:type="dxa"/>
            <w:vMerge w:val="restart"/>
            <w:tcBorders>
              <w:top w:val="single" w:color="auto" w:sz="4" w:space="0"/>
              <w:left w:val="single" w:color="auto" w:sz="4" w:space="0"/>
              <w:bottom w:val="single" w:color="auto" w:sz="4" w:space="0"/>
              <w:right w:val="single" w:color="auto" w:sz="4" w:space="0"/>
            </w:tcBorders>
            <w:shd w:val="clear" w:color="auto" w:fill="auto"/>
            <w:noWrap w:val="0"/>
            <w:tcMar>
              <w:left w:w="108" w:type="dxa"/>
              <w:right w:w="108" w:type="dxa"/>
            </w:tcMar>
            <w:vAlign w:val="center"/>
          </w:tcPr>
          <w:p w14:paraId="42995554">
            <w:pPr>
              <w:keepNext w:val="0"/>
              <w:keepLines w:val="0"/>
              <w:widowControl/>
              <w:suppressLineNumbers w:val="0"/>
              <w:jc w:val="center"/>
              <w:textAlignment w:val="center"/>
            </w:pPr>
            <w:bookmarkStart w:id="65" w:name="_Toc484941666"/>
            <w:bookmarkStart w:id="66" w:name="_Toc505087758"/>
            <w:r>
              <w:rPr>
                <w:rFonts w:hint="eastAsia" w:ascii="楷体" w:hAnsi="楷体" w:eastAsia="楷体" w:cs="楷体"/>
                <w:color w:val="000000"/>
                <w:kern w:val="0"/>
                <w:sz w:val="20"/>
                <w:lang w:val="en-US" w:eastAsia="zh-CN" w:bidi="ar"/>
              </w:rPr>
              <w:t>区位状况</w:t>
            </w:r>
          </w:p>
        </w:tc>
        <w:tc>
          <w:tcPr>
            <w:tcW w:w="1953" w:type="dxa"/>
            <w:tcBorders>
              <w:top w:val="single" w:color="auto" w:sz="4" w:space="0"/>
              <w:left w:val="nil"/>
              <w:bottom w:val="single" w:color="auto" w:sz="4" w:space="0"/>
              <w:right w:val="single" w:color="auto" w:sz="4" w:space="0"/>
            </w:tcBorders>
            <w:shd w:val="clear" w:color="auto" w:fill="auto"/>
            <w:noWrap w:val="0"/>
            <w:tcMar>
              <w:left w:w="108" w:type="dxa"/>
              <w:right w:w="108" w:type="dxa"/>
            </w:tcMar>
            <w:vAlign w:val="center"/>
          </w:tcPr>
          <w:p w14:paraId="36D852A4">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离城中心距离</w:t>
            </w:r>
          </w:p>
        </w:tc>
        <w:tc>
          <w:tcPr>
            <w:tcW w:w="6625" w:type="dxa"/>
            <w:tcBorders>
              <w:top w:val="single" w:color="auto" w:sz="4" w:space="0"/>
              <w:left w:val="nil"/>
              <w:bottom w:val="single" w:color="auto" w:sz="4" w:space="0"/>
              <w:right w:val="single" w:color="auto" w:sz="4" w:space="0"/>
            </w:tcBorders>
            <w:shd w:val="clear" w:color="000000" w:fill="FFFFFF"/>
            <w:noWrap w:val="0"/>
            <w:tcMar>
              <w:left w:w="108" w:type="dxa"/>
              <w:right w:w="108" w:type="dxa"/>
            </w:tcMar>
            <w:vAlign w:val="center"/>
          </w:tcPr>
          <w:p w14:paraId="36697B58">
            <w:pPr>
              <w:widowControl/>
              <w:jc w:val="left"/>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距离区政府直线距离约3KM</w:t>
            </w:r>
          </w:p>
        </w:tc>
      </w:tr>
      <w:tr w14:paraId="7A7ED6F2">
        <w:trPr>
          <w:trHeight w:val="499" w:hRule="atLeast"/>
        </w:trPr>
        <w:tc>
          <w:tcPr>
            <w:tcW w:w="708" w:type="dxa"/>
            <w:vMerge w:val="continue"/>
            <w:tcBorders>
              <w:top w:val="single" w:color="auto" w:sz="4" w:space="0"/>
              <w:left w:val="single" w:color="auto" w:sz="4" w:space="0"/>
              <w:bottom w:val="single" w:color="auto" w:sz="4" w:space="0"/>
              <w:right w:val="single" w:color="auto" w:sz="4" w:space="0"/>
            </w:tcBorders>
            <w:shd w:val="clear" w:color="auto" w:fill="auto"/>
            <w:noWrap w:val="0"/>
            <w:tcMar>
              <w:left w:w="108" w:type="dxa"/>
              <w:right w:w="108" w:type="dxa"/>
            </w:tcMar>
            <w:vAlign w:val="center"/>
          </w:tcPr>
          <w:p w14:paraId="12506D68"/>
        </w:tc>
        <w:tc>
          <w:tcPr>
            <w:tcW w:w="1953" w:type="dxa"/>
            <w:tcBorders>
              <w:top w:val="single" w:color="auto" w:sz="4" w:space="0"/>
              <w:left w:val="nil"/>
              <w:bottom w:val="single" w:color="auto" w:sz="4" w:space="0"/>
              <w:right w:val="single" w:color="auto" w:sz="4" w:space="0"/>
            </w:tcBorders>
            <w:shd w:val="clear" w:color="auto" w:fill="auto"/>
            <w:noWrap w:val="0"/>
            <w:tcMar>
              <w:left w:w="108" w:type="dxa"/>
              <w:right w:w="108" w:type="dxa"/>
            </w:tcMar>
            <w:vAlign w:val="center"/>
          </w:tcPr>
          <w:p w14:paraId="7B9A630B">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离高速口距离</w:t>
            </w:r>
          </w:p>
        </w:tc>
        <w:tc>
          <w:tcPr>
            <w:tcW w:w="6625" w:type="dxa"/>
            <w:tcBorders>
              <w:top w:val="nil"/>
              <w:left w:val="nil"/>
              <w:bottom w:val="single" w:color="auto" w:sz="4" w:space="0"/>
              <w:right w:val="single" w:color="auto" w:sz="4" w:space="0"/>
            </w:tcBorders>
            <w:shd w:val="clear" w:color="000000" w:fill="FFFFFF"/>
            <w:noWrap w:val="0"/>
            <w:tcMar>
              <w:left w:w="108" w:type="dxa"/>
              <w:right w:w="108" w:type="dxa"/>
            </w:tcMar>
            <w:vAlign w:val="center"/>
          </w:tcPr>
          <w:p w14:paraId="2FF3EF40">
            <w:pPr>
              <w:widowControl/>
              <w:jc w:val="left"/>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距离萧山东高速路口直线距离约3.4KM</w:t>
            </w:r>
          </w:p>
        </w:tc>
      </w:tr>
      <w:tr w14:paraId="05E69271">
        <w:trPr>
          <w:trHeight w:val="499" w:hRule="atLeast"/>
        </w:trPr>
        <w:tc>
          <w:tcPr>
            <w:tcW w:w="708" w:type="dxa"/>
            <w:vMerge w:val="continue"/>
            <w:tcBorders>
              <w:top w:val="single" w:color="auto" w:sz="4" w:space="0"/>
              <w:left w:val="single" w:color="auto" w:sz="4" w:space="0"/>
              <w:bottom w:val="single" w:color="auto" w:sz="4" w:space="0"/>
              <w:right w:val="single" w:color="auto" w:sz="4" w:space="0"/>
            </w:tcBorders>
            <w:shd w:val="clear" w:color="auto" w:fill="auto"/>
            <w:noWrap w:val="0"/>
            <w:tcMar>
              <w:left w:w="108" w:type="dxa"/>
              <w:right w:w="108" w:type="dxa"/>
            </w:tcMar>
            <w:vAlign w:val="center"/>
          </w:tcPr>
          <w:p w14:paraId="12186211"/>
        </w:tc>
        <w:tc>
          <w:tcPr>
            <w:tcW w:w="1953" w:type="dxa"/>
            <w:tcBorders>
              <w:top w:val="single" w:color="auto" w:sz="4" w:space="0"/>
              <w:left w:val="nil"/>
              <w:bottom w:val="single" w:color="auto" w:sz="4" w:space="0"/>
              <w:right w:val="single" w:color="auto" w:sz="4" w:space="0"/>
            </w:tcBorders>
            <w:shd w:val="clear" w:color="auto" w:fill="auto"/>
            <w:noWrap w:val="0"/>
            <w:tcMar>
              <w:left w:w="108" w:type="dxa"/>
              <w:right w:w="108" w:type="dxa"/>
            </w:tcMar>
            <w:vAlign w:val="center"/>
          </w:tcPr>
          <w:p w14:paraId="48D179C3">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离水源地距离</w:t>
            </w:r>
          </w:p>
        </w:tc>
        <w:tc>
          <w:tcPr>
            <w:tcW w:w="6625" w:type="dxa"/>
            <w:tcBorders>
              <w:top w:val="nil"/>
              <w:left w:val="nil"/>
              <w:bottom w:val="single" w:color="auto" w:sz="4" w:space="0"/>
              <w:right w:val="single" w:color="auto" w:sz="4" w:space="0"/>
            </w:tcBorders>
            <w:shd w:val="clear" w:color="000000" w:fill="FFFFFF"/>
            <w:noWrap w:val="0"/>
            <w:tcMar>
              <w:left w:w="108" w:type="dxa"/>
              <w:right w:w="108" w:type="dxa"/>
            </w:tcMar>
            <w:vAlign w:val="center"/>
          </w:tcPr>
          <w:p w14:paraId="6F5F8E34">
            <w:pPr>
              <w:widowControl/>
              <w:jc w:val="left"/>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距离河道直线距离约4KM</w:t>
            </w:r>
          </w:p>
        </w:tc>
      </w:tr>
      <w:tr w14:paraId="71BCD244">
        <w:trPr>
          <w:trHeight w:val="499" w:hRule="atLeast"/>
        </w:trPr>
        <w:tc>
          <w:tcPr>
            <w:tcW w:w="708" w:type="dxa"/>
            <w:vMerge w:val="continue"/>
            <w:tcBorders>
              <w:top w:val="single" w:color="auto" w:sz="4" w:space="0"/>
              <w:left w:val="single" w:color="auto" w:sz="4" w:space="0"/>
              <w:bottom w:val="single" w:color="auto" w:sz="4" w:space="0"/>
              <w:right w:val="single" w:color="auto" w:sz="4" w:space="0"/>
            </w:tcBorders>
            <w:shd w:val="clear" w:color="auto" w:fill="auto"/>
            <w:noWrap w:val="0"/>
            <w:tcMar>
              <w:left w:w="108" w:type="dxa"/>
              <w:right w:w="108" w:type="dxa"/>
            </w:tcMar>
            <w:vAlign w:val="center"/>
          </w:tcPr>
          <w:p w14:paraId="61CCC04E"/>
        </w:tc>
        <w:tc>
          <w:tcPr>
            <w:tcW w:w="1953" w:type="dxa"/>
            <w:tcBorders>
              <w:top w:val="single" w:color="auto" w:sz="4" w:space="0"/>
              <w:left w:val="nil"/>
              <w:bottom w:val="single" w:color="auto" w:sz="4" w:space="0"/>
              <w:right w:val="single" w:color="auto" w:sz="4" w:space="0"/>
            </w:tcBorders>
            <w:shd w:val="clear" w:color="auto" w:fill="auto"/>
            <w:noWrap w:val="0"/>
            <w:tcMar>
              <w:left w:w="108" w:type="dxa"/>
              <w:right w:w="108" w:type="dxa"/>
            </w:tcMar>
            <w:vAlign w:val="center"/>
          </w:tcPr>
          <w:p w14:paraId="03CA64A5">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临街状况</w:t>
            </w:r>
          </w:p>
        </w:tc>
        <w:tc>
          <w:tcPr>
            <w:tcW w:w="6625" w:type="dxa"/>
            <w:tcBorders>
              <w:top w:val="nil"/>
              <w:left w:val="nil"/>
              <w:bottom w:val="single" w:color="auto" w:sz="4" w:space="0"/>
              <w:right w:val="single" w:color="auto" w:sz="4" w:space="0"/>
            </w:tcBorders>
            <w:shd w:val="clear" w:color="000000" w:fill="FFFFFF"/>
            <w:noWrap w:val="0"/>
            <w:tcMar>
              <w:left w:w="108" w:type="dxa"/>
              <w:right w:w="108" w:type="dxa"/>
            </w:tcMar>
            <w:vAlign w:val="center"/>
          </w:tcPr>
          <w:p w14:paraId="09776601">
            <w:pPr>
              <w:widowControl/>
              <w:jc w:val="left"/>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估价对象所在宗地东至横一线，西至义蓬街道社区卫生服务中心，北至钱塘快速路，南至教康弄。估价对象临教康弄。</w:t>
            </w:r>
          </w:p>
        </w:tc>
      </w:tr>
      <w:tr w14:paraId="01C2CD71">
        <w:trPr>
          <w:trHeight w:val="499" w:hRule="atLeast"/>
        </w:trPr>
        <w:tc>
          <w:tcPr>
            <w:tcW w:w="708" w:type="dxa"/>
            <w:vMerge w:val="continue"/>
            <w:tcBorders>
              <w:top w:val="single" w:color="auto" w:sz="4" w:space="0"/>
              <w:left w:val="single" w:color="auto" w:sz="4" w:space="0"/>
              <w:bottom w:val="single" w:color="auto" w:sz="4" w:space="0"/>
              <w:right w:val="single" w:color="auto" w:sz="4" w:space="0"/>
            </w:tcBorders>
            <w:shd w:val="clear" w:color="auto" w:fill="auto"/>
            <w:noWrap w:val="0"/>
            <w:tcMar>
              <w:left w:w="108" w:type="dxa"/>
              <w:right w:w="108" w:type="dxa"/>
            </w:tcMar>
            <w:vAlign w:val="center"/>
          </w:tcPr>
          <w:p w14:paraId="32C3A775"/>
        </w:tc>
        <w:tc>
          <w:tcPr>
            <w:tcW w:w="1953" w:type="dxa"/>
            <w:tcBorders>
              <w:top w:val="single" w:color="auto" w:sz="4" w:space="0"/>
              <w:left w:val="nil"/>
              <w:bottom w:val="single" w:color="auto" w:sz="4" w:space="0"/>
              <w:right w:val="single" w:color="auto" w:sz="4" w:space="0"/>
            </w:tcBorders>
            <w:shd w:val="clear" w:color="auto" w:fill="auto"/>
            <w:noWrap w:val="0"/>
            <w:tcMar>
              <w:left w:w="108" w:type="dxa"/>
              <w:right w:w="108" w:type="dxa"/>
            </w:tcMar>
            <w:vAlign w:val="center"/>
          </w:tcPr>
          <w:p w14:paraId="1A76B1AA">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周边劳动力</w:t>
            </w:r>
          </w:p>
        </w:tc>
        <w:tc>
          <w:tcPr>
            <w:tcW w:w="6625" w:type="dxa"/>
            <w:tcBorders>
              <w:top w:val="nil"/>
              <w:left w:val="nil"/>
              <w:bottom w:val="single" w:color="auto" w:sz="4" w:space="0"/>
              <w:right w:val="single" w:color="auto" w:sz="4" w:space="0"/>
            </w:tcBorders>
            <w:shd w:val="clear" w:color="000000" w:fill="FFFFFF"/>
            <w:noWrap w:val="0"/>
            <w:tcMar>
              <w:left w:w="108" w:type="dxa"/>
              <w:right w:w="108" w:type="dxa"/>
            </w:tcMar>
            <w:vAlign w:val="center"/>
          </w:tcPr>
          <w:p w14:paraId="58916021">
            <w:pPr>
              <w:widowControl/>
              <w:jc w:val="left"/>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周边劳动力较多。</w:t>
            </w:r>
          </w:p>
        </w:tc>
      </w:tr>
      <w:tr w14:paraId="3E8B9956">
        <w:trPr>
          <w:trHeight w:val="499" w:hRule="atLeast"/>
        </w:trPr>
        <w:tc>
          <w:tcPr>
            <w:tcW w:w="708" w:type="dxa"/>
            <w:vMerge w:val="continue"/>
            <w:tcBorders>
              <w:top w:val="single" w:color="auto" w:sz="4" w:space="0"/>
              <w:left w:val="single" w:color="auto" w:sz="4" w:space="0"/>
              <w:bottom w:val="single" w:color="auto" w:sz="4" w:space="0"/>
              <w:right w:val="single" w:color="auto" w:sz="4" w:space="0"/>
            </w:tcBorders>
            <w:shd w:val="clear" w:color="auto" w:fill="auto"/>
            <w:noWrap w:val="0"/>
            <w:tcMar>
              <w:left w:w="108" w:type="dxa"/>
              <w:right w:w="108" w:type="dxa"/>
            </w:tcMar>
            <w:vAlign w:val="center"/>
          </w:tcPr>
          <w:p w14:paraId="15E9333E"/>
        </w:tc>
        <w:tc>
          <w:tcPr>
            <w:tcW w:w="1953" w:type="dxa"/>
            <w:tcBorders>
              <w:top w:val="single" w:color="auto" w:sz="4" w:space="0"/>
              <w:left w:val="nil"/>
              <w:bottom w:val="single" w:color="auto" w:sz="4" w:space="0"/>
              <w:right w:val="single" w:color="auto" w:sz="4" w:space="0"/>
            </w:tcBorders>
            <w:shd w:val="clear" w:color="auto" w:fill="auto"/>
            <w:noWrap w:val="0"/>
            <w:tcMar>
              <w:left w:w="108" w:type="dxa"/>
              <w:right w:w="108" w:type="dxa"/>
            </w:tcMar>
            <w:vAlign w:val="center"/>
          </w:tcPr>
          <w:p w14:paraId="030023C1">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临路宽度</w:t>
            </w:r>
          </w:p>
        </w:tc>
        <w:tc>
          <w:tcPr>
            <w:tcW w:w="6625" w:type="dxa"/>
            <w:tcBorders>
              <w:top w:val="nil"/>
              <w:left w:val="nil"/>
              <w:bottom w:val="single" w:color="auto" w:sz="4" w:space="0"/>
              <w:right w:val="single" w:color="auto" w:sz="4" w:space="0"/>
            </w:tcBorders>
            <w:shd w:val="clear" w:color="000000" w:fill="FFFFFF"/>
            <w:noWrap w:val="0"/>
            <w:tcMar>
              <w:left w:w="108" w:type="dxa"/>
              <w:right w:w="108" w:type="dxa"/>
            </w:tcMar>
            <w:vAlign w:val="center"/>
          </w:tcPr>
          <w:p w14:paraId="1AB0BA5D">
            <w:pPr>
              <w:widowControl/>
              <w:jc w:val="left"/>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&gt;6-12m。</w:t>
            </w:r>
          </w:p>
        </w:tc>
      </w:tr>
      <w:tr w14:paraId="1791D22F">
        <w:trPr>
          <w:trHeight w:val="499" w:hRule="atLeast"/>
        </w:trPr>
        <w:tc>
          <w:tcPr>
            <w:tcW w:w="708" w:type="dxa"/>
            <w:vMerge w:val="continue"/>
            <w:tcBorders>
              <w:top w:val="single" w:color="auto" w:sz="4" w:space="0"/>
              <w:left w:val="single" w:color="auto" w:sz="4" w:space="0"/>
              <w:bottom w:val="single" w:color="auto" w:sz="4" w:space="0"/>
              <w:right w:val="single" w:color="auto" w:sz="4" w:space="0"/>
            </w:tcBorders>
            <w:shd w:val="clear" w:color="auto" w:fill="auto"/>
            <w:noWrap w:val="0"/>
            <w:tcMar>
              <w:left w:w="108" w:type="dxa"/>
              <w:right w:w="108" w:type="dxa"/>
            </w:tcMar>
            <w:vAlign w:val="center"/>
          </w:tcPr>
          <w:p w14:paraId="2B0464B3"/>
        </w:tc>
        <w:tc>
          <w:tcPr>
            <w:tcW w:w="1953" w:type="dxa"/>
            <w:tcBorders>
              <w:top w:val="single" w:color="auto" w:sz="4" w:space="0"/>
              <w:left w:val="nil"/>
              <w:bottom w:val="single" w:color="auto" w:sz="4" w:space="0"/>
              <w:right w:val="single" w:color="auto" w:sz="4" w:space="0"/>
            </w:tcBorders>
            <w:shd w:val="clear" w:color="auto" w:fill="auto"/>
            <w:noWrap w:val="0"/>
            <w:tcMar>
              <w:left w:w="108" w:type="dxa"/>
              <w:right w:w="108" w:type="dxa"/>
            </w:tcMar>
            <w:vAlign w:val="center"/>
          </w:tcPr>
          <w:p w14:paraId="0AFF5E0E">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临街道路等级</w:t>
            </w:r>
          </w:p>
        </w:tc>
        <w:tc>
          <w:tcPr>
            <w:tcW w:w="6625" w:type="dxa"/>
            <w:tcBorders>
              <w:top w:val="nil"/>
              <w:left w:val="nil"/>
              <w:bottom w:val="single" w:color="auto" w:sz="4" w:space="0"/>
              <w:right w:val="single" w:color="auto" w:sz="4" w:space="0"/>
            </w:tcBorders>
            <w:shd w:val="clear" w:color="000000" w:fill="FFFFFF"/>
            <w:noWrap w:val="0"/>
            <w:tcMar>
              <w:left w:w="108" w:type="dxa"/>
              <w:right w:w="108" w:type="dxa"/>
            </w:tcMar>
            <w:vAlign w:val="center"/>
          </w:tcPr>
          <w:p w14:paraId="2EA8DE53">
            <w:pPr>
              <w:widowControl/>
              <w:jc w:val="left"/>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主要临街道路等级为次干道。</w:t>
            </w:r>
          </w:p>
        </w:tc>
      </w:tr>
      <w:tr w14:paraId="60FD613C">
        <w:trPr>
          <w:trHeight w:val="499" w:hRule="atLeast"/>
        </w:trPr>
        <w:tc>
          <w:tcPr>
            <w:tcW w:w="708" w:type="dxa"/>
            <w:vMerge w:val="continue"/>
            <w:tcBorders>
              <w:top w:val="single" w:color="auto" w:sz="4" w:space="0"/>
              <w:left w:val="single" w:color="auto" w:sz="4" w:space="0"/>
              <w:bottom w:val="single" w:color="auto" w:sz="4" w:space="0"/>
              <w:right w:val="single" w:color="auto" w:sz="4" w:space="0"/>
            </w:tcBorders>
            <w:shd w:val="clear" w:color="auto" w:fill="auto"/>
            <w:noWrap w:val="0"/>
            <w:tcMar>
              <w:left w:w="108" w:type="dxa"/>
              <w:right w:w="108" w:type="dxa"/>
            </w:tcMar>
            <w:vAlign w:val="center"/>
          </w:tcPr>
          <w:p w14:paraId="274B16A9"/>
        </w:tc>
        <w:tc>
          <w:tcPr>
            <w:tcW w:w="1953" w:type="dxa"/>
            <w:tcBorders>
              <w:top w:val="single" w:color="auto" w:sz="4" w:space="0"/>
              <w:left w:val="nil"/>
              <w:bottom w:val="single" w:color="auto" w:sz="4" w:space="0"/>
              <w:right w:val="single" w:color="auto" w:sz="4" w:space="0"/>
            </w:tcBorders>
            <w:shd w:val="clear" w:color="auto" w:fill="auto"/>
            <w:noWrap w:val="0"/>
            <w:tcMar>
              <w:left w:w="108" w:type="dxa"/>
              <w:right w:w="108" w:type="dxa"/>
            </w:tcMar>
            <w:vAlign w:val="center"/>
          </w:tcPr>
          <w:p w14:paraId="121A6848">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货车停车便利度</w:t>
            </w:r>
          </w:p>
        </w:tc>
        <w:tc>
          <w:tcPr>
            <w:tcW w:w="6625" w:type="dxa"/>
            <w:tcBorders>
              <w:top w:val="nil"/>
              <w:left w:val="nil"/>
              <w:bottom w:val="single" w:color="auto" w:sz="4" w:space="0"/>
              <w:right w:val="single" w:color="auto" w:sz="4" w:space="0"/>
            </w:tcBorders>
            <w:shd w:val="clear" w:color="000000" w:fill="FFFFFF"/>
            <w:noWrap w:val="0"/>
            <w:tcMar>
              <w:left w:w="108" w:type="dxa"/>
              <w:right w:w="108" w:type="dxa"/>
            </w:tcMar>
            <w:vAlign w:val="center"/>
          </w:tcPr>
          <w:p w14:paraId="2C9678BF">
            <w:pPr>
              <w:widowControl/>
              <w:jc w:val="left"/>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停车位基本满足。</w:t>
            </w:r>
          </w:p>
        </w:tc>
      </w:tr>
      <w:tr w14:paraId="035C3137">
        <w:trPr>
          <w:trHeight w:val="499" w:hRule="atLeast"/>
        </w:trPr>
        <w:tc>
          <w:tcPr>
            <w:tcW w:w="708" w:type="dxa"/>
            <w:vMerge w:val="continue"/>
            <w:tcBorders>
              <w:top w:val="single" w:color="auto" w:sz="4" w:space="0"/>
              <w:left w:val="single" w:color="auto" w:sz="4" w:space="0"/>
              <w:bottom w:val="single" w:color="auto" w:sz="4" w:space="0"/>
              <w:right w:val="single" w:color="auto" w:sz="4" w:space="0"/>
            </w:tcBorders>
            <w:shd w:val="clear" w:color="auto" w:fill="auto"/>
            <w:noWrap w:val="0"/>
            <w:tcMar>
              <w:left w:w="108" w:type="dxa"/>
              <w:right w:w="108" w:type="dxa"/>
            </w:tcMar>
            <w:vAlign w:val="center"/>
          </w:tcPr>
          <w:p w14:paraId="770E85EF"/>
        </w:tc>
        <w:tc>
          <w:tcPr>
            <w:tcW w:w="1953" w:type="dxa"/>
            <w:tcBorders>
              <w:top w:val="single" w:color="auto" w:sz="4" w:space="0"/>
              <w:left w:val="nil"/>
              <w:bottom w:val="single" w:color="auto" w:sz="4" w:space="0"/>
              <w:right w:val="single" w:color="auto" w:sz="4" w:space="0"/>
            </w:tcBorders>
            <w:shd w:val="clear" w:color="auto" w:fill="auto"/>
            <w:noWrap w:val="0"/>
            <w:tcMar>
              <w:left w:w="108" w:type="dxa"/>
              <w:right w:w="108" w:type="dxa"/>
            </w:tcMar>
            <w:vAlign w:val="center"/>
          </w:tcPr>
          <w:p w14:paraId="63B6FCD8">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基础设施</w:t>
            </w:r>
          </w:p>
        </w:tc>
        <w:tc>
          <w:tcPr>
            <w:tcW w:w="6625" w:type="dxa"/>
            <w:tcBorders>
              <w:top w:val="nil"/>
              <w:left w:val="nil"/>
              <w:bottom w:val="single" w:color="auto" w:sz="4" w:space="0"/>
              <w:right w:val="single" w:color="auto" w:sz="4" w:space="0"/>
            </w:tcBorders>
            <w:shd w:val="clear" w:color="000000" w:fill="FFFFFF"/>
            <w:noWrap w:val="0"/>
            <w:tcMar>
              <w:left w:w="108" w:type="dxa"/>
              <w:right w:w="108" w:type="dxa"/>
            </w:tcMar>
            <w:vAlign w:val="center"/>
          </w:tcPr>
          <w:p w14:paraId="590DA4E8">
            <w:pPr>
              <w:widowControl/>
              <w:jc w:val="left"/>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该宗地红线外基础设施达到“三通一平”即通路、通水、通电、场地平整。</w:t>
            </w:r>
          </w:p>
        </w:tc>
      </w:tr>
      <w:tr w14:paraId="1FD70D31">
        <w:trPr>
          <w:trHeight w:val="499" w:hRule="atLeast"/>
        </w:trPr>
        <w:tc>
          <w:tcPr>
            <w:tcW w:w="708" w:type="dxa"/>
            <w:vMerge w:val="continue"/>
            <w:tcBorders>
              <w:top w:val="single" w:color="auto" w:sz="4" w:space="0"/>
              <w:left w:val="single" w:color="auto" w:sz="4" w:space="0"/>
              <w:bottom w:val="single" w:color="auto" w:sz="4" w:space="0"/>
              <w:right w:val="single" w:color="auto" w:sz="4" w:space="0"/>
            </w:tcBorders>
            <w:noWrap w:val="0"/>
            <w:tcMar>
              <w:left w:w="108" w:type="dxa"/>
              <w:right w:w="108" w:type="dxa"/>
            </w:tcMar>
            <w:vAlign w:val="center"/>
          </w:tcPr>
          <w:p w14:paraId="35F1B7ED"/>
        </w:tc>
        <w:tc>
          <w:tcPr>
            <w:tcW w:w="1953" w:type="dxa"/>
            <w:tcBorders>
              <w:top w:val="single" w:color="auto" w:sz="4" w:space="0"/>
              <w:left w:val="nil"/>
              <w:bottom w:val="single" w:color="auto" w:sz="4" w:space="0"/>
              <w:right w:val="single" w:color="auto" w:sz="4" w:space="0"/>
            </w:tcBorders>
            <w:noWrap w:val="0"/>
            <w:tcMar>
              <w:left w:w="108" w:type="dxa"/>
              <w:right w:w="108" w:type="dxa"/>
            </w:tcMar>
            <w:vAlign w:val="center"/>
          </w:tcPr>
          <w:p w14:paraId="48A66051">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公共服务设施</w:t>
            </w:r>
          </w:p>
        </w:tc>
        <w:tc>
          <w:tcPr>
            <w:tcW w:w="6625" w:type="dxa"/>
            <w:tcBorders>
              <w:top w:val="nil"/>
              <w:left w:val="nil"/>
              <w:bottom w:val="single" w:color="auto" w:sz="4" w:space="0"/>
              <w:right w:val="single" w:color="auto" w:sz="4" w:space="0"/>
            </w:tcBorders>
            <w:noWrap w:val="0"/>
            <w:tcMar>
              <w:left w:w="108" w:type="dxa"/>
              <w:right w:w="108" w:type="dxa"/>
            </w:tcMar>
            <w:vAlign w:val="center"/>
          </w:tcPr>
          <w:p w14:paraId="5DEF1848">
            <w:pPr>
              <w:widowControl/>
              <w:jc w:val="left"/>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附近学校有钱塘高中、崇德实验学校；医院有社区卫生院；银行有宁波银行、萧山农商银行、中信银行；商场有义蓬购物中心。</w:t>
            </w:r>
          </w:p>
        </w:tc>
      </w:tr>
      <w:tr w14:paraId="2486CC97">
        <w:trPr>
          <w:trHeight w:val="499" w:hRule="atLeast"/>
        </w:trPr>
        <w:tc>
          <w:tcPr>
            <w:tcW w:w="708" w:type="dxa"/>
            <w:vMerge w:val="continue"/>
            <w:tcBorders>
              <w:top w:val="single" w:color="auto" w:sz="4" w:space="0"/>
              <w:left w:val="single" w:color="auto" w:sz="4" w:space="0"/>
              <w:bottom w:val="single" w:color="auto" w:sz="4" w:space="0"/>
              <w:right w:val="single" w:color="auto" w:sz="4" w:space="0"/>
            </w:tcBorders>
            <w:shd w:val="clear" w:color="auto" w:fill="auto"/>
            <w:noWrap w:val="0"/>
            <w:tcMar>
              <w:left w:w="108" w:type="dxa"/>
              <w:right w:w="108" w:type="dxa"/>
            </w:tcMar>
            <w:vAlign w:val="center"/>
          </w:tcPr>
          <w:p w14:paraId="26177570"/>
        </w:tc>
        <w:tc>
          <w:tcPr>
            <w:tcW w:w="1953" w:type="dxa"/>
            <w:tcBorders>
              <w:top w:val="single" w:color="auto" w:sz="4" w:space="0"/>
              <w:left w:val="nil"/>
              <w:bottom w:val="single" w:color="auto" w:sz="4" w:space="0"/>
              <w:right w:val="single" w:color="auto" w:sz="4" w:space="0"/>
            </w:tcBorders>
            <w:shd w:val="clear" w:color="auto" w:fill="auto"/>
            <w:noWrap w:val="0"/>
            <w:tcMar>
              <w:left w:w="108" w:type="dxa"/>
              <w:right w:w="108" w:type="dxa"/>
            </w:tcMar>
            <w:vAlign w:val="center"/>
          </w:tcPr>
          <w:p w14:paraId="055E1D9F">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日照、降水</w:t>
            </w:r>
          </w:p>
        </w:tc>
        <w:tc>
          <w:tcPr>
            <w:tcW w:w="6625" w:type="dxa"/>
            <w:tcBorders>
              <w:top w:val="nil"/>
              <w:left w:val="nil"/>
              <w:bottom w:val="single" w:color="auto" w:sz="4" w:space="0"/>
              <w:right w:val="single" w:color="auto" w:sz="4" w:space="0"/>
            </w:tcBorders>
            <w:shd w:val="clear" w:color="000000" w:fill="FFFFFF"/>
            <w:noWrap w:val="0"/>
            <w:tcMar>
              <w:left w:w="108" w:type="dxa"/>
              <w:right w:w="108" w:type="dxa"/>
            </w:tcMar>
            <w:vAlign w:val="center"/>
          </w:tcPr>
          <w:p w14:paraId="58A0670C">
            <w:pPr>
              <w:widowControl/>
              <w:jc w:val="left"/>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日照、降水充沛。</w:t>
            </w:r>
          </w:p>
        </w:tc>
      </w:tr>
    </w:tbl>
    <w:p w14:paraId="75665736"/>
    <w:p w14:paraId="0F2A2499">
      <w:pPr>
        <w:spacing w:line="560" w:lineRule="exact"/>
        <w:ind w:firstLine="560" w:firstLineChars="200"/>
        <w:jc w:val="left"/>
        <w:rPr>
          <w:rFonts w:ascii="楷体" w:hAnsi="楷体" w:eastAsia="楷体"/>
          <w:bCs/>
          <w:sz w:val="28"/>
          <w:szCs w:val="28"/>
        </w:rPr>
      </w:pPr>
      <w:r>
        <w:rPr>
          <w:rFonts w:hint="eastAsia" w:ascii="楷体" w:hAnsi="楷体" w:eastAsia="楷体"/>
          <w:bCs/>
          <w:sz w:val="28"/>
          <w:szCs w:val="28"/>
        </w:rPr>
        <w:t>2</w:t>
      </w:r>
      <w:r>
        <w:rPr>
          <w:rFonts w:ascii="楷体" w:hAnsi="楷体" w:eastAsia="楷体"/>
          <w:bCs/>
          <w:sz w:val="28"/>
          <w:szCs w:val="28"/>
        </w:rPr>
        <w:t>.</w:t>
      </w:r>
      <w:r>
        <w:rPr>
          <w:rFonts w:hint="eastAsia" w:ascii="楷体" w:hAnsi="楷体" w:eastAsia="楷体"/>
          <w:bCs/>
          <w:sz w:val="28"/>
          <w:szCs w:val="28"/>
        </w:rPr>
        <w:t>实物状况</w:t>
      </w:r>
    </w:p>
    <w:tbl>
      <w:tblPr>
        <w:tblStyle w:val="28"/>
        <w:tblW w:w="928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25"/>
        <w:gridCol w:w="1950"/>
        <w:gridCol w:w="6611"/>
      </w:tblGrid>
      <w:tr w14:paraId="3FF80347">
        <w:trPr>
          <w:trHeight w:val="499" w:hRule="atLeast"/>
        </w:trPr>
        <w:tc>
          <w:tcPr>
            <w:tcW w:w="725" w:type="dxa"/>
            <w:vMerge w:val="restart"/>
            <w:tcBorders>
              <w:top w:val="single" w:color="auto" w:sz="4" w:space="0"/>
              <w:left w:val="single" w:color="auto" w:sz="4" w:space="0"/>
              <w:bottom w:val="single" w:color="auto" w:sz="4" w:space="0"/>
              <w:right w:val="single" w:color="auto" w:sz="4" w:space="0"/>
            </w:tcBorders>
            <w:noWrap w:val="0"/>
            <w:tcMar>
              <w:left w:w="108" w:type="dxa"/>
              <w:right w:w="108" w:type="dxa"/>
            </w:tcMar>
            <w:vAlign w:val="center"/>
          </w:tcPr>
          <w:p w14:paraId="7166E5DF">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实物状况</w:t>
            </w:r>
          </w:p>
        </w:tc>
        <w:tc>
          <w:tcPr>
            <w:tcW w:w="1950" w:type="dxa"/>
            <w:tcBorders>
              <w:top w:val="single" w:color="auto" w:sz="4" w:space="0"/>
              <w:left w:val="nil"/>
              <w:bottom w:val="single" w:color="auto" w:sz="4" w:space="0"/>
              <w:right w:val="single" w:color="auto" w:sz="4" w:space="0"/>
            </w:tcBorders>
            <w:noWrap w:val="0"/>
            <w:tcMar>
              <w:left w:w="108" w:type="dxa"/>
              <w:right w:w="108" w:type="dxa"/>
            </w:tcMar>
            <w:vAlign w:val="center"/>
          </w:tcPr>
          <w:p w14:paraId="3F4C617C">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面积大小</w:t>
            </w:r>
          </w:p>
        </w:tc>
        <w:tc>
          <w:tcPr>
            <w:tcW w:w="6611" w:type="dxa"/>
            <w:tcBorders>
              <w:top w:val="single" w:color="auto" w:sz="4" w:space="0"/>
              <w:left w:val="nil"/>
              <w:bottom w:val="single" w:color="auto" w:sz="4" w:space="0"/>
              <w:right w:val="single" w:color="auto" w:sz="4" w:space="0"/>
            </w:tcBorders>
            <w:noWrap w:val="0"/>
            <w:tcMar>
              <w:left w:w="108" w:type="dxa"/>
              <w:right w:w="108" w:type="dxa"/>
            </w:tcMar>
            <w:vAlign w:val="center"/>
          </w:tcPr>
          <w:p w14:paraId="6808F83F">
            <w:pPr>
              <w:widowControl/>
              <w:jc w:val="left"/>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出租面积为50.00亩。</w:t>
            </w:r>
          </w:p>
        </w:tc>
      </w:tr>
      <w:tr w14:paraId="7819C03D">
        <w:trPr>
          <w:trHeight w:val="499" w:hRule="atLeast"/>
        </w:trPr>
        <w:tc>
          <w:tcPr>
            <w:tcW w:w="725" w:type="dxa"/>
            <w:vMerge w:val="continue"/>
            <w:tcBorders>
              <w:top w:val="single" w:color="auto" w:sz="4" w:space="0"/>
              <w:left w:val="single" w:color="auto" w:sz="4" w:space="0"/>
              <w:bottom w:val="single" w:color="auto" w:sz="4" w:space="0"/>
              <w:right w:val="single" w:color="auto" w:sz="4" w:space="0"/>
            </w:tcBorders>
            <w:noWrap w:val="0"/>
            <w:tcMar>
              <w:left w:w="108" w:type="dxa"/>
              <w:right w:w="108" w:type="dxa"/>
            </w:tcMar>
            <w:vAlign w:val="center"/>
          </w:tcPr>
          <w:p w14:paraId="49B0CBB6"/>
        </w:tc>
        <w:tc>
          <w:tcPr>
            <w:tcW w:w="1950" w:type="dxa"/>
            <w:tcBorders>
              <w:top w:val="single" w:color="auto" w:sz="4" w:space="0"/>
              <w:left w:val="nil"/>
              <w:bottom w:val="single" w:color="auto" w:sz="4" w:space="0"/>
              <w:right w:val="single" w:color="auto" w:sz="4" w:space="0"/>
            </w:tcBorders>
            <w:noWrap w:val="0"/>
            <w:tcMar>
              <w:left w:w="108" w:type="dxa"/>
              <w:right w:w="108" w:type="dxa"/>
            </w:tcMar>
            <w:vAlign w:val="center"/>
          </w:tcPr>
          <w:p w14:paraId="7ACC9AB1">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有机质含量</w:t>
            </w:r>
          </w:p>
        </w:tc>
        <w:tc>
          <w:tcPr>
            <w:tcW w:w="6611" w:type="dxa"/>
            <w:tcBorders>
              <w:top w:val="nil"/>
              <w:left w:val="nil"/>
              <w:bottom w:val="single" w:color="auto" w:sz="4" w:space="0"/>
              <w:right w:val="single" w:color="auto" w:sz="4" w:space="0"/>
            </w:tcBorders>
            <w:noWrap w:val="0"/>
            <w:tcMar>
              <w:left w:w="108" w:type="dxa"/>
              <w:right w:w="108" w:type="dxa"/>
            </w:tcMar>
            <w:vAlign w:val="center"/>
          </w:tcPr>
          <w:p w14:paraId="45E891DA">
            <w:pPr>
              <w:widowControl/>
              <w:jc w:val="left"/>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较好。</w:t>
            </w:r>
          </w:p>
        </w:tc>
      </w:tr>
      <w:tr w14:paraId="2C5FE11E">
        <w:trPr>
          <w:trHeight w:val="499" w:hRule="atLeast"/>
        </w:trPr>
        <w:tc>
          <w:tcPr>
            <w:tcW w:w="725" w:type="dxa"/>
            <w:vMerge w:val="continue"/>
            <w:tcBorders>
              <w:top w:val="single" w:color="auto" w:sz="4" w:space="0"/>
              <w:left w:val="single" w:color="auto" w:sz="4" w:space="0"/>
              <w:bottom w:val="single" w:color="auto" w:sz="4" w:space="0"/>
              <w:right w:val="single" w:color="auto" w:sz="4" w:space="0"/>
            </w:tcBorders>
            <w:noWrap w:val="0"/>
            <w:tcMar>
              <w:left w:w="108" w:type="dxa"/>
              <w:right w:w="108" w:type="dxa"/>
            </w:tcMar>
            <w:vAlign w:val="center"/>
          </w:tcPr>
          <w:p w14:paraId="1D0E0EBF"/>
        </w:tc>
        <w:tc>
          <w:tcPr>
            <w:tcW w:w="1950" w:type="dxa"/>
            <w:tcBorders>
              <w:top w:val="single" w:color="auto" w:sz="4" w:space="0"/>
              <w:left w:val="nil"/>
              <w:bottom w:val="single" w:color="auto" w:sz="4" w:space="0"/>
              <w:right w:val="single" w:color="auto" w:sz="4" w:space="0"/>
            </w:tcBorders>
            <w:noWrap w:val="0"/>
            <w:tcMar>
              <w:left w:w="108" w:type="dxa"/>
              <w:right w:w="108" w:type="dxa"/>
            </w:tcMar>
            <w:vAlign w:val="center"/>
          </w:tcPr>
          <w:p w14:paraId="15A706AD">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土壤污染程度</w:t>
            </w:r>
          </w:p>
        </w:tc>
        <w:tc>
          <w:tcPr>
            <w:tcW w:w="6611" w:type="dxa"/>
            <w:tcBorders>
              <w:top w:val="nil"/>
              <w:left w:val="nil"/>
              <w:bottom w:val="single" w:color="auto" w:sz="4" w:space="0"/>
              <w:right w:val="single" w:color="auto" w:sz="4" w:space="0"/>
            </w:tcBorders>
            <w:noWrap w:val="0"/>
            <w:tcMar>
              <w:left w:w="108" w:type="dxa"/>
              <w:right w:w="108" w:type="dxa"/>
            </w:tcMar>
            <w:vAlign w:val="center"/>
          </w:tcPr>
          <w:p w14:paraId="3DA2642F">
            <w:pPr>
              <w:widowControl/>
              <w:jc w:val="left"/>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无明显污染迹象。</w:t>
            </w:r>
          </w:p>
        </w:tc>
      </w:tr>
      <w:tr w14:paraId="770F264E">
        <w:trPr>
          <w:trHeight w:val="499" w:hRule="atLeast"/>
        </w:trPr>
        <w:tc>
          <w:tcPr>
            <w:tcW w:w="725" w:type="dxa"/>
            <w:vMerge w:val="continue"/>
            <w:tcBorders>
              <w:top w:val="single" w:color="auto" w:sz="4" w:space="0"/>
              <w:left w:val="single" w:color="auto" w:sz="4" w:space="0"/>
              <w:bottom w:val="single" w:color="auto" w:sz="4" w:space="0"/>
              <w:right w:val="single" w:color="auto" w:sz="4" w:space="0"/>
            </w:tcBorders>
            <w:noWrap w:val="0"/>
            <w:tcMar>
              <w:left w:w="108" w:type="dxa"/>
              <w:right w:w="108" w:type="dxa"/>
            </w:tcMar>
            <w:vAlign w:val="center"/>
          </w:tcPr>
          <w:p w14:paraId="25A84FFC"/>
        </w:tc>
        <w:tc>
          <w:tcPr>
            <w:tcW w:w="1950" w:type="dxa"/>
            <w:tcBorders>
              <w:top w:val="single" w:color="auto" w:sz="4" w:space="0"/>
              <w:left w:val="nil"/>
              <w:bottom w:val="single" w:color="auto" w:sz="4" w:space="0"/>
              <w:right w:val="single" w:color="auto" w:sz="4" w:space="0"/>
            </w:tcBorders>
            <w:noWrap w:val="0"/>
            <w:tcMar>
              <w:left w:w="108" w:type="dxa"/>
              <w:right w:w="108" w:type="dxa"/>
            </w:tcMar>
            <w:vAlign w:val="center"/>
          </w:tcPr>
          <w:p w14:paraId="5CF160A1">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地形坡度、坡向</w:t>
            </w:r>
          </w:p>
        </w:tc>
        <w:tc>
          <w:tcPr>
            <w:tcW w:w="6611" w:type="dxa"/>
            <w:tcBorders>
              <w:top w:val="nil"/>
              <w:left w:val="nil"/>
              <w:bottom w:val="single" w:color="auto" w:sz="4" w:space="0"/>
              <w:right w:val="single" w:color="auto" w:sz="4" w:space="0"/>
            </w:tcBorders>
            <w:noWrap w:val="0"/>
            <w:tcMar>
              <w:left w:w="108" w:type="dxa"/>
              <w:right w:w="108" w:type="dxa"/>
            </w:tcMar>
            <w:vAlign w:val="center"/>
          </w:tcPr>
          <w:p w14:paraId="59361A6A">
            <w:pPr>
              <w:widowControl/>
              <w:jc w:val="left"/>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平坦。</w:t>
            </w:r>
          </w:p>
        </w:tc>
      </w:tr>
      <w:tr w14:paraId="6AF06959">
        <w:trPr>
          <w:trHeight w:val="499" w:hRule="atLeast"/>
        </w:trPr>
        <w:tc>
          <w:tcPr>
            <w:tcW w:w="725" w:type="dxa"/>
            <w:vMerge w:val="continue"/>
            <w:tcBorders>
              <w:top w:val="single" w:color="auto" w:sz="4" w:space="0"/>
              <w:left w:val="single" w:color="auto" w:sz="4" w:space="0"/>
              <w:bottom w:val="single" w:color="auto" w:sz="4" w:space="0"/>
              <w:right w:val="single" w:color="auto" w:sz="4" w:space="0"/>
            </w:tcBorders>
            <w:noWrap w:val="0"/>
            <w:tcMar>
              <w:left w:w="108" w:type="dxa"/>
              <w:right w:w="108" w:type="dxa"/>
            </w:tcMar>
            <w:vAlign w:val="center"/>
          </w:tcPr>
          <w:p w14:paraId="26B722BF"/>
        </w:tc>
        <w:tc>
          <w:tcPr>
            <w:tcW w:w="1950" w:type="dxa"/>
            <w:tcBorders>
              <w:top w:val="single" w:color="auto" w:sz="4" w:space="0"/>
              <w:left w:val="nil"/>
              <w:bottom w:val="single" w:color="auto" w:sz="4" w:space="0"/>
              <w:right w:val="single" w:color="auto" w:sz="4" w:space="0"/>
            </w:tcBorders>
            <w:noWrap w:val="0"/>
            <w:tcMar>
              <w:left w:w="108" w:type="dxa"/>
              <w:right w:w="108" w:type="dxa"/>
            </w:tcMar>
            <w:vAlign w:val="center"/>
          </w:tcPr>
          <w:p w14:paraId="70F34AD4">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灌溉条件</w:t>
            </w:r>
          </w:p>
        </w:tc>
        <w:tc>
          <w:tcPr>
            <w:tcW w:w="6611" w:type="dxa"/>
            <w:tcBorders>
              <w:top w:val="nil"/>
              <w:left w:val="nil"/>
              <w:bottom w:val="single" w:color="auto" w:sz="4" w:space="0"/>
              <w:right w:val="single" w:color="auto" w:sz="4" w:space="0"/>
            </w:tcBorders>
            <w:noWrap w:val="0"/>
            <w:tcMar>
              <w:left w:w="108" w:type="dxa"/>
              <w:right w:w="108" w:type="dxa"/>
            </w:tcMar>
            <w:vAlign w:val="center"/>
          </w:tcPr>
          <w:p w14:paraId="1D224291">
            <w:pPr>
              <w:widowControl/>
              <w:jc w:val="left"/>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泥土明沟灌溉。</w:t>
            </w:r>
          </w:p>
        </w:tc>
      </w:tr>
      <w:tr w14:paraId="709CCE1F">
        <w:trPr>
          <w:trHeight w:val="499" w:hRule="atLeast"/>
        </w:trPr>
        <w:tc>
          <w:tcPr>
            <w:tcW w:w="725" w:type="dxa"/>
            <w:vMerge w:val="continue"/>
            <w:tcBorders>
              <w:top w:val="single" w:color="auto" w:sz="4" w:space="0"/>
              <w:left w:val="single" w:color="auto" w:sz="4" w:space="0"/>
              <w:bottom w:val="single" w:color="auto" w:sz="4" w:space="0"/>
              <w:right w:val="single" w:color="auto" w:sz="4" w:space="0"/>
            </w:tcBorders>
            <w:noWrap w:val="0"/>
            <w:tcMar>
              <w:left w:w="108" w:type="dxa"/>
              <w:right w:w="108" w:type="dxa"/>
            </w:tcMar>
            <w:vAlign w:val="center"/>
          </w:tcPr>
          <w:p w14:paraId="0FF4369C"/>
        </w:tc>
        <w:tc>
          <w:tcPr>
            <w:tcW w:w="1950" w:type="dxa"/>
            <w:tcBorders>
              <w:top w:val="single" w:color="auto" w:sz="4" w:space="0"/>
              <w:left w:val="nil"/>
              <w:bottom w:val="single" w:color="auto" w:sz="4" w:space="0"/>
              <w:right w:val="single" w:color="auto" w:sz="4" w:space="0"/>
            </w:tcBorders>
            <w:noWrap w:val="0"/>
            <w:tcMar>
              <w:left w:w="108" w:type="dxa"/>
              <w:right w:w="108" w:type="dxa"/>
            </w:tcMar>
            <w:vAlign w:val="center"/>
          </w:tcPr>
          <w:p w14:paraId="6B2AA220">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防洪排涝条件</w:t>
            </w:r>
          </w:p>
        </w:tc>
        <w:tc>
          <w:tcPr>
            <w:tcW w:w="6611" w:type="dxa"/>
            <w:tcBorders>
              <w:top w:val="nil"/>
              <w:left w:val="nil"/>
              <w:bottom w:val="single" w:color="auto" w:sz="4" w:space="0"/>
              <w:right w:val="single" w:color="auto" w:sz="4" w:space="0"/>
            </w:tcBorders>
            <w:noWrap w:val="0"/>
            <w:tcMar>
              <w:left w:w="108" w:type="dxa"/>
              <w:right w:w="108" w:type="dxa"/>
            </w:tcMar>
            <w:vAlign w:val="center"/>
          </w:tcPr>
          <w:p w14:paraId="5F75B4E8">
            <w:pPr>
              <w:widowControl/>
              <w:jc w:val="left"/>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无排水设施。</w:t>
            </w:r>
          </w:p>
        </w:tc>
      </w:tr>
      <w:tr w14:paraId="2EAD9E64">
        <w:trPr>
          <w:trHeight w:val="499" w:hRule="atLeast"/>
        </w:trPr>
        <w:tc>
          <w:tcPr>
            <w:tcW w:w="725" w:type="dxa"/>
            <w:vMerge w:val="continue"/>
            <w:tcBorders>
              <w:top w:val="single" w:color="auto" w:sz="4" w:space="0"/>
              <w:left w:val="single" w:color="auto" w:sz="4" w:space="0"/>
              <w:bottom w:val="single" w:color="auto" w:sz="4" w:space="0"/>
              <w:right w:val="single" w:color="auto" w:sz="4" w:space="0"/>
            </w:tcBorders>
            <w:noWrap w:val="0"/>
            <w:tcMar>
              <w:left w:w="108" w:type="dxa"/>
              <w:right w:w="108" w:type="dxa"/>
            </w:tcMar>
            <w:vAlign w:val="center"/>
          </w:tcPr>
          <w:p w14:paraId="635B672B"/>
        </w:tc>
        <w:tc>
          <w:tcPr>
            <w:tcW w:w="1950" w:type="dxa"/>
            <w:tcBorders>
              <w:top w:val="single" w:color="auto" w:sz="4" w:space="0"/>
              <w:left w:val="nil"/>
              <w:bottom w:val="single" w:color="auto" w:sz="4" w:space="0"/>
              <w:right w:val="single" w:color="auto" w:sz="4" w:space="0"/>
            </w:tcBorders>
            <w:noWrap w:val="0"/>
            <w:tcMar>
              <w:left w:w="108" w:type="dxa"/>
              <w:right w:w="108" w:type="dxa"/>
            </w:tcMar>
            <w:vAlign w:val="center"/>
          </w:tcPr>
          <w:p w14:paraId="7802CF69">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田间道路</w:t>
            </w:r>
          </w:p>
        </w:tc>
        <w:tc>
          <w:tcPr>
            <w:tcW w:w="6611" w:type="dxa"/>
            <w:tcBorders>
              <w:top w:val="nil"/>
              <w:left w:val="nil"/>
              <w:bottom w:val="single" w:color="auto" w:sz="4" w:space="0"/>
              <w:right w:val="single" w:color="auto" w:sz="4" w:space="0"/>
            </w:tcBorders>
            <w:noWrap w:val="0"/>
            <w:tcMar>
              <w:left w:w="108" w:type="dxa"/>
              <w:right w:w="108" w:type="dxa"/>
            </w:tcMar>
            <w:vAlign w:val="center"/>
          </w:tcPr>
          <w:p w14:paraId="69F2C931">
            <w:pPr>
              <w:widowControl/>
              <w:jc w:val="left"/>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有硬化宽度小于2.5m。</w:t>
            </w:r>
          </w:p>
        </w:tc>
      </w:tr>
      <w:tr w14:paraId="51E5D33D">
        <w:trPr>
          <w:trHeight w:val="499" w:hRule="atLeast"/>
        </w:trPr>
        <w:tc>
          <w:tcPr>
            <w:tcW w:w="725" w:type="dxa"/>
            <w:vMerge w:val="continue"/>
            <w:tcBorders>
              <w:top w:val="single" w:color="auto" w:sz="4" w:space="0"/>
              <w:left w:val="single" w:color="auto" w:sz="4" w:space="0"/>
              <w:bottom w:val="single" w:color="auto" w:sz="4" w:space="0"/>
              <w:right w:val="single" w:color="auto" w:sz="4" w:space="0"/>
            </w:tcBorders>
            <w:noWrap w:val="0"/>
            <w:tcMar>
              <w:left w:w="108" w:type="dxa"/>
              <w:right w:w="108" w:type="dxa"/>
            </w:tcMar>
            <w:vAlign w:val="center"/>
          </w:tcPr>
          <w:p w14:paraId="4CFE7C7B"/>
        </w:tc>
        <w:tc>
          <w:tcPr>
            <w:tcW w:w="1950" w:type="dxa"/>
            <w:tcBorders>
              <w:top w:val="single" w:color="auto" w:sz="4" w:space="0"/>
              <w:left w:val="nil"/>
              <w:bottom w:val="single" w:color="auto" w:sz="4" w:space="0"/>
              <w:right w:val="single" w:color="auto" w:sz="4" w:space="0"/>
            </w:tcBorders>
            <w:noWrap w:val="0"/>
            <w:tcMar>
              <w:left w:w="108" w:type="dxa"/>
              <w:right w:w="108" w:type="dxa"/>
            </w:tcMar>
            <w:vAlign w:val="center"/>
          </w:tcPr>
          <w:p w14:paraId="2B43E104">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通电情况</w:t>
            </w:r>
          </w:p>
        </w:tc>
        <w:tc>
          <w:tcPr>
            <w:tcW w:w="6611" w:type="dxa"/>
            <w:tcBorders>
              <w:top w:val="nil"/>
              <w:left w:val="nil"/>
              <w:bottom w:val="single" w:color="auto" w:sz="4" w:space="0"/>
              <w:right w:val="single" w:color="auto" w:sz="4" w:space="0"/>
            </w:tcBorders>
            <w:noWrap w:val="0"/>
            <w:tcMar>
              <w:left w:w="108" w:type="dxa"/>
              <w:right w:w="108" w:type="dxa"/>
            </w:tcMar>
            <w:vAlign w:val="center"/>
          </w:tcPr>
          <w:p w14:paraId="25AAC624">
            <w:pPr>
              <w:widowControl/>
              <w:jc w:val="left"/>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通电。</w:t>
            </w:r>
          </w:p>
        </w:tc>
      </w:tr>
    </w:tbl>
    <w:p w14:paraId="407C8665"/>
    <w:p w14:paraId="141F4E7B">
      <w:pPr>
        <w:spacing w:line="560" w:lineRule="exact"/>
        <w:ind w:firstLine="560" w:firstLineChars="200"/>
        <w:jc w:val="left"/>
        <w:rPr>
          <w:rFonts w:ascii="楷体" w:hAnsi="楷体" w:eastAsia="楷体"/>
          <w:bCs/>
          <w:sz w:val="28"/>
          <w:szCs w:val="28"/>
        </w:rPr>
      </w:pPr>
      <w:r>
        <w:rPr>
          <w:rFonts w:hint="eastAsia" w:ascii="楷体" w:hAnsi="楷体" w:eastAsia="楷体"/>
          <w:bCs/>
          <w:sz w:val="28"/>
          <w:szCs w:val="28"/>
        </w:rPr>
        <w:t>3</w:t>
      </w:r>
      <w:r>
        <w:rPr>
          <w:rFonts w:ascii="楷体" w:hAnsi="楷体" w:eastAsia="楷体"/>
          <w:bCs/>
          <w:sz w:val="28"/>
          <w:szCs w:val="28"/>
        </w:rPr>
        <w:t>.</w:t>
      </w:r>
      <w:r>
        <w:rPr>
          <w:rFonts w:hint="eastAsia" w:ascii="楷体" w:hAnsi="楷体" w:eastAsia="楷体"/>
          <w:bCs/>
          <w:sz w:val="28"/>
          <w:szCs w:val="28"/>
        </w:rPr>
        <w:t>权益状况</w:t>
      </w:r>
    </w:p>
    <w:tbl>
      <w:tblPr>
        <w:tblStyle w:val="2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26"/>
        <w:gridCol w:w="1944"/>
        <w:gridCol w:w="6615"/>
      </w:tblGrid>
      <w:tr w14:paraId="1CCC5A1D">
        <w:trPr>
          <w:trHeight w:val="499" w:hRule="atLeast"/>
        </w:trPr>
        <w:tc>
          <w:tcPr>
            <w:tcW w:w="726" w:type="dxa"/>
            <w:vMerge w:val="restart"/>
            <w:tcBorders>
              <w:top w:val="single" w:color="auto" w:sz="4" w:space="0"/>
              <w:left w:val="single" w:color="auto" w:sz="4" w:space="0"/>
              <w:bottom w:val="single" w:color="auto" w:sz="4" w:space="0"/>
              <w:right w:val="single" w:color="auto" w:sz="4" w:space="0"/>
            </w:tcBorders>
            <w:noWrap w:val="0"/>
            <w:tcMar>
              <w:left w:w="108" w:type="dxa"/>
              <w:right w:w="108" w:type="dxa"/>
            </w:tcMar>
            <w:vAlign w:val="center"/>
          </w:tcPr>
          <w:p w14:paraId="368FBFA9">
            <w:pPr>
              <w:keepNext w:val="0"/>
              <w:keepLines w:val="0"/>
              <w:widowControl/>
              <w:suppressLineNumbers w:val="0"/>
              <w:jc w:val="center"/>
              <w:textAlignment w:val="center"/>
            </w:pPr>
            <w:bookmarkStart w:id="67" w:name="_Toc8975"/>
            <w:r>
              <w:rPr>
                <w:rFonts w:hint="eastAsia" w:ascii="楷体" w:hAnsi="楷体" w:eastAsia="楷体" w:cs="楷体"/>
                <w:color w:val="000000"/>
                <w:kern w:val="0"/>
                <w:sz w:val="20"/>
                <w:lang w:val="en-US" w:eastAsia="zh-CN" w:bidi="ar"/>
              </w:rPr>
              <w:t>基本情况</w:t>
            </w:r>
          </w:p>
        </w:tc>
        <w:tc>
          <w:tcPr>
            <w:tcW w:w="1944" w:type="dxa"/>
            <w:tcBorders>
              <w:top w:val="single" w:color="auto" w:sz="4" w:space="0"/>
              <w:left w:val="nil"/>
              <w:bottom w:val="single" w:color="auto" w:sz="4" w:space="0"/>
              <w:right w:val="single" w:color="auto" w:sz="4" w:space="0"/>
            </w:tcBorders>
            <w:noWrap w:val="0"/>
            <w:tcMar>
              <w:left w:w="108" w:type="dxa"/>
              <w:right w:w="108" w:type="dxa"/>
            </w:tcMar>
            <w:vAlign w:val="center"/>
          </w:tcPr>
          <w:p w14:paraId="7A882EA4">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是否取得产权证书</w:t>
            </w:r>
          </w:p>
        </w:tc>
        <w:tc>
          <w:tcPr>
            <w:tcW w:w="6615" w:type="dxa"/>
            <w:tcBorders>
              <w:top w:val="single" w:color="auto" w:sz="4" w:space="0"/>
              <w:left w:val="nil"/>
              <w:bottom w:val="single" w:color="auto" w:sz="4" w:space="0"/>
              <w:right w:val="single" w:color="auto" w:sz="4" w:space="0"/>
            </w:tcBorders>
            <w:noWrap w:val="0"/>
            <w:tcMar>
              <w:left w:w="108" w:type="dxa"/>
              <w:right w:w="108" w:type="dxa"/>
            </w:tcMar>
            <w:vAlign w:val="center"/>
          </w:tcPr>
          <w:p w14:paraId="3E77EBBD">
            <w:pPr>
              <w:widowControl/>
              <w:jc w:val="left"/>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估价对象未取得《不动产权证》</w:t>
            </w:r>
          </w:p>
        </w:tc>
      </w:tr>
      <w:tr w14:paraId="7784FA1A">
        <w:trPr>
          <w:trHeight w:val="499" w:hRule="atLeast"/>
        </w:trPr>
        <w:tc>
          <w:tcPr>
            <w:tcW w:w="726" w:type="dxa"/>
            <w:vMerge w:val="continue"/>
            <w:tcBorders>
              <w:top w:val="single" w:color="auto" w:sz="4" w:space="0"/>
              <w:left w:val="single" w:color="auto" w:sz="4" w:space="0"/>
              <w:bottom w:val="single" w:color="auto" w:sz="4" w:space="0"/>
              <w:right w:val="single" w:color="auto" w:sz="4" w:space="0"/>
            </w:tcBorders>
            <w:noWrap w:val="0"/>
            <w:tcMar>
              <w:left w:w="108" w:type="dxa"/>
              <w:right w:w="108" w:type="dxa"/>
            </w:tcMar>
            <w:vAlign w:val="center"/>
          </w:tcPr>
          <w:p w14:paraId="2ADF60E3"/>
        </w:tc>
        <w:tc>
          <w:tcPr>
            <w:tcW w:w="1944" w:type="dxa"/>
            <w:tcBorders>
              <w:top w:val="nil"/>
              <w:left w:val="nil"/>
              <w:bottom w:val="single" w:color="auto" w:sz="4" w:space="0"/>
              <w:right w:val="single" w:color="auto" w:sz="4" w:space="0"/>
            </w:tcBorders>
            <w:noWrap w:val="0"/>
            <w:tcMar>
              <w:left w:w="108" w:type="dxa"/>
              <w:right w:w="108" w:type="dxa"/>
            </w:tcMar>
            <w:vAlign w:val="center"/>
          </w:tcPr>
          <w:p w14:paraId="7FA94BC2">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权利人</w:t>
            </w:r>
          </w:p>
        </w:tc>
        <w:tc>
          <w:tcPr>
            <w:tcW w:w="6615" w:type="dxa"/>
            <w:tcBorders>
              <w:top w:val="single" w:color="auto" w:sz="4" w:space="0"/>
              <w:left w:val="nil"/>
              <w:bottom w:val="single" w:color="auto" w:sz="4" w:space="0"/>
              <w:right w:val="single" w:color="auto" w:sz="4" w:space="0"/>
            </w:tcBorders>
            <w:noWrap w:val="0"/>
            <w:tcMar>
              <w:left w:w="108" w:type="dxa"/>
              <w:right w:w="108" w:type="dxa"/>
            </w:tcMar>
            <w:vAlign w:val="center"/>
          </w:tcPr>
          <w:p w14:paraId="488D01A1">
            <w:pPr>
              <w:widowControl/>
              <w:jc w:val="left"/>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 owner }}</w:t>
            </w:r>
          </w:p>
        </w:tc>
      </w:tr>
      <w:tr w14:paraId="603B80D0">
        <w:trPr>
          <w:trHeight w:val="499" w:hRule="atLeast"/>
        </w:trPr>
        <w:tc>
          <w:tcPr>
            <w:tcW w:w="726" w:type="dxa"/>
            <w:vMerge w:val="continue"/>
            <w:tcBorders>
              <w:top w:val="single" w:color="auto" w:sz="4" w:space="0"/>
              <w:left w:val="single" w:color="auto" w:sz="4" w:space="0"/>
              <w:bottom w:val="single" w:color="auto" w:sz="4" w:space="0"/>
              <w:right w:val="single" w:color="auto" w:sz="4" w:space="0"/>
            </w:tcBorders>
            <w:noWrap w:val="0"/>
            <w:tcMar>
              <w:left w:w="108" w:type="dxa"/>
              <w:right w:w="108" w:type="dxa"/>
            </w:tcMar>
            <w:vAlign w:val="center"/>
          </w:tcPr>
          <w:p w14:paraId="3FCC9DEC"/>
        </w:tc>
        <w:tc>
          <w:tcPr>
            <w:tcW w:w="1944" w:type="dxa"/>
            <w:tcBorders>
              <w:top w:val="nil"/>
              <w:left w:val="nil"/>
              <w:bottom w:val="single" w:color="auto" w:sz="4" w:space="0"/>
              <w:right w:val="single" w:color="auto" w:sz="4" w:space="0"/>
            </w:tcBorders>
            <w:noWrap w:val="0"/>
            <w:tcMar>
              <w:left w:w="108" w:type="dxa"/>
              <w:right w:w="108" w:type="dxa"/>
            </w:tcMar>
            <w:vAlign w:val="center"/>
          </w:tcPr>
          <w:p w14:paraId="15721041">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设定出租用途</w:t>
            </w:r>
          </w:p>
        </w:tc>
        <w:tc>
          <w:tcPr>
            <w:tcW w:w="6615" w:type="dxa"/>
            <w:tcBorders>
              <w:top w:val="single" w:color="auto" w:sz="4" w:space="0"/>
              <w:left w:val="nil"/>
              <w:bottom w:val="single" w:color="auto" w:sz="4" w:space="0"/>
              <w:right w:val="single" w:color="auto" w:sz="4" w:space="0"/>
            </w:tcBorders>
            <w:noWrap w:val="0"/>
            <w:tcMar>
              <w:left w:w="108" w:type="dxa"/>
              <w:right w:w="108" w:type="dxa"/>
            </w:tcMar>
            <w:vAlign w:val="center"/>
          </w:tcPr>
          <w:p w14:paraId="0DEAD35B">
            <w:pPr>
              <w:widowControl/>
              <w:jc w:val="left"/>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 usage }}</w:t>
            </w:r>
          </w:p>
        </w:tc>
      </w:tr>
      <w:tr w14:paraId="6E9DFC00">
        <w:trPr>
          <w:trHeight w:val="499" w:hRule="atLeast"/>
        </w:trPr>
        <w:tc>
          <w:tcPr>
            <w:tcW w:w="726" w:type="dxa"/>
            <w:vMerge w:val="continue"/>
            <w:tcBorders>
              <w:top w:val="single" w:color="auto" w:sz="4" w:space="0"/>
              <w:left w:val="single" w:color="auto" w:sz="4" w:space="0"/>
              <w:bottom w:val="single" w:color="auto" w:sz="4" w:space="0"/>
              <w:right w:val="single" w:color="auto" w:sz="4" w:space="0"/>
            </w:tcBorders>
            <w:noWrap w:val="0"/>
            <w:tcMar>
              <w:left w:w="108" w:type="dxa"/>
              <w:right w:w="108" w:type="dxa"/>
            </w:tcMar>
            <w:vAlign w:val="center"/>
          </w:tcPr>
          <w:p w14:paraId="769BEB47"/>
        </w:tc>
        <w:tc>
          <w:tcPr>
            <w:tcW w:w="1944" w:type="dxa"/>
            <w:tcBorders>
              <w:top w:val="nil"/>
              <w:left w:val="nil"/>
              <w:bottom w:val="single" w:color="auto" w:sz="4" w:space="0"/>
              <w:right w:val="single" w:color="auto" w:sz="4" w:space="0"/>
            </w:tcBorders>
            <w:noWrap w:val="0"/>
            <w:tcMar>
              <w:left w:w="108" w:type="dxa"/>
              <w:right w:w="108" w:type="dxa"/>
            </w:tcMar>
            <w:vAlign w:val="center"/>
          </w:tcPr>
          <w:p w14:paraId="62B7B018">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估价对象规模</w:t>
            </w:r>
          </w:p>
        </w:tc>
        <w:tc>
          <w:tcPr>
            <w:tcW w:w="6615" w:type="dxa"/>
            <w:tcBorders>
              <w:top w:val="single" w:color="auto" w:sz="4" w:space="0"/>
              <w:left w:val="nil"/>
              <w:bottom w:val="single" w:color="auto" w:sz="4" w:space="0"/>
              <w:right w:val="single" w:color="auto" w:sz="4" w:space="0"/>
            </w:tcBorders>
            <w:noWrap w:val="0"/>
            <w:tcMar>
              <w:left w:w="108" w:type="dxa"/>
              <w:right w:w="108" w:type="dxa"/>
            </w:tcMar>
            <w:vAlign w:val="center"/>
          </w:tcPr>
          <w:p w14:paraId="6C7CF6AE">
            <w:pPr>
              <w:widowControl/>
              <w:jc w:val="left"/>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土地使用权面积50.00亩</w:t>
            </w:r>
          </w:p>
        </w:tc>
      </w:tr>
      <w:tr w14:paraId="62F15E78">
        <w:trPr>
          <w:trHeight w:val="499" w:hRule="atLeast"/>
        </w:trPr>
        <w:tc>
          <w:tcPr>
            <w:tcW w:w="726" w:type="dxa"/>
            <w:vMerge w:val="continue"/>
            <w:tcBorders>
              <w:top w:val="single" w:color="auto" w:sz="4" w:space="0"/>
              <w:left w:val="single" w:color="auto" w:sz="4" w:space="0"/>
              <w:bottom w:val="single" w:color="auto" w:sz="4" w:space="0"/>
              <w:right w:val="single" w:color="auto" w:sz="4" w:space="0"/>
            </w:tcBorders>
            <w:noWrap w:val="0"/>
            <w:tcMar>
              <w:left w:w="108" w:type="dxa"/>
              <w:right w:w="108" w:type="dxa"/>
            </w:tcMar>
            <w:vAlign w:val="center"/>
          </w:tcPr>
          <w:p w14:paraId="234F2AC8"/>
        </w:tc>
        <w:tc>
          <w:tcPr>
            <w:tcW w:w="1944" w:type="dxa"/>
            <w:tcBorders>
              <w:top w:val="nil"/>
              <w:left w:val="nil"/>
              <w:bottom w:val="single" w:color="auto" w:sz="4" w:space="0"/>
              <w:right w:val="single" w:color="auto" w:sz="4" w:space="0"/>
            </w:tcBorders>
            <w:noWrap w:val="0"/>
            <w:tcMar>
              <w:left w:w="108" w:type="dxa"/>
              <w:right w:w="108" w:type="dxa"/>
            </w:tcMar>
            <w:vAlign w:val="center"/>
          </w:tcPr>
          <w:p w14:paraId="6814AE7E">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现使用状况</w:t>
            </w:r>
          </w:p>
        </w:tc>
        <w:tc>
          <w:tcPr>
            <w:tcW w:w="6615" w:type="dxa"/>
            <w:tcBorders>
              <w:top w:val="single" w:color="auto" w:sz="4" w:space="0"/>
              <w:left w:val="nil"/>
              <w:bottom w:val="single" w:color="auto" w:sz="4" w:space="0"/>
              <w:right w:val="single" w:color="auto" w:sz="4" w:space="0"/>
            </w:tcBorders>
            <w:noWrap w:val="0"/>
            <w:tcMar>
              <w:left w:w="108" w:type="dxa"/>
              <w:right w:w="108" w:type="dxa"/>
            </w:tcMar>
            <w:vAlign w:val="center"/>
          </w:tcPr>
          <w:p w14:paraId="7009A275">
            <w:pPr>
              <w:widowControl/>
              <w:jc w:val="left"/>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至价值时点，估价对象处于出租使用状态。</w:t>
            </w:r>
          </w:p>
        </w:tc>
      </w:tr>
      <w:tr w14:paraId="39A4E356">
        <w:trPr>
          <w:trHeight w:val="499" w:hRule="atLeast"/>
        </w:trPr>
        <w:tc>
          <w:tcPr>
            <w:tcW w:w="726" w:type="dxa"/>
            <w:vMerge w:val="restart"/>
            <w:tcBorders>
              <w:top w:val="single" w:color="auto" w:sz="4" w:space="0"/>
              <w:left w:val="single" w:color="auto" w:sz="4" w:space="0"/>
              <w:bottom w:val="single" w:color="auto" w:sz="4" w:space="0"/>
              <w:right w:val="single" w:color="auto" w:sz="4" w:space="0"/>
            </w:tcBorders>
            <w:shd w:val="clear" w:color="auto" w:fill="auto"/>
            <w:noWrap w:val="0"/>
            <w:tcMar>
              <w:left w:w="108" w:type="dxa"/>
              <w:right w:w="108" w:type="dxa"/>
            </w:tcMar>
            <w:vAlign w:val="center"/>
          </w:tcPr>
          <w:p w14:paraId="332D2FB8">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权益状况</w:t>
            </w:r>
          </w:p>
        </w:tc>
        <w:tc>
          <w:tcPr>
            <w:tcW w:w="1944" w:type="dxa"/>
            <w:tcBorders>
              <w:top w:val="single" w:color="auto" w:sz="4" w:space="0"/>
              <w:left w:val="nil"/>
              <w:bottom w:val="single" w:color="auto" w:sz="4" w:space="0"/>
              <w:right w:val="single" w:color="auto" w:sz="4" w:space="0"/>
            </w:tcBorders>
            <w:shd w:val="clear" w:color="auto" w:fill="auto"/>
            <w:noWrap w:val="0"/>
            <w:tcMar>
              <w:left w:w="108" w:type="dxa"/>
              <w:right w:w="108" w:type="dxa"/>
            </w:tcMar>
            <w:vAlign w:val="center"/>
          </w:tcPr>
          <w:p w14:paraId="0E3BBCB6">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是否存在不利影响</w:t>
            </w:r>
          </w:p>
        </w:tc>
        <w:tc>
          <w:tcPr>
            <w:tcW w:w="6615" w:type="dxa"/>
            <w:tcBorders>
              <w:top w:val="single" w:color="auto" w:sz="4" w:space="0"/>
              <w:left w:val="nil"/>
              <w:bottom w:val="single" w:color="auto" w:sz="4" w:space="0"/>
              <w:right w:val="single" w:color="auto" w:sz="4" w:space="0"/>
            </w:tcBorders>
            <w:shd w:val="clear" w:color="000000" w:fill="FFFFFF"/>
            <w:noWrap w:val="0"/>
            <w:tcMar>
              <w:left w:w="108" w:type="dxa"/>
              <w:right w:w="108" w:type="dxa"/>
            </w:tcMar>
            <w:vAlign w:val="center"/>
          </w:tcPr>
          <w:p w14:paraId="27941329">
            <w:pPr>
              <w:widowControl/>
              <w:jc w:val="left"/>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无不利使用限制</w:t>
            </w:r>
          </w:p>
        </w:tc>
      </w:tr>
      <w:tr w14:paraId="02C7FF00">
        <w:trPr>
          <w:trHeight w:val="499" w:hRule="atLeast"/>
        </w:trPr>
        <w:tc>
          <w:tcPr>
            <w:tcW w:w="726" w:type="dxa"/>
            <w:vMerge w:val="continue"/>
            <w:tcBorders>
              <w:top w:val="single" w:color="auto" w:sz="4" w:space="0"/>
              <w:left w:val="single" w:color="auto" w:sz="4" w:space="0"/>
              <w:bottom w:val="single" w:color="auto" w:sz="4" w:space="0"/>
              <w:right w:val="single" w:color="auto" w:sz="4" w:space="0"/>
            </w:tcBorders>
            <w:noWrap w:val="0"/>
            <w:tcMar>
              <w:left w:w="108" w:type="dxa"/>
              <w:right w:w="108" w:type="dxa"/>
            </w:tcMar>
            <w:vAlign w:val="center"/>
          </w:tcPr>
          <w:p w14:paraId="06E21CCF"/>
        </w:tc>
        <w:tc>
          <w:tcPr>
            <w:tcW w:w="1944" w:type="dxa"/>
            <w:tcBorders>
              <w:top w:val="single" w:color="auto" w:sz="4" w:space="0"/>
              <w:left w:val="nil"/>
              <w:bottom w:val="single" w:color="auto" w:sz="4" w:space="0"/>
              <w:right w:val="single" w:color="auto" w:sz="4" w:space="0"/>
            </w:tcBorders>
            <w:noWrap w:val="0"/>
            <w:tcMar>
              <w:left w:w="108" w:type="dxa"/>
              <w:right w:w="108" w:type="dxa"/>
            </w:tcMar>
            <w:vAlign w:val="center"/>
          </w:tcPr>
          <w:p w14:paraId="2CB67992">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特殊约定（种植要求等）</w:t>
            </w:r>
          </w:p>
        </w:tc>
        <w:tc>
          <w:tcPr>
            <w:tcW w:w="6615" w:type="dxa"/>
            <w:tcBorders>
              <w:top w:val="nil"/>
              <w:left w:val="nil"/>
              <w:bottom w:val="single" w:color="auto" w:sz="4" w:space="0"/>
              <w:right w:val="single" w:color="auto" w:sz="4" w:space="0"/>
            </w:tcBorders>
            <w:noWrap w:val="0"/>
            <w:tcMar>
              <w:left w:w="108" w:type="dxa"/>
              <w:right w:w="108" w:type="dxa"/>
            </w:tcMar>
            <w:vAlign w:val="center"/>
          </w:tcPr>
          <w:p w14:paraId="467B7615">
            <w:pPr>
              <w:widowControl/>
              <w:jc w:val="left"/>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特殊约定。</w:t>
            </w:r>
          </w:p>
        </w:tc>
      </w:tr>
      <w:tr w14:paraId="577FBCC5">
        <w:trPr>
          <w:trHeight w:val="499" w:hRule="atLeast"/>
        </w:trPr>
        <w:tc>
          <w:tcPr>
            <w:tcW w:w="726" w:type="dxa"/>
            <w:vMerge w:val="continue"/>
            <w:tcBorders>
              <w:top w:val="single" w:color="auto" w:sz="4" w:space="0"/>
              <w:left w:val="single" w:color="auto" w:sz="4" w:space="0"/>
              <w:bottom w:val="single" w:color="auto" w:sz="4" w:space="0"/>
              <w:right w:val="single" w:color="auto" w:sz="4" w:space="0"/>
            </w:tcBorders>
            <w:noWrap w:val="0"/>
            <w:tcMar>
              <w:left w:w="108" w:type="dxa"/>
              <w:right w:w="108" w:type="dxa"/>
            </w:tcMar>
            <w:vAlign w:val="center"/>
          </w:tcPr>
          <w:p w14:paraId="1A7A223D"/>
        </w:tc>
        <w:tc>
          <w:tcPr>
            <w:tcW w:w="1944" w:type="dxa"/>
            <w:tcBorders>
              <w:top w:val="single" w:color="auto" w:sz="4" w:space="0"/>
              <w:left w:val="nil"/>
              <w:bottom w:val="single" w:color="auto" w:sz="4" w:space="0"/>
              <w:right w:val="single" w:color="auto" w:sz="4" w:space="0"/>
            </w:tcBorders>
            <w:noWrap w:val="0"/>
            <w:tcMar>
              <w:left w:w="108" w:type="dxa"/>
              <w:right w:w="108" w:type="dxa"/>
            </w:tcMar>
            <w:vAlign w:val="center"/>
          </w:tcPr>
          <w:p w14:paraId="63B18292">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相邻关系限制</w:t>
            </w:r>
          </w:p>
        </w:tc>
        <w:tc>
          <w:tcPr>
            <w:tcW w:w="6615" w:type="dxa"/>
            <w:tcBorders>
              <w:top w:val="nil"/>
              <w:left w:val="nil"/>
              <w:bottom w:val="single" w:color="auto" w:sz="4" w:space="0"/>
              <w:right w:val="single" w:color="auto" w:sz="4" w:space="0"/>
            </w:tcBorders>
            <w:noWrap w:val="0"/>
            <w:tcMar>
              <w:left w:w="108" w:type="dxa"/>
              <w:right w:w="108" w:type="dxa"/>
            </w:tcMar>
            <w:vAlign w:val="center"/>
          </w:tcPr>
          <w:p w14:paraId="6FD9174B">
            <w:pPr>
              <w:widowControl/>
              <w:jc w:val="left"/>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无地役权，没有相邻权受限或纠纷。</w:t>
            </w:r>
          </w:p>
        </w:tc>
      </w:tr>
    </w:tbl>
    <w:p w14:paraId="1203E3BC"/>
    <w:p w14:paraId="6BE3CF25">
      <w:pPr>
        <w:spacing w:before="156" w:beforeLines="50" w:line="560" w:lineRule="exact"/>
        <w:jc w:val="left"/>
        <w:outlineLvl w:val="1"/>
        <w:rPr>
          <w:rFonts w:hint="eastAsia" w:ascii="楷体" w:hAnsi="楷体" w:eastAsia="楷体"/>
          <w:b/>
          <w:bCs/>
          <w:sz w:val="28"/>
          <w:szCs w:val="28"/>
        </w:rPr>
      </w:pPr>
      <w:r>
        <w:rPr>
          <w:rFonts w:hint="eastAsia" w:ascii="楷体" w:hAnsi="楷体" w:eastAsia="楷体"/>
          <w:b/>
          <w:bCs/>
          <w:sz w:val="28"/>
          <w:szCs w:val="28"/>
        </w:rPr>
        <w:t>五、价值时点</w:t>
      </w:r>
      <w:bookmarkEnd w:id="65"/>
      <w:bookmarkEnd w:id="66"/>
      <w:bookmarkEnd w:id="67"/>
    </w:p>
    <w:p w14:paraId="340AE886">
      <w:pPr>
        <w:spacing w:line="560" w:lineRule="exact"/>
        <w:ind w:firstLine="560" w:firstLineChars="200"/>
        <w:jc w:val="left"/>
      </w:pPr>
      <w:bookmarkStart w:id="68" w:name="_Toc221710861_ai"/>
      <w:r>
        <w:rPr>
          <w:rFonts w:hint="eastAsia" w:ascii="楷体" w:hAnsi="楷体" w:eastAsia="楷体" w:cs="宋体"/>
          <w:kern w:val="2"/>
          <w:sz w:val="28"/>
          <w:szCs w:val="28"/>
          <w:lang w:val="en-US" w:eastAsia="zh-CN" w:bidi="ar-SA"/>
        </w:rPr>
        <w:t>2026年4月20日。</w:t>
      </w:r>
      <w:bookmarkEnd w:id="68"/>
    </w:p>
    <w:p w14:paraId="41553319">
      <w:pPr>
        <w:spacing w:line="560" w:lineRule="exact"/>
        <w:ind w:firstLine="560" w:firstLineChars="200"/>
        <w:jc w:val="left"/>
        <w:rPr>
          <w:rFonts w:hint="eastAsia" w:ascii="楷体" w:hAnsi="楷体" w:eastAsia="楷体"/>
          <w:bCs/>
          <w:kern w:val="2"/>
          <w:sz w:val="28"/>
          <w:szCs w:val="28"/>
          <w:lang w:val="en-US" w:eastAsia="zh-CN" w:bidi="ar-SA"/>
        </w:rPr>
      </w:pPr>
      <w:bookmarkStart w:id="69" w:name="_Toc221710862"/>
      <w:bookmarkStart w:id="70" w:name="_Toc11524"/>
      <w:bookmarkStart w:id="71" w:name="_Toc484941667"/>
      <w:bookmarkStart w:id="72" w:name="_Toc505087759"/>
      <w:r>
        <w:rPr>
          <w:rFonts w:hint="eastAsia" w:ascii="楷体" w:hAnsi="楷体" w:eastAsia="楷体" w:cs="宋体"/>
          <w:kern w:val="2"/>
          <w:sz w:val="28"/>
          <w:szCs w:val="28"/>
          <w:lang w:val="en-US" w:eastAsia="zh-CN" w:bidi="ar-SA"/>
        </w:rPr>
        <w:t>因本次估价目的为确定房地产租赁价值提供参考依据。经与估价委托人协商，价值时点为完成估价对象查勘之日，故本次估价以实地查勘之日2026年4月20日作为价值时点。</w:t>
      </w:r>
    </w:p>
    <w:p w14:paraId="3654EB1A">
      <w:pPr>
        <w:spacing w:before="156" w:beforeLines="50" w:line="560" w:lineRule="exact"/>
        <w:jc w:val="left"/>
        <w:outlineLvl w:val="1"/>
        <w:rPr>
          <w:rFonts w:hint="eastAsia" w:ascii="楷体" w:hAnsi="楷体" w:eastAsia="楷体"/>
          <w:b/>
          <w:bCs/>
          <w:sz w:val="28"/>
          <w:szCs w:val="28"/>
        </w:rPr>
      </w:pPr>
      <w:r>
        <w:rPr>
          <w:rFonts w:hint="eastAsia" w:ascii="楷体" w:hAnsi="楷体" w:eastAsia="楷体"/>
          <w:b/>
          <w:bCs/>
          <w:sz w:val="28"/>
          <w:szCs w:val="28"/>
        </w:rPr>
        <w:t>六、价值类型</w:t>
      </w:r>
      <w:bookmarkEnd w:id="69"/>
      <w:bookmarkEnd w:id="70"/>
      <w:bookmarkEnd w:id="71"/>
      <w:bookmarkEnd w:id="72"/>
    </w:p>
    <w:p w14:paraId="77B3312B">
      <w:pPr>
        <w:spacing w:line="560" w:lineRule="exact"/>
        <w:ind w:firstLine="600"/>
        <w:rPr>
          <w:rFonts w:hint="eastAsia" w:ascii="楷体" w:hAnsi="楷体" w:eastAsia="楷体"/>
          <w:sz w:val="28"/>
          <w:szCs w:val="28"/>
        </w:rPr>
      </w:pPr>
      <w:r>
        <w:rPr>
          <w:rFonts w:hint="eastAsia" w:ascii="楷体" w:hAnsi="楷体" w:eastAsia="楷体"/>
          <w:sz w:val="28"/>
          <w:szCs w:val="28"/>
        </w:rPr>
        <w:t>1.价值名称：市场租赁价值。</w:t>
      </w:r>
    </w:p>
    <w:p w14:paraId="56F45A70">
      <w:pPr>
        <w:spacing w:line="560" w:lineRule="exact"/>
        <w:ind w:firstLine="600"/>
        <w:rPr>
          <w:rFonts w:hint="eastAsia" w:ascii="楷体" w:hAnsi="楷体" w:eastAsia="楷体"/>
          <w:sz w:val="28"/>
          <w:szCs w:val="28"/>
        </w:rPr>
      </w:pPr>
      <w:r>
        <w:rPr>
          <w:rFonts w:hint="eastAsia" w:ascii="楷体" w:hAnsi="楷体" w:eastAsia="楷体"/>
          <w:sz w:val="28"/>
          <w:szCs w:val="28"/>
        </w:rPr>
        <w:t>2.价值内涵：是指在公开市场上由熟悉情况且不受强迫的租赁双方，在租赁条件下自愿达成的在价值时点的最可能的租赁金额。</w:t>
      </w:r>
    </w:p>
    <w:p w14:paraId="389C888D">
      <w:pPr>
        <w:spacing w:line="500" w:lineRule="exact"/>
        <w:ind w:firstLine="560" w:firstLineChars="200"/>
        <w:jc w:val="left"/>
        <w:rPr>
          <w:rFonts w:hint="eastAsia" w:ascii="楷体" w:hAnsi="楷体" w:eastAsia="楷体" w:cs="仿宋"/>
          <w:kern w:val="2"/>
          <w:sz w:val="28"/>
          <w:szCs w:val="28"/>
          <w:lang w:val="en-US" w:eastAsia="zh-CN" w:bidi="ar-SA"/>
        </w:rPr>
      </w:pPr>
      <w:r>
        <w:rPr>
          <w:rFonts w:hint="eastAsia" w:ascii="楷体" w:hAnsi="楷体" w:eastAsia="楷体" w:cs="宋体"/>
          <w:kern w:val="2"/>
          <w:sz w:val="28"/>
          <w:szCs w:val="28"/>
          <w:lang w:val="en-US" w:eastAsia="zh-CN" w:bidi="ar-SA"/>
        </w:rPr>
        <w:t>本次估价范围包含土地使用权，不包含水电费、债权债务、特许经营权等其他权利。</w:t>
      </w:r>
    </w:p>
    <w:p w14:paraId="0E6C23F3">
      <w:pPr>
        <w:spacing w:line="500" w:lineRule="exact"/>
        <w:ind w:firstLine="560" w:firstLineChars="200"/>
        <w:jc w:val="left"/>
        <w:rPr>
          <w:rFonts w:hint="eastAsia" w:ascii="楷体" w:hAnsi="楷体" w:eastAsia="楷体" w:cs="仿宋"/>
          <w:sz w:val="28"/>
          <w:szCs w:val="28"/>
        </w:rPr>
      </w:pPr>
      <w:r>
        <w:rPr>
          <w:rFonts w:hint="eastAsia" w:ascii="楷体" w:hAnsi="楷体" w:eastAsia="楷体" w:cs="仿宋"/>
          <w:sz w:val="28"/>
          <w:szCs w:val="28"/>
        </w:rPr>
        <w:t>①租赁用途和使用要求：按估价对象设定出租用途使用；</w:t>
      </w:r>
    </w:p>
    <w:p w14:paraId="5EBFC250">
      <w:pPr>
        <w:spacing w:line="500" w:lineRule="exact"/>
        <w:ind w:firstLine="560" w:firstLineChars="200"/>
        <w:jc w:val="left"/>
        <w:rPr>
          <w:rFonts w:hint="eastAsia" w:ascii="楷体" w:hAnsi="楷体" w:eastAsia="楷体" w:cs="仿宋"/>
          <w:sz w:val="28"/>
          <w:szCs w:val="28"/>
        </w:rPr>
      </w:pPr>
      <w:r>
        <w:rPr>
          <w:rFonts w:hint="eastAsia" w:ascii="楷体" w:hAnsi="楷体" w:eastAsia="楷体" w:cs="仿宋"/>
          <w:sz w:val="28"/>
          <w:szCs w:val="28"/>
        </w:rPr>
        <w:t>②包含正常出租该房地产应缴税费；</w:t>
      </w:r>
    </w:p>
    <w:p w14:paraId="169DDC95">
      <w:pPr>
        <w:spacing w:line="500" w:lineRule="exact"/>
        <w:ind w:firstLine="560" w:firstLineChars="200"/>
        <w:jc w:val="left"/>
        <w:rPr>
          <w:rFonts w:hint="eastAsia" w:ascii="楷体" w:hAnsi="楷体" w:eastAsia="楷体" w:cs="仿宋"/>
          <w:sz w:val="28"/>
          <w:szCs w:val="28"/>
        </w:rPr>
      </w:pPr>
      <w:r>
        <w:rPr>
          <w:rFonts w:hint="eastAsia" w:ascii="楷体" w:hAnsi="楷体" w:eastAsia="楷体" w:cs="仿宋"/>
          <w:sz w:val="28"/>
          <w:szCs w:val="28"/>
        </w:rPr>
        <w:t>③房屋维修费、保险费、房产税等费用由出租人承担；</w:t>
      </w:r>
    </w:p>
    <w:p w14:paraId="258F2E38">
      <w:pPr>
        <w:spacing w:line="500" w:lineRule="exact"/>
        <w:ind w:firstLine="560" w:firstLineChars="200"/>
        <w:jc w:val="left"/>
        <w:rPr>
          <w:rFonts w:hint="eastAsia" w:ascii="楷体" w:hAnsi="楷体" w:eastAsia="楷体" w:cs="仿宋"/>
          <w:sz w:val="28"/>
          <w:szCs w:val="28"/>
        </w:rPr>
      </w:pPr>
      <w:r>
        <w:rPr>
          <w:rFonts w:hint="eastAsia" w:ascii="楷体" w:hAnsi="楷体" w:eastAsia="楷体" w:cs="仿宋"/>
          <w:sz w:val="28"/>
          <w:szCs w:val="28"/>
        </w:rPr>
        <w:t>④物业管理费以及水、电、燃气等相关费用由承租人承担。</w:t>
      </w:r>
    </w:p>
    <w:p w14:paraId="0128D0E4">
      <w:pPr>
        <w:spacing w:line="560" w:lineRule="exact"/>
        <w:ind w:firstLine="600"/>
        <w:rPr>
          <w:rFonts w:hint="eastAsia" w:ascii="楷体" w:hAnsi="楷体" w:eastAsia="楷体"/>
          <w:sz w:val="28"/>
          <w:szCs w:val="28"/>
        </w:rPr>
      </w:pPr>
      <w:r>
        <w:rPr>
          <w:rFonts w:hint="eastAsia" w:ascii="楷体" w:hAnsi="楷体" w:eastAsia="楷体"/>
          <w:sz w:val="28"/>
          <w:szCs w:val="28"/>
        </w:rPr>
        <w:t>本报告所提供的是上述房地产在满足全部假设和限制条件下于价值时点的租赁价值。</w:t>
      </w:r>
    </w:p>
    <w:p w14:paraId="30C75704">
      <w:pPr>
        <w:spacing w:before="156" w:beforeLines="50" w:line="560" w:lineRule="exact"/>
        <w:jc w:val="left"/>
        <w:outlineLvl w:val="1"/>
        <w:rPr>
          <w:rFonts w:hint="eastAsia" w:ascii="楷体" w:hAnsi="楷体" w:eastAsia="楷体"/>
          <w:b/>
          <w:bCs/>
          <w:sz w:val="28"/>
          <w:szCs w:val="28"/>
        </w:rPr>
      </w:pPr>
      <w:bookmarkStart w:id="73" w:name="_Toc505087760"/>
      <w:bookmarkStart w:id="74" w:name="_Toc484941668"/>
      <w:bookmarkStart w:id="75" w:name="_Toc8087"/>
      <w:bookmarkStart w:id="76" w:name="_Toc221710863"/>
      <w:r>
        <w:rPr>
          <w:rFonts w:hint="eastAsia" w:ascii="楷体" w:hAnsi="楷体" w:eastAsia="楷体"/>
          <w:b/>
          <w:bCs/>
          <w:sz w:val="28"/>
          <w:szCs w:val="28"/>
        </w:rPr>
        <w:t>七、估价原则</w:t>
      </w:r>
      <w:bookmarkEnd w:id="73"/>
      <w:bookmarkEnd w:id="74"/>
      <w:bookmarkEnd w:id="75"/>
      <w:bookmarkEnd w:id="76"/>
    </w:p>
    <w:p w14:paraId="278BE966">
      <w:pPr>
        <w:spacing w:line="560" w:lineRule="exact"/>
        <w:ind w:firstLine="560" w:firstLineChars="200"/>
        <w:jc w:val="left"/>
        <w:rPr>
          <w:rFonts w:ascii="楷体" w:hAnsi="楷体" w:eastAsia="楷体"/>
          <w:bCs/>
          <w:sz w:val="28"/>
          <w:szCs w:val="28"/>
        </w:rPr>
      </w:pPr>
      <w:r>
        <w:rPr>
          <w:rFonts w:hint="eastAsia" w:ascii="楷体" w:hAnsi="楷体" w:eastAsia="楷体"/>
          <w:bCs/>
          <w:sz w:val="28"/>
          <w:szCs w:val="28"/>
        </w:rPr>
        <w:t>本次估价遵循独立、客观、公正原则、合法原则、价值时点原则、替代原则、最高最佳利用原则。具体如下：</w:t>
      </w:r>
    </w:p>
    <w:p w14:paraId="6542FC66">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1.遵循独立、客观、公正原则，评估价值应为对各方估价利害关系人均是公平合理的价值或价格；</w:t>
      </w:r>
    </w:p>
    <w:p w14:paraId="32EFEC33">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2.遵循合法原则，评估价值应为在依法判定的估价对象状况下的价值或价格；</w:t>
      </w:r>
    </w:p>
    <w:p w14:paraId="1A0E3E74">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3.遵循价值时点原则，评估价值应为在根据估价目的确定的某一特定时间的价值或价格；</w:t>
      </w:r>
    </w:p>
    <w:p w14:paraId="5B7AB7DC">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4.遵循替代原则，评估价值与估价对象的类似房地产在同等条件下的价值或价格偏差应在合理范围内；</w:t>
      </w:r>
    </w:p>
    <w:p w14:paraId="352AB319">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5.遵循最高最佳利用原则，评估价值应为在估价对象最高最佳利用状况下的价值或价格，最高最佳利用是房地产在法律上允许、技术上可能、财务上可行并使价值最大的合理、可能的利用，包括最佳的用途、规模和档次等。</w:t>
      </w:r>
    </w:p>
    <w:p w14:paraId="7E9B0DCE">
      <w:pPr>
        <w:spacing w:before="156" w:beforeLines="50" w:line="560" w:lineRule="exact"/>
        <w:jc w:val="left"/>
        <w:outlineLvl w:val="1"/>
        <w:rPr>
          <w:rFonts w:hint="eastAsia" w:ascii="楷体" w:hAnsi="楷体" w:eastAsia="楷体"/>
          <w:b/>
          <w:bCs/>
          <w:sz w:val="28"/>
          <w:szCs w:val="28"/>
        </w:rPr>
      </w:pPr>
      <w:bookmarkStart w:id="77" w:name="_Toc505087761"/>
      <w:bookmarkStart w:id="78" w:name="_Toc484941669"/>
      <w:bookmarkStart w:id="79" w:name="_Toc6137"/>
      <w:bookmarkStart w:id="80" w:name="_Toc221710864"/>
      <w:r>
        <w:rPr>
          <w:rFonts w:hint="eastAsia" w:ascii="楷体" w:hAnsi="楷体" w:eastAsia="楷体"/>
          <w:b/>
          <w:bCs/>
          <w:sz w:val="28"/>
          <w:szCs w:val="28"/>
        </w:rPr>
        <w:t>八、估价依据</w:t>
      </w:r>
      <w:bookmarkEnd w:id="77"/>
      <w:bookmarkEnd w:id="78"/>
      <w:bookmarkEnd w:id="79"/>
      <w:bookmarkEnd w:id="80"/>
    </w:p>
    <w:p w14:paraId="45DA6D0D">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1.本次估价所依据的有关法律、法规、司法解释和部门规章</w:t>
      </w:r>
    </w:p>
    <w:p w14:paraId="32CE92D6">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（1）《中华人民共和国民法典》；</w:t>
      </w:r>
    </w:p>
    <w:p w14:paraId="7AE8D09C">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（2）《中华人民共和国资产评估法》；</w:t>
      </w:r>
    </w:p>
    <w:p w14:paraId="0F2EBD16">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（3）《中华人民共和国城市房地产管理法》；</w:t>
      </w:r>
    </w:p>
    <w:p w14:paraId="25948CF3">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（4）《中华人民共和国土地管理法》；</w:t>
      </w:r>
    </w:p>
    <w:p w14:paraId="29F5BBB1">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（5）《中华人民共和国城乡规划法》。</w:t>
      </w:r>
    </w:p>
    <w:p w14:paraId="7E65869F">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2.本次估价采用的技术规程</w:t>
      </w:r>
    </w:p>
    <w:p w14:paraId="44C43074">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（1）《房地产估价规范》GB/T 50291-2015；</w:t>
      </w:r>
    </w:p>
    <w:p w14:paraId="339CFBB0">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（2）《房地产估价基本术语标准》GB/T 50899-2013;</w:t>
      </w:r>
    </w:p>
    <w:p w14:paraId="291F2D71">
      <w:pPr>
        <w:spacing w:line="49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（3）《房地产租金评估技术指引》沪房地估协（2024）1号。</w:t>
      </w:r>
    </w:p>
    <w:p w14:paraId="38135A51">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3.估价委托人提供的有关资料</w:t>
      </w:r>
    </w:p>
    <w:p w14:paraId="776C19B9">
      <w:pPr>
        <w:spacing w:line="560" w:lineRule="exact"/>
        <w:ind w:firstLine="560" w:firstLineChars="200"/>
        <w:jc w:val="left"/>
        <w:rPr>
          <w:rFonts w:hint="eastAsia" w:ascii="楷体" w:hAnsi="楷体" w:eastAsia="楷体"/>
          <w:bCs/>
          <w:kern w:val="2"/>
          <w:sz w:val="28"/>
          <w:szCs w:val="28"/>
          <w:lang w:val="en-US" w:eastAsia="zh-CN" w:bidi="ar-SA"/>
        </w:rPr>
      </w:pPr>
      <w:r>
        <w:rPr>
          <w:rFonts w:hint="eastAsia" w:ascii="楷体" w:hAnsi="楷体" w:eastAsia="楷体" w:cs="宋体"/>
          <w:kern w:val="2"/>
          <w:sz w:val="28"/>
          <w:szCs w:val="28"/>
          <w:lang w:val="en-US" w:eastAsia="zh-CN" w:bidi="ar-SA"/>
        </w:rPr>
        <w:t>（1）《委托评估协议书》复印件；</w:t>
      </w:r>
    </w:p>
    <w:p w14:paraId="45A9596D">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w:t>
      </w:r>
      <w:r>
        <w:rPr>
          <w:rFonts w:hint="eastAsia" w:ascii="楷体" w:hAnsi="楷体" w:eastAsia="楷体"/>
          <w:bCs/>
          <w:sz w:val="28"/>
          <w:szCs w:val="28"/>
          <w:lang w:val="en-US" w:eastAsia="zh-CN"/>
        </w:rPr>
        <w:t>2</w:t>
      </w:r>
      <w:r>
        <w:rPr>
          <w:rFonts w:hint="eastAsia" w:ascii="楷体" w:hAnsi="楷体" w:eastAsia="楷体"/>
          <w:bCs/>
          <w:sz w:val="28"/>
          <w:szCs w:val="28"/>
        </w:rPr>
        <w:t>）其他有关资料。</w:t>
      </w:r>
    </w:p>
    <w:p w14:paraId="17A1DF59">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 xml:space="preserve">4.注册房地产估价师现场勘察资料与估价机构所搜集掌握的有关资料。  </w:t>
      </w:r>
      <w:bookmarkStart w:id="81" w:name="_Toc505087762"/>
      <w:bookmarkStart w:id="82" w:name="_Toc484941670"/>
    </w:p>
    <w:p w14:paraId="14E6B2C7">
      <w:pPr>
        <w:spacing w:before="156" w:beforeLines="50" w:line="560" w:lineRule="exact"/>
        <w:jc w:val="left"/>
        <w:outlineLvl w:val="1"/>
        <w:rPr>
          <w:rFonts w:hint="eastAsia" w:ascii="楷体" w:hAnsi="楷体" w:eastAsia="楷体"/>
          <w:b/>
          <w:bCs/>
          <w:sz w:val="28"/>
          <w:szCs w:val="28"/>
        </w:rPr>
      </w:pPr>
      <w:bookmarkStart w:id="83" w:name="_Toc31282"/>
      <w:bookmarkStart w:id="84" w:name="_Toc221710865"/>
      <w:r>
        <w:rPr>
          <w:rFonts w:hint="eastAsia" w:ascii="楷体" w:hAnsi="楷体" w:eastAsia="楷体"/>
          <w:b/>
          <w:bCs/>
          <w:sz w:val="28"/>
          <w:szCs w:val="28"/>
        </w:rPr>
        <w:t>九、估价方法</w:t>
      </w:r>
      <w:bookmarkEnd w:id="81"/>
      <w:bookmarkEnd w:id="82"/>
      <w:bookmarkEnd w:id="83"/>
      <w:bookmarkEnd w:id="84"/>
    </w:p>
    <w:p w14:paraId="472B3BC2">
      <w:pPr>
        <w:spacing w:line="560" w:lineRule="exact"/>
        <w:ind w:firstLine="560" w:firstLineChars="200"/>
        <w:jc w:val="left"/>
        <w:rPr>
          <w:rFonts w:hint="eastAsia" w:ascii="楷体" w:hAnsi="楷体" w:eastAsia="楷体"/>
          <w:bCs/>
          <w:sz w:val="28"/>
          <w:szCs w:val="28"/>
        </w:rPr>
      </w:pPr>
      <w:bookmarkStart w:id="85" w:name="_Hlk207891576"/>
      <w:r>
        <w:rPr>
          <w:rFonts w:hint="eastAsia" w:ascii="楷体" w:hAnsi="楷体" w:eastAsia="楷体"/>
          <w:bCs/>
          <w:sz w:val="28"/>
          <w:szCs w:val="28"/>
        </w:rPr>
        <w:t>根据《房地产估价规范》(GB/T50291-2015) ，并参考《房地产租金评估技术指引》沪房地估协（2024）1号,估价方法通常有比较法、成本法、价值折算法、剩余法四种。</w:t>
      </w:r>
    </w:p>
    <w:p w14:paraId="6EAA02D4">
      <w:pPr>
        <w:spacing w:line="49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比较法是根据与估价对象相似的房地产租金来经比较、调整或修正来求取估价对象房地产租金的方法。</w:t>
      </w:r>
    </w:p>
    <w:p w14:paraId="01664363">
      <w:pPr>
        <w:spacing w:line="49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成本法是以租金各个构成项之和来求取房地产租金的方法。</w:t>
      </w:r>
    </w:p>
    <w:p w14:paraId="50737234">
      <w:pPr>
        <w:spacing w:line="490" w:lineRule="exact"/>
        <w:ind w:firstLine="560" w:firstLineChars="200"/>
        <w:jc w:val="left"/>
        <w:rPr>
          <w:rFonts w:hint="eastAsia" w:ascii="楷体" w:hAnsi="楷体" w:eastAsia="楷体"/>
          <w:bCs/>
          <w:sz w:val="28"/>
          <w:szCs w:val="28"/>
        </w:rPr>
      </w:pPr>
      <w:r>
        <w:rPr>
          <w:rFonts w:hint="eastAsia" w:ascii="楷体" w:hAnsi="楷体" w:eastAsia="楷体"/>
          <w:bCs/>
          <w:sz w:val="28"/>
          <w:szCs w:val="28"/>
          <w:lang w:val="en-US" w:eastAsia="zh-CN"/>
        </w:rPr>
        <w:t>价值折算法是选取适宜方法求得估价对象房地产市场价值或价格，然后确定估价对象报酬率或资本化率，选用适当的数学公式求取折算系数，计算房地产净收益，加上运营费、相关税费等得出房地产租金的方法。</w:t>
      </w:r>
      <w:r>
        <w:rPr>
          <w:rFonts w:hint="eastAsia" w:ascii="楷体" w:hAnsi="楷体" w:eastAsia="楷体"/>
          <w:bCs/>
          <w:sz w:val="28"/>
          <w:szCs w:val="28"/>
        </w:rPr>
        <w:t/>
      </w:r>
      <w:r>
        <w:rPr>
          <w:rFonts w:hint="eastAsia" w:ascii="楷体" w:hAnsi="楷体" w:eastAsia="楷体"/>
          <w:bCs/>
          <w:sz w:val="28"/>
          <w:szCs w:val="28"/>
          <w:lang w:eastAsia="zh-CN"/>
        </w:rPr>
        <w:t/>
      </w:r>
      <w:r>
        <w:rPr>
          <w:rFonts w:hint="eastAsia" w:ascii="楷体" w:hAnsi="楷体" w:eastAsia="楷体"/>
          <w:bCs/>
          <w:sz w:val="28"/>
          <w:szCs w:val="28"/>
        </w:rPr>
        <w:t/>
      </w:r>
    </w:p>
    <w:p w14:paraId="644D166C">
      <w:pPr>
        <w:spacing w:line="490" w:lineRule="exact"/>
        <w:ind w:firstLine="560" w:firstLineChars="200"/>
        <w:jc w:val="left"/>
        <w:rPr>
          <w:rFonts w:hint="eastAsia" w:ascii="楷体" w:hAnsi="楷体" w:eastAsia="楷体"/>
          <w:bCs/>
          <w:sz w:val="28"/>
          <w:szCs w:val="28"/>
        </w:rPr>
      </w:pPr>
      <w:r>
        <w:rPr>
          <w:rFonts w:hint="eastAsia" w:ascii="楷体" w:hAnsi="楷体" w:eastAsia="楷体"/>
          <w:bCs/>
          <w:sz w:val="28"/>
          <w:szCs w:val="28"/>
          <w:lang w:val="en-US" w:eastAsia="zh-CN"/>
        </w:rPr>
        <w:t>剩余法是根据房地产经营产生的经营收入，扣除经营成本和经营利润，或根据改造完成后的房地产租赁收入，扣除需投入的改造成本，求取房地产租金的方法。</w:t>
      </w:r>
      <w:r>
        <w:rPr>
          <w:rFonts w:hint="eastAsia" w:ascii="楷体" w:hAnsi="楷体" w:eastAsia="楷体"/>
          <w:bCs/>
          <w:sz w:val="28"/>
          <w:szCs w:val="28"/>
        </w:rPr>
        <w:t/>
      </w:r>
      <w:r>
        <w:rPr>
          <w:rFonts w:hint="eastAsia" w:ascii="楷体" w:hAnsi="楷体" w:eastAsia="楷体"/>
          <w:bCs/>
          <w:sz w:val="28"/>
          <w:szCs w:val="28"/>
          <w:lang w:eastAsia="zh-CN"/>
        </w:rPr>
        <w:t/>
      </w:r>
      <w:r>
        <w:rPr>
          <w:rFonts w:hint="eastAsia" w:ascii="楷体" w:hAnsi="楷体" w:eastAsia="楷体"/>
          <w:bCs/>
          <w:sz w:val="28"/>
          <w:szCs w:val="28"/>
        </w:rPr>
        <w:t/>
      </w:r>
      <w:r>
        <w:rPr>
          <w:rFonts w:hint="eastAsia" w:ascii="楷体" w:hAnsi="楷体" w:eastAsia="楷体"/>
          <w:bCs/>
          <w:sz w:val="28"/>
          <w:szCs w:val="28"/>
          <w:lang w:eastAsia="zh-CN"/>
        </w:rPr>
        <w:t/>
      </w:r>
      <w:r>
        <w:rPr>
          <w:rFonts w:hint="eastAsia" w:ascii="楷体" w:hAnsi="楷体" w:eastAsia="楷体"/>
          <w:bCs/>
          <w:sz w:val="28"/>
          <w:szCs w:val="28"/>
        </w:rPr>
        <w:t/>
      </w:r>
    </w:p>
    <w:p w14:paraId="7842D2E4">
      <w:pPr>
        <w:spacing w:line="560" w:lineRule="exact"/>
        <w:ind w:firstLine="560" w:firstLineChars="200"/>
        <w:jc w:val="left"/>
        <w:rPr>
          <w:rFonts w:ascii="楷体" w:hAnsi="楷体" w:eastAsia="楷体"/>
          <w:bCs/>
          <w:sz w:val="28"/>
          <w:szCs w:val="28"/>
        </w:rPr>
      </w:pPr>
      <w:r>
        <w:rPr>
          <w:rFonts w:hint="eastAsia" w:ascii="楷体" w:hAnsi="楷体" w:eastAsia="楷体"/>
          <w:bCs/>
          <w:sz w:val="28"/>
          <w:szCs w:val="28"/>
        </w:rPr>
        <w:t>估价人员在认真分析所掌握的资料，并对估价对象进行了实地查勘以及对周边房地产市场的分析，依据《房地产估价规范》估价对象的特点及本次估价目的，遵照国家有关法律、法规、估价技术标准，经过反复研究，</w:t>
      </w:r>
      <w:r>
        <w:rPr>
          <w:rFonts w:hint="eastAsia" w:ascii="楷体" w:hAnsi="楷体" w:eastAsia="楷体" w:cs="仿宋"/>
          <w:sz w:val="28"/>
          <w:szCs w:val="28"/>
        </w:rPr>
        <w:t>本次估价对象租赁价值选用比较法进行评估，并对上述评估方法的测算确定评估价值</w:t>
      </w:r>
      <w:r>
        <w:rPr>
          <w:rFonts w:hint="eastAsia" w:ascii="楷体" w:hAnsi="楷体" w:eastAsia="楷体"/>
          <w:bCs/>
          <w:sz w:val="28"/>
          <w:szCs w:val="28"/>
        </w:rPr>
        <w:t>。</w:t>
      </w:r>
      <w:bookmarkStart w:id="86" w:name="_Toc484941671"/>
      <w:bookmarkStart w:id="87" w:name="_Toc505087763"/>
    </w:p>
    <w:bookmarkEnd w:id="85"/>
    <w:p w14:paraId="2179BA04">
      <w:pPr>
        <w:spacing w:before="156" w:beforeLines="50" w:line="560" w:lineRule="exact"/>
        <w:jc w:val="left"/>
        <w:outlineLvl w:val="1"/>
        <w:rPr>
          <w:rFonts w:hint="eastAsia" w:ascii="楷体" w:hAnsi="楷体" w:eastAsia="楷体"/>
          <w:b/>
          <w:bCs/>
          <w:sz w:val="28"/>
          <w:szCs w:val="28"/>
        </w:rPr>
      </w:pPr>
      <w:bookmarkStart w:id="88" w:name="_Toc221710866"/>
      <w:bookmarkStart w:id="89" w:name="_Toc32348"/>
      <w:r>
        <w:rPr>
          <w:rFonts w:hint="eastAsia" w:ascii="楷体" w:hAnsi="楷体" w:eastAsia="楷体"/>
          <w:b/>
          <w:bCs/>
          <w:sz w:val="28"/>
          <w:szCs w:val="28"/>
        </w:rPr>
        <w:t>十、估价结果</w:t>
      </w:r>
      <w:bookmarkEnd w:id="86"/>
      <w:bookmarkEnd w:id="87"/>
      <w:bookmarkEnd w:id="88"/>
      <w:bookmarkEnd w:id="89"/>
    </w:p>
    <w:p w14:paraId="3D146E7F">
      <w:pPr>
        <w:snapToGrid w:val="0"/>
        <w:spacing w:line="540" w:lineRule="exact"/>
        <w:ind w:left="71" w:leftChars="0" w:firstLine="560" w:firstLineChars="200"/>
        <w:jc w:val="left"/>
      </w:pPr>
      <w:bookmarkStart w:id="90" w:name="_Toc2703"/>
      <w:bookmarkStart w:id="91" w:name="_Toc484941672"/>
      <w:bookmarkStart w:id="92" w:name="_Toc221710867"/>
      <w:bookmarkStart w:id="93" w:name="_Toc505087764"/>
      <w:r>
        <w:rPr>
          <w:rFonts w:hint="eastAsia" w:ascii="楷体" w:hAnsi="楷体" w:eastAsia="楷体" w:cs="宋体"/>
          <w:kern w:val="2"/>
          <w:sz w:val="28"/>
          <w:szCs w:val="28"/>
          <w:lang w:val="en-US" w:eastAsia="zh-CN" w:bidi="ar-SA"/>
        </w:rPr>
        <w:t>我公司根据估价目的，遵循估价原则，采用上述方法，在认真分析估价委托人提供的资料以及估价人员实地查勘和市场调查取得的资料基础上，对影响房地产价值的因素进行了分析，经过测算，结合估价经验，于价值时点2026年4月20日在满足所有估价假设和限制条件下，</w:t>
      </w:r>
      <w:r>
        <w:rPr>
          <w:rFonts w:hint="eastAsia" w:ascii="楷体" w:hAnsi="楷体" w:eastAsia="楷体"/>
          <w:b/>
          <w:kern w:val="2"/>
          <w:sz w:val="28"/>
          <w:szCs w:val="28"/>
          <w:lang w:val="en-US" w:eastAsia="zh-CN" w:bidi="ar-SA"/>
        </w:rPr>
        <w:t>确定估价对象的年租赁价值为70000元，大写：人民币柒万元整。</w:t>
      </w:r>
    </w:p>
    <w:p w14:paraId="7E34827B">
      <w:pPr>
        <w:spacing w:before="156" w:beforeLines="50" w:line="560" w:lineRule="exact"/>
        <w:jc w:val="left"/>
        <w:outlineLvl w:val="1"/>
        <w:rPr>
          <w:rFonts w:ascii="楷体" w:hAnsi="楷体" w:eastAsia="楷体"/>
          <w:b/>
          <w:bCs/>
          <w:sz w:val="28"/>
          <w:szCs w:val="28"/>
        </w:rPr>
      </w:pPr>
      <w:r>
        <w:rPr>
          <w:rFonts w:hint="eastAsia" w:ascii="楷体" w:hAnsi="楷体" w:eastAsia="楷体"/>
          <w:b/>
          <w:bCs/>
          <w:sz w:val="28"/>
          <w:szCs w:val="28"/>
        </w:rPr>
        <w:t>十一、注册房地产估价师</w:t>
      </w:r>
      <w:bookmarkEnd w:id="90"/>
      <w:bookmarkEnd w:id="91"/>
      <w:bookmarkEnd w:id="92"/>
      <w:bookmarkEnd w:id="93"/>
      <w:bookmarkStart w:id="94" w:name="_Hlk221709317"/>
    </w:p>
    <w:tbl>
      <w:tblPr>
        <w:tblStyle w:val="28"/>
        <w:tblW w:w="9170" w:type="dxa"/>
        <w:tblInd w:w="0" w:type="dxa"/>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Layout w:type="autofit"/>
        <w:tblCellMar>
          <w:top w:w="0" w:type="dxa"/>
          <w:left w:w="108" w:type="dxa"/>
          <w:bottom w:w="0" w:type="dxa"/>
          <w:right w:w="108" w:type="dxa"/>
        </w:tblCellMar>
      </w:tblPr>
      <w:tblGrid>
        <w:gridCol w:w="1640"/>
        <w:gridCol w:w="2092"/>
        <w:gridCol w:w="3072"/>
        <w:gridCol w:w="2366"/>
      </w:tblGrid>
      <w:tr w14:paraId="75912205">
        <w:trPr>
          <w:trHeight w:val="611" w:hRule="exact"/>
        </w:trPr>
        <w:tc>
          <w:tcPr>
            <w:tcW w:w="1640" w:type="dxa"/>
            <w:noWrap w:val="0"/>
            <w:vAlign w:val="center"/>
          </w:tcPr>
          <w:p w14:paraId="7D0941C7">
            <w:pPr>
              <w:tabs>
                <w:tab w:val="left" w:pos="8931"/>
                <w:tab w:val="left" w:pos="9214"/>
                <w:tab w:val="left" w:pos="9240"/>
              </w:tabs>
              <w:spacing w:line="440" w:lineRule="exact"/>
              <w:ind w:right="168" w:rightChars="80" w:firstLine="280" w:firstLineChars="100"/>
              <w:rPr>
                <w:rFonts w:ascii="楷体" w:hAnsi="楷体" w:eastAsia="楷体" w:cs="宋体"/>
                <w:sz w:val="28"/>
                <w:szCs w:val="28"/>
              </w:rPr>
            </w:pPr>
            <w:bookmarkStart w:id="95" w:name="%E8%AF%84%E4%BC%B0%E4%BA%BA%E5%91%98"/>
            <w:bookmarkEnd w:id="95"/>
            <w:r>
              <w:rPr>
                <w:rFonts w:hint="eastAsia" w:ascii="楷体" w:hAnsi="楷体" w:eastAsia="楷体" w:cs="宋体"/>
                <w:sz w:val="28"/>
                <w:szCs w:val="28"/>
              </w:rPr>
              <w:t>姓 名</w:t>
            </w:r>
          </w:p>
        </w:tc>
        <w:tc>
          <w:tcPr>
            <w:tcW w:w="2092" w:type="dxa"/>
            <w:noWrap w:val="0"/>
            <w:vAlign w:val="center"/>
          </w:tcPr>
          <w:p w14:paraId="57FD58DD">
            <w:pPr>
              <w:tabs>
                <w:tab w:val="left" w:pos="8931"/>
                <w:tab w:val="left" w:pos="9214"/>
                <w:tab w:val="left" w:pos="9240"/>
              </w:tabs>
              <w:spacing w:line="440" w:lineRule="exact"/>
              <w:ind w:right="168" w:rightChars="80" w:firstLine="420" w:firstLineChars="150"/>
              <w:rPr>
                <w:rFonts w:ascii="楷体" w:hAnsi="楷体" w:eastAsia="楷体" w:cs="宋体"/>
                <w:sz w:val="28"/>
                <w:szCs w:val="28"/>
              </w:rPr>
            </w:pPr>
            <w:r>
              <w:rPr>
                <w:rFonts w:hint="eastAsia" w:ascii="楷体" w:hAnsi="楷体" w:eastAsia="楷体" w:cs="宋体"/>
                <w:sz w:val="28"/>
                <w:szCs w:val="28"/>
              </w:rPr>
              <w:t>注册号</w:t>
            </w:r>
          </w:p>
        </w:tc>
        <w:tc>
          <w:tcPr>
            <w:tcW w:w="3072" w:type="dxa"/>
            <w:noWrap w:val="0"/>
            <w:vAlign w:val="center"/>
          </w:tcPr>
          <w:p w14:paraId="637E73D2">
            <w:pPr>
              <w:tabs>
                <w:tab w:val="left" w:pos="8931"/>
                <w:tab w:val="left" w:pos="9214"/>
                <w:tab w:val="left" w:pos="9240"/>
              </w:tabs>
              <w:spacing w:line="440" w:lineRule="exact"/>
              <w:ind w:left="105" w:leftChars="50" w:right="168" w:rightChars="80" w:firstLine="560" w:firstLineChars="200"/>
              <w:rPr>
                <w:rFonts w:ascii="楷体" w:hAnsi="楷体" w:eastAsia="楷体" w:cs="宋体"/>
                <w:sz w:val="28"/>
                <w:szCs w:val="28"/>
              </w:rPr>
            </w:pPr>
            <w:r>
              <w:rPr>
                <w:rFonts w:hint="eastAsia" w:ascii="楷体" w:hAnsi="楷体" w:eastAsia="楷体" w:cs="宋体"/>
                <w:sz w:val="28"/>
                <w:szCs w:val="28"/>
              </w:rPr>
              <w:t>签名及盖章</w:t>
            </w:r>
          </w:p>
        </w:tc>
        <w:tc>
          <w:tcPr>
            <w:tcW w:w="2366" w:type="dxa"/>
            <w:noWrap w:val="0"/>
            <w:vAlign w:val="center"/>
          </w:tcPr>
          <w:p w14:paraId="05E4D5C8">
            <w:pPr>
              <w:tabs>
                <w:tab w:val="left" w:pos="8931"/>
                <w:tab w:val="left" w:pos="9214"/>
                <w:tab w:val="left" w:pos="9240"/>
              </w:tabs>
              <w:spacing w:line="440" w:lineRule="exact"/>
              <w:ind w:left="105" w:leftChars="50" w:right="168" w:rightChars="80" w:firstLine="280" w:firstLineChars="100"/>
              <w:rPr>
                <w:rFonts w:ascii="楷体" w:hAnsi="楷体" w:eastAsia="楷体" w:cs="宋体"/>
                <w:sz w:val="28"/>
                <w:szCs w:val="28"/>
              </w:rPr>
            </w:pPr>
            <w:r>
              <w:rPr>
                <w:rFonts w:hint="eastAsia" w:ascii="楷体" w:hAnsi="楷体" w:eastAsia="楷体" w:cs="宋体"/>
                <w:sz w:val="28"/>
                <w:szCs w:val="28"/>
              </w:rPr>
              <w:t>签名日期</w:t>
            </w:r>
          </w:p>
        </w:tc>
      </w:tr>
      <w:tr w14:paraId="68F13687">
        <w:trPr>
          <w:trHeight w:val="1259" w:hRule="exact"/>
        </w:trPr>
        <w:tc>
          <w:tcPr>
            <w:tcW w:w="1640" w:type="dxa"/>
            <w:noWrap w:val="0"/>
            <w:vAlign w:val="center"/>
          </w:tcPr>
          <w:p w14:paraId="4FEC4C5E">
            <w:pPr>
              <w:tabs>
                <w:tab w:val="left" w:pos="8931"/>
                <w:tab w:val="left" w:pos="9214"/>
                <w:tab w:val="left" w:pos="9240"/>
              </w:tabs>
              <w:spacing w:line="440" w:lineRule="exact"/>
              <w:ind w:right="168" w:rightChars="80" w:firstLine="280" w:firstLineChars="100"/>
              <w:rPr>
                <w:rFonts w:ascii="楷体" w:hAnsi="楷体" w:eastAsia="楷体"/>
                <w:sz w:val="28"/>
              </w:rPr>
            </w:pPr>
            <w:r>
              <w:rPr>
                <w:rFonts w:hint="eastAsia" w:ascii="楷体" w:hAnsi="楷体" w:eastAsia="楷体" w:cs="宋体"/>
                <w:sz w:val="28"/>
                <w:szCs w:val="28"/>
              </w:rPr>
              <w:t>韩  伟</w:t>
            </w:r>
          </w:p>
        </w:tc>
        <w:tc>
          <w:tcPr>
            <w:tcW w:w="2092" w:type="dxa"/>
            <w:noWrap w:val="0"/>
            <w:vAlign w:val="center"/>
          </w:tcPr>
          <w:p w14:paraId="0F3616E9">
            <w:pPr>
              <w:tabs>
                <w:tab w:val="left" w:pos="8931"/>
                <w:tab w:val="left" w:pos="9214"/>
                <w:tab w:val="left" w:pos="9240"/>
              </w:tabs>
              <w:spacing w:line="440" w:lineRule="exact"/>
              <w:ind w:left="105" w:leftChars="50" w:right="168" w:rightChars="80"/>
              <w:rPr>
                <w:rFonts w:ascii="楷体" w:hAnsi="楷体" w:eastAsia="楷体" w:cs="宋体"/>
                <w:sz w:val="28"/>
                <w:szCs w:val="28"/>
              </w:rPr>
            </w:pPr>
            <w:r>
              <w:rPr>
                <w:rFonts w:hint="eastAsia" w:ascii="楷体" w:hAnsi="楷体" w:eastAsia="楷体" w:cs="宋体"/>
                <w:sz w:val="28"/>
                <w:szCs w:val="28"/>
              </w:rPr>
              <w:t>3320130071</w:t>
            </w:r>
          </w:p>
        </w:tc>
        <w:tc>
          <w:tcPr>
            <w:tcW w:w="3072" w:type="dxa"/>
            <w:noWrap w:val="0"/>
            <w:vAlign w:val="center"/>
          </w:tcPr>
          <w:p w14:paraId="288A9896">
            <w:pPr>
              <w:tabs>
                <w:tab w:val="left" w:pos="8931"/>
                <w:tab w:val="left" w:pos="9214"/>
                <w:tab w:val="left" w:pos="9240"/>
              </w:tabs>
              <w:spacing w:line="440" w:lineRule="exact"/>
              <w:ind w:left="105" w:leftChars="50" w:right="168" w:rightChars="80" w:firstLine="560" w:firstLineChars="200"/>
              <w:rPr>
                <w:rFonts w:ascii="楷体" w:hAnsi="楷体" w:eastAsia="楷体"/>
                <w:sz w:val="28"/>
              </w:rPr>
            </w:pPr>
          </w:p>
        </w:tc>
        <w:tc>
          <w:tcPr>
            <w:tcW w:w="2366" w:type="dxa"/>
            <w:noWrap w:val="0"/>
            <w:vAlign w:val="center"/>
          </w:tcPr>
          <w:p w14:paraId="0EEC4316">
            <w:pPr>
              <w:tabs>
                <w:tab w:val="left" w:pos="8931"/>
                <w:tab w:val="left" w:pos="9214"/>
                <w:tab w:val="left" w:pos="9240"/>
              </w:tabs>
              <w:spacing w:line="440" w:lineRule="exact"/>
              <w:ind w:left="105" w:leftChars="50" w:right="168" w:rightChars="80"/>
              <w:rPr>
                <w:rFonts w:ascii="楷体" w:hAnsi="楷体" w:eastAsia="楷体"/>
                <w:sz w:val="28"/>
              </w:rPr>
            </w:pPr>
          </w:p>
        </w:tc>
      </w:tr>
      <w:tr w14:paraId="2B7630F3">
        <w:trPr>
          <w:trHeight w:val="1406" w:hRule="exact"/>
        </w:trPr>
        <w:tc>
          <w:tcPr>
            <w:tcW w:w="1640" w:type="dxa"/>
            <w:noWrap w:val="0"/>
            <w:vAlign w:val="center"/>
          </w:tcPr>
          <w:p w14:paraId="3B50AC27">
            <w:pPr>
              <w:tabs>
                <w:tab w:val="left" w:pos="8931"/>
                <w:tab w:val="left" w:pos="9214"/>
                <w:tab w:val="left" w:pos="9240"/>
              </w:tabs>
              <w:spacing w:line="440" w:lineRule="exact"/>
              <w:ind w:right="168" w:rightChars="80" w:firstLine="280" w:firstLineChars="100"/>
              <w:rPr>
                <w:rFonts w:ascii="楷体" w:hAnsi="楷体" w:eastAsia="楷体"/>
                <w:sz w:val="28"/>
              </w:rPr>
            </w:pPr>
            <w:r>
              <w:rPr>
                <w:rFonts w:hint="eastAsia" w:ascii="楷体" w:hAnsi="楷体" w:eastAsia="楷体" w:cs="宋体"/>
                <w:sz w:val="28"/>
                <w:szCs w:val="28"/>
              </w:rPr>
              <w:t>胡  柯</w:t>
            </w:r>
          </w:p>
        </w:tc>
        <w:tc>
          <w:tcPr>
            <w:tcW w:w="2092" w:type="dxa"/>
            <w:noWrap w:val="0"/>
            <w:vAlign w:val="center"/>
          </w:tcPr>
          <w:p w14:paraId="52B11532">
            <w:pPr>
              <w:tabs>
                <w:tab w:val="left" w:pos="8931"/>
                <w:tab w:val="left" w:pos="9214"/>
                <w:tab w:val="left" w:pos="9240"/>
              </w:tabs>
              <w:spacing w:line="440" w:lineRule="exact"/>
              <w:ind w:left="105" w:leftChars="50" w:right="168" w:rightChars="80"/>
              <w:rPr>
                <w:rFonts w:ascii="楷体" w:hAnsi="楷体" w:eastAsia="楷体"/>
                <w:sz w:val="28"/>
              </w:rPr>
            </w:pPr>
            <w:r>
              <w:rPr>
                <w:rFonts w:ascii="楷体" w:hAnsi="楷体" w:eastAsia="楷体" w:cs="Arial"/>
                <w:sz w:val="28"/>
                <w:szCs w:val="28"/>
              </w:rPr>
              <w:t>3320190174</w:t>
            </w:r>
          </w:p>
        </w:tc>
        <w:tc>
          <w:tcPr>
            <w:tcW w:w="3072" w:type="dxa"/>
            <w:noWrap w:val="0"/>
            <w:vAlign w:val="center"/>
          </w:tcPr>
          <w:p w14:paraId="23401802">
            <w:pPr>
              <w:tabs>
                <w:tab w:val="left" w:pos="8931"/>
                <w:tab w:val="left" w:pos="9214"/>
                <w:tab w:val="left" w:pos="9240"/>
              </w:tabs>
              <w:spacing w:line="440" w:lineRule="exact"/>
              <w:ind w:left="105" w:leftChars="50" w:right="168" w:rightChars="80" w:firstLine="560" w:firstLineChars="200"/>
              <w:rPr>
                <w:rFonts w:ascii="楷体" w:hAnsi="楷体" w:eastAsia="楷体"/>
                <w:sz w:val="28"/>
              </w:rPr>
            </w:pPr>
          </w:p>
        </w:tc>
        <w:tc>
          <w:tcPr>
            <w:tcW w:w="2366" w:type="dxa"/>
            <w:noWrap w:val="0"/>
            <w:vAlign w:val="center"/>
          </w:tcPr>
          <w:p w14:paraId="1ABF816D">
            <w:pPr>
              <w:tabs>
                <w:tab w:val="left" w:pos="8931"/>
                <w:tab w:val="left" w:pos="9214"/>
                <w:tab w:val="left" w:pos="9240"/>
              </w:tabs>
              <w:spacing w:line="440" w:lineRule="exact"/>
              <w:ind w:left="105" w:leftChars="50" w:right="168" w:rightChars="80"/>
              <w:rPr>
                <w:rFonts w:ascii="楷体" w:hAnsi="楷体" w:eastAsia="楷体"/>
                <w:sz w:val="28"/>
              </w:rPr>
            </w:pPr>
          </w:p>
        </w:tc>
      </w:tr>
      <w:bookmarkEnd w:id="94"/>
    </w:tbl>
    <w:p w14:paraId="578A106A">
      <w:pPr>
        <w:spacing w:before="156" w:beforeLines="50" w:line="560" w:lineRule="exact"/>
        <w:jc w:val="left"/>
        <w:outlineLvl w:val="1"/>
        <w:rPr>
          <w:rFonts w:hint="eastAsia" w:ascii="楷体" w:hAnsi="楷体" w:eastAsia="楷体"/>
          <w:bCs/>
          <w:sz w:val="28"/>
          <w:szCs w:val="28"/>
        </w:rPr>
      </w:pPr>
      <w:bookmarkStart w:id="96" w:name="_Toc4175"/>
      <w:bookmarkStart w:id="97" w:name="_Toc221710869"/>
      <w:bookmarkStart w:id="98" w:name="_Toc505087765"/>
      <w:bookmarkStart w:id="99" w:name="_Toc484941673"/>
      <w:r>
        <w:rPr>
          <w:rFonts w:hint="eastAsia" w:ascii="楷体" w:hAnsi="楷体" w:eastAsia="楷体"/>
          <w:bCs/>
          <w:sz w:val="28"/>
          <w:szCs w:val="28"/>
        </w:rPr>
        <w:t xml:space="preserve">协助估价人员   </w:t>
      </w:r>
    </w:p>
    <w:tbl>
      <w:tblPr>
        <w:tblStyle w:val="28"/>
        <w:tblW w:w="9210" w:type="dxa"/>
        <w:tblInd w:w="-21" w:type="dxa"/>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Layout w:type="autofit"/>
        <w:tblCellMar>
          <w:top w:w="0" w:type="dxa"/>
          <w:left w:w="108" w:type="dxa"/>
          <w:bottom w:w="0" w:type="dxa"/>
          <w:right w:w="108" w:type="dxa"/>
        </w:tblCellMar>
      </w:tblPr>
      <w:tblGrid>
        <w:gridCol w:w="1735"/>
        <w:gridCol w:w="2309"/>
        <w:gridCol w:w="2766"/>
        <w:gridCol w:w="2400"/>
      </w:tblGrid>
      <w:tr w14:paraId="312FCC71">
        <w:trPr>
          <w:trHeight w:val="1406" w:hRule="exact"/>
        </w:trPr>
        <w:tc>
          <w:tcPr>
            <w:tcW w:w="1735" w:type="dxa"/>
            <w:tcBorders>
              <w:top w:val="single" w:color="auto" w:sz="8" w:space="0"/>
              <w:left w:val="single" w:color="auto" w:sz="8" w:space="0"/>
              <w:bottom w:val="single" w:color="auto" w:sz="8" w:space="0"/>
              <w:right w:val="single" w:color="auto" w:sz="8" w:space="0"/>
            </w:tcBorders>
            <w:noWrap w:val="0"/>
            <w:vAlign w:val="center"/>
          </w:tcPr>
          <w:p w14:paraId="71865E27">
            <w:pPr>
              <w:tabs>
                <w:tab w:val="left" w:pos="8931"/>
                <w:tab w:val="left" w:pos="9214"/>
                <w:tab w:val="left" w:pos="9240"/>
              </w:tabs>
              <w:spacing w:line="440" w:lineRule="exact"/>
              <w:ind w:right="168" w:rightChars="80" w:firstLine="280" w:firstLineChars="100"/>
              <w:rPr>
                <w:rFonts w:hint="default" w:ascii="楷体" w:hAnsi="楷体" w:eastAsia="楷体"/>
                <w:bCs/>
                <w:sz w:val="28"/>
                <w:szCs w:val="28"/>
                <w:lang w:val="en-US" w:eastAsia="zh-CN"/>
              </w:rPr>
            </w:pPr>
            <w:r>
              <w:rPr>
                <w:rFonts w:hint="eastAsia" w:ascii="楷体" w:hAnsi="楷体" w:eastAsia="楷体"/>
                <w:bCs/>
                <w:sz w:val="28"/>
                <w:szCs w:val="28"/>
                <w:lang w:val="en-US" w:eastAsia="zh-CN"/>
              </w:rPr>
              <w:t>郑伟娜</w:t>
            </w:r>
          </w:p>
        </w:tc>
        <w:tc>
          <w:tcPr>
            <w:tcW w:w="2309" w:type="dxa"/>
            <w:tcBorders>
              <w:top w:val="single" w:color="auto" w:sz="8" w:space="0"/>
              <w:left w:val="single" w:color="auto" w:sz="8" w:space="0"/>
              <w:bottom w:val="single" w:color="auto" w:sz="8" w:space="0"/>
              <w:right w:val="single" w:color="auto" w:sz="8" w:space="0"/>
            </w:tcBorders>
            <w:noWrap w:val="0"/>
            <w:vAlign w:val="center"/>
          </w:tcPr>
          <w:p w14:paraId="0BF90830">
            <w:pPr>
              <w:tabs>
                <w:tab w:val="left" w:pos="8931"/>
                <w:tab w:val="left" w:pos="9214"/>
                <w:tab w:val="left" w:pos="9240"/>
              </w:tabs>
              <w:spacing w:line="440" w:lineRule="exact"/>
              <w:ind w:left="105" w:leftChars="50" w:right="168" w:rightChars="80"/>
              <w:rPr>
                <w:rFonts w:hint="eastAsia" w:ascii="楷体" w:hAnsi="楷体" w:eastAsia="楷体" w:cs="Arial"/>
                <w:sz w:val="28"/>
                <w:szCs w:val="28"/>
                <w:lang w:val="en-US" w:eastAsia="zh-CN"/>
              </w:rPr>
            </w:pPr>
            <w:r>
              <w:rPr>
                <w:rFonts w:hint="eastAsia" w:ascii="楷体" w:hAnsi="楷体" w:eastAsia="楷体" w:cs="Arial"/>
                <w:sz w:val="28"/>
                <w:szCs w:val="28"/>
              </w:rPr>
              <w:t>3300507030470</w:t>
            </w:r>
          </w:p>
        </w:tc>
        <w:tc>
          <w:tcPr>
            <w:tcW w:w="2766" w:type="dxa"/>
            <w:tcBorders>
              <w:top w:val="single" w:color="auto" w:sz="8" w:space="0"/>
              <w:left w:val="single" w:color="auto" w:sz="8" w:space="0"/>
              <w:bottom w:val="single" w:color="auto" w:sz="8" w:space="0"/>
              <w:right w:val="single" w:color="auto" w:sz="8" w:space="0"/>
            </w:tcBorders>
            <w:noWrap w:val="0"/>
            <w:vAlign w:val="center"/>
          </w:tcPr>
          <w:p w14:paraId="1BD4A88F">
            <w:pPr>
              <w:tabs>
                <w:tab w:val="left" w:pos="8931"/>
                <w:tab w:val="left" w:pos="9214"/>
                <w:tab w:val="left" w:pos="9240"/>
              </w:tabs>
              <w:spacing w:line="440" w:lineRule="exact"/>
              <w:ind w:left="105" w:leftChars="50" w:right="168" w:rightChars="80" w:firstLine="560" w:firstLineChars="200"/>
              <w:rPr>
                <w:rFonts w:ascii="楷体" w:hAnsi="楷体" w:eastAsia="楷体"/>
                <w:sz w:val="28"/>
              </w:rPr>
            </w:pPr>
          </w:p>
        </w:tc>
        <w:tc>
          <w:tcPr>
            <w:tcW w:w="2400" w:type="dxa"/>
            <w:tcBorders>
              <w:top w:val="single" w:color="auto" w:sz="8" w:space="0"/>
              <w:left w:val="single" w:color="auto" w:sz="8" w:space="0"/>
              <w:bottom w:val="single" w:color="auto" w:sz="8" w:space="0"/>
              <w:right w:val="single" w:color="auto" w:sz="8" w:space="0"/>
            </w:tcBorders>
            <w:noWrap w:val="0"/>
            <w:vAlign w:val="center"/>
          </w:tcPr>
          <w:p w14:paraId="10A156C2">
            <w:pPr>
              <w:tabs>
                <w:tab w:val="left" w:pos="8931"/>
                <w:tab w:val="left" w:pos="9214"/>
                <w:tab w:val="left" w:pos="9240"/>
              </w:tabs>
              <w:spacing w:line="440" w:lineRule="exact"/>
              <w:ind w:left="105" w:leftChars="50" w:right="168" w:rightChars="80" w:firstLine="280" w:firstLineChars="100"/>
              <w:rPr>
                <w:rFonts w:hint="eastAsia" w:ascii="楷体" w:hAnsi="楷体" w:eastAsia="楷体"/>
                <w:bCs/>
                <w:sz w:val="28"/>
                <w:szCs w:val="28"/>
                <w:lang w:eastAsia="zh-CN"/>
              </w:rPr>
            </w:pPr>
          </w:p>
        </w:tc>
      </w:tr>
    </w:tbl>
    <w:p w14:paraId="78097462">
      <w:pPr>
        <w:spacing w:before="156" w:beforeLines="50" w:line="560" w:lineRule="exact"/>
        <w:jc w:val="left"/>
        <w:outlineLvl w:val="1"/>
        <w:rPr>
          <w:rFonts w:hint="eastAsia" w:ascii="楷体" w:hAnsi="楷体" w:eastAsia="楷体"/>
          <w:b/>
          <w:bCs/>
          <w:sz w:val="28"/>
          <w:szCs w:val="28"/>
        </w:rPr>
      </w:pPr>
      <w:r>
        <w:rPr>
          <w:rFonts w:hint="eastAsia" w:ascii="楷体" w:hAnsi="楷体" w:eastAsia="楷体"/>
          <w:b/>
          <w:bCs/>
          <w:sz w:val="28"/>
          <w:szCs w:val="28"/>
        </w:rPr>
        <w:t>十二、实地查勘期</w:t>
      </w:r>
      <w:bookmarkEnd w:id="96"/>
      <w:bookmarkEnd w:id="97"/>
      <w:bookmarkEnd w:id="98"/>
      <w:bookmarkEnd w:id="99"/>
    </w:p>
    <w:p w14:paraId="070DC2D1">
      <w:pPr>
        <w:spacing w:line="560" w:lineRule="exact"/>
        <w:ind w:firstLine="560" w:firstLineChars="200"/>
        <w:jc w:val="left"/>
        <w:rPr>
          <w:rFonts w:hint="eastAsia" w:ascii="楷体" w:hAnsi="楷体" w:eastAsia="楷体"/>
          <w:bCs/>
          <w:kern w:val="2"/>
          <w:sz w:val="28"/>
          <w:szCs w:val="28"/>
          <w:lang w:val="en-US" w:eastAsia="zh-CN" w:bidi="ar-SA"/>
        </w:rPr>
      </w:pPr>
      <w:bookmarkStart w:id="100" w:name="_Toc221710870"/>
      <w:bookmarkStart w:id="101" w:name="_Toc484941674"/>
      <w:bookmarkStart w:id="102" w:name="_Toc505087766"/>
      <w:bookmarkStart w:id="103" w:name="_Toc25269"/>
      <w:r>
        <w:rPr>
          <w:rFonts w:hint="eastAsia" w:ascii="楷体" w:hAnsi="楷体" w:eastAsia="楷体" w:cs="宋体"/>
          <w:kern w:val="2"/>
          <w:sz w:val="28"/>
          <w:szCs w:val="28"/>
          <w:lang w:val="en-US" w:eastAsia="zh-CN" w:bidi="ar-SA"/>
        </w:rPr>
        <w:t>2026年4月20日。</w:t>
      </w:r>
    </w:p>
    <w:p w14:paraId="12D18DB4">
      <w:pPr>
        <w:spacing w:before="156" w:beforeLines="50" w:line="560" w:lineRule="exact"/>
        <w:jc w:val="left"/>
        <w:outlineLvl w:val="1"/>
        <w:rPr>
          <w:rFonts w:hint="eastAsia" w:ascii="楷体" w:hAnsi="楷体" w:eastAsia="楷体"/>
          <w:b/>
          <w:bCs/>
          <w:sz w:val="28"/>
          <w:szCs w:val="28"/>
        </w:rPr>
      </w:pPr>
      <w:r>
        <w:rPr>
          <w:rFonts w:hint="eastAsia" w:ascii="楷体" w:hAnsi="楷体" w:eastAsia="楷体"/>
          <w:b/>
          <w:bCs/>
          <w:sz w:val="28"/>
          <w:szCs w:val="28"/>
        </w:rPr>
        <w:t>十三、估价作业期</w:t>
      </w:r>
      <w:bookmarkEnd w:id="100"/>
      <w:bookmarkEnd w:id="101"/>
      <w:bookmarkEnd w:id="102"/>
      <w:bookmarkEnd w:id="103"/>
    </w:p>
    <w:p w14:paraId="20CD5E2E">
      <w:pPr>
        <w:spacing w:line="560" w:lineRule="exact"/>
        <w:ind w:firstLine="560" w:firstLineChars="200"/>
        <w:jc w:val="left"/>
        <w:rPr>
          <w:rFonts w:hint="eastAsia" w:ascii="楷体" w:hAnsi="楷体" w:eastAsia="楷体"/>
          <w:bCs/>
          <w:kern w:val="2"/>
          <w:sz w:val="28"/>
          <w:szCs w:val="28"/>
          <w:lang w:val="en-US" w:eastAsia="zh-CN" w:bidi="ar-SA"/>
        </w:rPr>
      </w:pPr>
      <w:bookmarkStart w:id="104" w:name="_Toc221710871"/>
      <w:bookmarkStart w:id="105" w:name="_Toc484941677"/>
      <w:bookmarkStart w:id="106" w:name="_Toc505087769"/>
      <w:r>
        <w:rPr>
          <w:rFonts w:hint="eastAsia" w:ascii="楷体" w:hAnsi="楷体" w:eastAsia="楷体" w:cs="宋体"/>
          <w:kern w:val="2"/>
          <w:sz w:val="28"/>
          <w:szCs w:val="28"/>
          <w:lang w:val="en-US" w:eastAsia="zh-CN" w:bidi="ar-SA"/>
        </w:rPr>
        <w:t>2026年4月20日至{{ issue_date }}。</w:t>
      </w:r>
    </w:p>
    <w:p w14:paraId="3A75DA3A">
      <w:pPr>
        <w:spacing w:before="156" w:beforeLines="50" w:after="156" w:afterLines="50" w:line="360" w:lineRule="auto"/>
        <w:jc w:val="center"/>
        <w:outlineLvl w:val="0"/>
        <w:rPr>
          <w:rFonts w:hint="eastAsia" w:ascii="楷体" w:hAnsi="楷体" w:eastAsia="楷体"/>
          <w:b/>
          <w:sz w:val="48"/>
          <w:szCs w:val="48"/>
        </w:rPr>
      </w:pPr>
    </w:p>
    <w:p w14:paraId="5A835A2F">
      <w:pPr>
        <w:spacing w:before="156" w:beforeLines="50" w:after="156" w:afterLines="50" w:line="360" w:lineRule="auto"/>
        <w:jc w:val="center"/>
        <w:outlineLvl w:val="0"/>
        <w:rPr>
          <w:rFonts w:hint="eastAsia" w:ascii="楷体" w:hAnsi="楷体" w:eastAsia="楷体"/>
          <w:b/>
          <w:sz w:val="48"/>
          <w:szCs w:val="48"/>
        </w:rPr>
      </w:pPr>
    </w:p>
    <w:p w14:paraId="11DEBDAD">
      <w:pPr>
        <w:spacing w:before="156" w:beforeLines="50" w:after="156" w:afterLines="50" w:line="360" w:lineRule="auto"/>
        <w:jc w:val="center"/>
        <w:outlineLvl w:val="0"/>
        <w:rPr>
          <w:rFonts w:hint="eastAsia" w:ascii="楷体" w:hAnsi="楷体" w:eastAsia="楷体"/>
          <w:b/>
          <w:sz w:val="48"/>
          <w:szCs w:val="48"/>
        </w:rPr>
      </w:pPr>
      <w:bookmarkStart w:id="107" w:name="_Toc22660"/>
      <w:r>
        <w:rPr>
          <w:rFonts w:hint="eastAsia" w:ascii="楷体" w:hAnsi="楷体" w:eastAsia="楷体"/>
          <w:b/>
          <w:sz w:val="48"/>
          <w:szCs w:val="48"/>
        </w:rPr>
        <w:t>附 件</w:t>
      </w:r>
      <w:bookmarkEnd w:id="104"/>
      <w:bookmarkEnd w:id="107"/>
    </w:p>
    <w:bookmarkEnd w:id="105"/>
    <w:bookmarkEnd w:id="106"/>
    <w:p w14:paraId="7431A7ED">
      <w:pPr>
        <w:spacing w:line="500" w:lineRule="exact"/>
        <w:ind w:left="-174" w:leftChars="-83" w:right="-71" w:rightChars="-34" w:firstLine="599" w:firstLineChars="214"/>
        <w:rPr>
          <w:rFonts w:hint="eastAsia" w:ascii="楷体" w:hAnsi="楷体" w:eastAsia="楷体" w:cs="宋体"/>
          <w:sz w:val="28"/>
          <w:szCs w:val="28"/>
        </w:rPr>
      </w:pPr>
      <w:r>
        <w:rPr>
          <w:rFonts w:hint="eastAsia" w:ascii="楷体" w:hAnsi="楷体" w:eastAsia="楷体" w:cs="宋体"/>
          <w:sz w:val="28"/>
          <w:szCs w:val="28"/>
        </w:rPr>
        <w:t>一、估价对象区位图</w:t>
      </w:r>
    </w:p>
    <w:p w14:paraId="5B29F1E6">
      <w:pPr>
        <w:spacing w:line="500" w:lineRule="exact"/>
        <w:ind w:left="-174" w:leftChars="-83" w:right="-71" w:rightChars="-34" w:firstLine="599" w:firstLineChars="214"/>
        <w:rPr>
          <w:rFonts w:hint="eastAsia" w:ascii="楷体" w:hAnsi="楷体" w:eastAsia="楷体" w:cs="宋体"/>
          <w:sz w:val="28"/>
          <w:szCs w:val="28"/>
        </w:rPr>
      </w:pPr>
      <w:r>
        <w:rPr>
          <w:rFonts w:hint="eastAsia" w:ascii="楷体" w:hAnsi="楷体" w:eastAsia="楷体" w:cs="宋体"/>
          <w:sz w:val="28"/>
          <w:szCs w:val="28"/>
        </w:rPr>
        <w:t>二、估价对象照片</w:t>
      </w:r>
    </w:p>
    <w:p w14:paraId="486CD534">
      <w:pPr>
        <w:spacing w:line="500" w:lineRule="exact"/>
        <w:ind w:left="-174" w:leftChars="-83" w:right="-71" w:rightChars="-34" w:firstLine="599" w:firstLineChars="214"/>
        <w:rPr>
          <w:rFonts w:hint="eastAsia" w:ascii="楷体" w:hAnsi="楷体" w:eastAsia="楷体" w:cs="宋体"/>
          <w:kern w:val="2"/>
          <w:sz w:val="28"/>
          <w:szCs w:val="28"/>
          <w:lang w:val="en-US" w:eastAsia="zh-CN" w:bidi="ar-SA"/>
        </w:rPr>
      </w:pPr>
      <w:r>
        <w:rPr>
          <w:rFonts w:hint="eastAsia" w:ascii="楷体" w:hAnsi="楷体" w:eastAsia="楷体" w:cs="宋体"/>
          <w:kern w:val="2"/>
          <w:sz w:val="28"/>
          <w:szCs w:val="28"/>
          <w:lang w:val="en-US" w:eastAsia="zh-CN" w:bidi="ar-SA"/>
        </w:rPr>
        <w:t>三、《委托评估协议书》复印件</w:t>
      </w:r>
    </w:p>
    <w:p w14:paraId="627C812C">
      <w:pPr>
        <w:spacing w:line="500" w:lineRule="exact"/>
        <w:ind w:left="-174" w:leftChars="-83" w:right="-71" w:rightChars="-34" w:firstLine="599" w:firstLineChars="214"/>
        <w:rPr>
          <w:rFonts w:hint="eastAsia" w:ascii="楷体" w:hAnsi="楷体" w:eastAsia="楷体" w:cs="宋体"/>
          <w:sz w:val="28"/>
          <w:szCs w:val="28"/>
        </w:rPr>
      </w:pPr>
      <w:r>
        <w:rPr>
          <w:rFonts w:hint="eastAsia" w:ascii="楷体" w:hAnsi="楷体" w:eastAsia="楷体" w:cs="宋体"/>
          <w:sz w:val="28"/>
          <w:szCs w:val="28"/>
          <w:lang w:val="en-US" w:eastAsia="zh-CN"/>
        </w:rPr>
        <w:t>四</w:t>
      </w:r>
      <w:r>
        <w:rPr>
          <w:rFonts w:hint="eastAsia" w:ascii="楷体" w:hAnsi="楷体" w:eastAsia="楷体" w:cs="宋体"/>
          <w:sz w:val="28"/>
          <w:szCs w:val="28"/>
        </w:rPr>
        <w:t>、估价人员资质证书复印件</w:t>
      </w:r>
    </w:p>
    <w:p w14:paraId="7F0B6343">
      <w:pPr>
        <w:spacing w:line="500" w:lineRule="exact"/>
        <w:ind w:left="-174" w:leftChars="-83" w:right="-71" w:rightChars="-34" w:firstLine="599" w:firstLineChars="214"/>
        <w:rPr>
          <w:rFonts w:hint="eastAsia" w:ascii="楷体" w:hAnsi="楷体" w:eastAsia="楷体" w:cs="宋体"/>
          <w:sz w:val="28"/>
          <w:szCs w:val="28"/>
        </w:rPr>
      </w:pPr>
      <w:r>
        <w:rPr>
          <w:rFonts w:hint="eastAsia" w:ascii="楷体" w:hAnsi="楷体" w:eastAsia="楷体" w:cs="宋体"/>
          <w:sz w:val="28"/>
          <w:szCs w:val="28"/>
          <w:lang w:val="en-US" w:eastAsia="zh-CN"/>
        </w:rPr>
        <w:t>五</w:t>
      </w:r>
      <w:r>
        <w:rPr>
          <w:rFonts w:hint="eastAsia" w:ascii="楷体" w:hAnsi="楷体" w:eastAsia="楷体" w:cs="宋体"/>
          <w:sz w:val="28"/>
          <w:szCs w:val="28"/>
        </w:rPr>
        <w:t>、估价机构资质证书复印件</w:t>
      </w:r>
    </w:p>
    <w:p w14:paraId="339C745F">
      <w:pPr>
        <w:pStyle w:val="53"/>
        <w:ind w:firstLine="420" w:firstLineChars="150"/>
        <w:rPr>
          <w:rFonts w:hint="eastAsia"/>
        </w:rPr>
      </w:pPr>
      <w:r>
        <w:rPr>
          <w:rFonts w:hint="eastAsia" w:ascii="楷体" w:hAnsi="楷体" w:eastAsia="楷体" w:cs="宋体"/>
          <w:sz w:val="28"/>
          <w:szCs w:val="28"/>
          <w:lang w:val="en-US" w:eastAsia="zh-CN"/>
        </w:rPr>
        <w:t>六</w:t>
      </w:r>
      <w:r>
        <w:rPr>
          <w:rFonts w:hint="eastAsia" w:ascii="楷体" w:hAnsi="楷体" w:eastAsia="楷体" w:cs="宋体"/>
          <w:sz w:val="28"/>
          <w:szCs w:val="28"/>
        </w:rPr>
        <w:t>、估价机构营业执照复印件</w:t>
      </w:r>
    </w:p>
    <w:p w14:paraId="7A16EBFD">
      <w:pPr>
        <w:rPr>
          <w:rFonts w:hint="eastAsia" w:ascii="楷体" w:hAnsi="楷体" w:eastAsia="楷体" w:cs="仿宋"/>
          <w:bCs/>
          <w:sz w:val="28"/>
          <w:szCs w:val="28"/>
        </w:rPr>
      </w:pPr>
    </w:p>
    <w:p w14:paraId="26C0914E">
      <w:pPr>
        <w:rPr>
          <w:rFonts w:hint="eastAsia" w:ascii="楷体" w:hAnsi="楷体" w:eastAsia="楷体" w:cs="仿宋"/>
          <w:bCs/>
          <w:sz w:val="28"/>
          <w:szCs w:val="28"/>
        </w:rPr>
      </w:pPr>
    </w:p>
    <w:p w14:paraId="6E424BA1">
      <w:pPr>
        <w:rPr>
          <w:rFonts w:hint="eastAsia" w:ascii="楷体" w:hAnsi="楷体" w:eastAsia="楷体" w:cs="仿宋"/>
          <w:bCs/>
          <w:sz w:val="28"/>
          <w:szCs w:val="28"/>
        </w:rPr>
      </w:pPr>
    </w:p>
    <w:p w14:paraId="212D3595">
      <w:pPr>
        <w:rPr>
          <w:rFonts w:hint="eastAsia" w:ascii="楷体" w:hAnsi="楷体" w:eastAsia="楷体" w:cs="仿宋"/>
          <w:bCs/>
          <w:sz w:val="28"/>
          <w:szCs w:val="28"/>
        </w:rPr>
      </w:pPr>
    </w:p>
    <w:p w14:paraId="0BC41B5B">
      <w:pPr>
        <w:rPr>
          <w:rFonts w:hint="eastAsia" w:ascii="楷体" w:hAnsi="楷体" w:eastAsia="楷体" w:cs="仿宋"/>
          <w:bCs/>
          <w:sz w:val="28"/>
          <w:szCs w:val="28"/>
        </w:rPr>
      </w:pPr>
    </w:p>
    <w:p w14:paraId="4B33E5C3">
      <w:pPr>
        <w:rPr>
          <w:rFonts w:hint="eastAsia" w:ascii="楷体" w:hAnsi="楷体" w:eastAsia="楷体" w:cs="仿宋"/>
          <w:bCs/>
          <w:sz w:val="28"/>
          <w:szCs w:val="28"/>
        </w:rPr>
      </w:pPr>
    </w:p>
    <w:p w14:paraId="58DBAE39">
      <w:pPr>
        <w:rPr>
          <w:rFonts w:hint="eastAsia" w:ascii="楷体" w:hAnsi="楷体" w:eastAsia="楷体" w:cs="仿宋"/>
          <w:bCs/>
          <w:sz w:val="28"/>
          <w:szCs w:val="28"/>
        </w:rPr>
      </w:pPr>
    </w:p>
    <w:p w14:paraId="36324EED">
      <w:pPr>
        <w:rPr>
          <w:rFonts w:hint="eastAsia" w:ascii="楷体" w:hAnsi="楷体" w:eastAsia="楷体" w:cs="仿宋"/>
          <w:bCs/>
          <w:sz w:val="28"/>
          <w:szCs w:val="28"/>
        </w:rPr>
      </w:pPr>
    </w:p>
    <w:p w14:paraId="4B60051B">
      <w:pPr>
        <w:rPr>
          <w:rFonts w:hint="eastAsia" w:ascii="楷体" w:hAnsi="楷体" w:eastAsia="楷体" w:cs="仿宋"/>
          <w:bCs/>
          <w:sz w:val="28"/>
          <w:szCs w:val="28"/>
        </w:rPr>
      </w:pPr>
    </w:p>
    <w:p w14:paraId="438A7C85">
      <w:pPr>
        <w:rPr>
          <w:rFonts w:hint="eastAsia" w:ascii="楷体" w:hAnsi="楷体" w:eastAsia="楷体" w:cs="仿宋"/>
          <w:bCs/>
          <w:sz w:val="28"/>
          <w:szCs w:val="28"/>
        </w:rPr>
      </w:pPr>
    </w:p>
    <w:p w14:paraId="110A061A">
      <w:pPr>
        <w:jc w:val="center"/>
        <w:rPr>
          <w:rFonts w:ascii="楷体" w:hAnsi="楷体" w:eastAsia="楷体" w:cs="仿宋"/>
          <w:bCs/>
          <w:sz w:val="28"/>
          <w:szCs w:val="28"/>
        </w:rPr>
      </w:pPr>
    </w:p>
    <w:p w14:paraId="0567019A">
      <w:pPr>
        <w:jc w:val="center"/>
        <w:rPr>
          <w:rFonts w:hint="eastAsia" w:ascii="楷体" w:hAnsi="楷体" w:eastAsia="楷体" w:cs="仿宋"/>
          <w:bCs/>
          <w:sz w:val="28"/>
          <w:szCs w:val="28"/>
        </w:rPr>
      </w:pPr>
    </w:p>
    <w:p w14:paraId="0D8B18B0">
      <w:pPr>
        <w:jc w:val="center"/>
        <w:rPr>
          <w:rFonts w:hint="eastAsia" w:ascii="楷体" w:hAnsi="楷体" w:eastAsia="楷体" w:cs="仿宋"/>
          <w:bCs/>
          <w:sz w:val="28"/>
          <w:szCs w:val="28"/>
        </w:rPr>
      </w:pPr>
    </w:p>
    <w:p w14:paraId="520A7133">
      <w:pPr>
        <w:jc w:val="center"/>
        <w:rPr>
          <w:rFonts w:ascii="楷体" w:hAnsi="楷体" w:eastAsia="楷体" w:cs="仿宋"/>
          <w:bCs/>
          <w:sz w:val="28"/>
          <w:szCs w:val="28"/>
        </w:rPr>
      </w:pPr>
    </w:p>
    <w:p w14:paraId="46CEC7D0">
      <w:pPr>
        <w:jc w:val="center"/>
        <w:rPr>
          <w:rFonts w:hint="eastAsia" w:ascii="楷体" w:hAnsi="楷体" w:eastAsia="楷体" w:cs="仿宋"/>
          <w:bCs/>
          <w:sz w:val="28"/>
          <w:szCs w:val="28"/>
        </w:rPr>
      </w:pPr>
    </w:p>
    <w:p w14:paraId="3A9EBAC2">
      <w:pPr>
        <w:spacing w:line="720" w:lineRule="auto"/>
        <w:jc w:val="center"/>
        <w:rPr>
          <w:rFonts w:hint="eastAsia" w:ascii="楷体" w:hAnsi="楷体" w:eastAsia="楷体"/>
          <w:sz w:val="36"/>
          <w:szCs w:val="36"/>
        </w:rPr>
      </w:pPr>
      <w:r>
        <w:rPr>
          <w:rFonts w:hint="eastAsia" w:ascii="楷体" w:hAnsi="楷体" w:eastAsia="楷体"/>
          <w:sz w:val="36"/>
          <w:szCs w:val="36"/>
        </w:rPr>
        <w:br w:type="page"/>
      </w:r>
      <w:r>
        <w:rPr>
          <w:rFonts w:hint="eastAsia" w:ascii="楷体" w:hAnsi="楷体" w:eastAsia="楷体"/>
          <w:sz w:val="36"/>
          <w:szCs w:val="36"/>
        </w:rPr>
        <w:t>估价对象区位图</w:t>
      </w:r>
    </w:p>
    <w:tbl>
      <w:tblPr>
        <w:tblStyle w:val="28"/>
        <w:tblW w:w="9476" w:type="dxa"/>
        <w:tblInd w:w="-174"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771"/>
      </w:tblGrid>
      <w:tr w14:paraId="35B78DBD">
        <w:trPr>
          <w:wBefore w:w="0" w:type="dxa"/>
          <w:wAfter w:w="0" w:type="dxa"/>
          <w:trHeight w:val="12242" w:hRule="atLeast"/>
        </w:trPr>
        <w:tc>
          <w:tcPr>
            <w:tcW w:w="9476" w:type="dxa"/>
            <w:noWrap w:val="0"/>
            <w:vAlign w:val="top"/>
          </w:tcPr>
          <w:p w14:paraId="121C3BD8">
            <w:pPr>
              <w:rPr>
                <w:rFonts w:hint="eastAsia" w:ascii="楷体" w:hAnsi="楷体" w:eastAsia="楷体" w:cs="宋体"/>
                <w:sz w:val="44"/>
                <w:szCs w:val="44"/>
              </w:rPr>
            </w:pPr>
            <w:r>
              <w:rPr>
                <w:rFonts w:ascii="楷体" w:hAnsi="楷体" w:eastAsia="楷体" w:cs="宋体"/>
                <w:sz w:val="44"/>
                <w:szCs w:val="44"/>
                <w:lang/>
              </w:rPr>
              <mc:AlternateContent>
                <mc:Choice Requires="wps">
                  <w:drawing>
                    <wp:anchor distT="0" distB="0" distL="114300" distR="114300" simplePos="0" relativeHeight="251659264" behindDoc="0" locked="0" layoutInCell="1" allowOverlap="1">
                      <wp:simplePos x="0" y="0"/>
                      <wp:positionH relativeFrom="column">
                        <wp:posOffset>3244850</wp:posOffset>
                      </wp:positionH>
                      <wp:positionV relativeFrom="paragraph">
                        <wp:posOffset>2733675</wp:posOffset>
                      </wp:positionV>
                      <wp:extent cx="425450" cy="403860"/>
                      <wp:effectExtent l="19685" t="20320" r="37465" b="58420"/>
                      <wp:wrapNone/>
                      <wp:docPr id="1" name="自选图形 5"/>
                      <wp:cNvGraphicFramePr/>
                      <a:graphic xmlns:a="http://schemas.openxmlformats.org/drawingml/2006/main">
                        <a:graphicData uri="http://schemas.microsoft.com/office/word/2010/wordprocessingShape">
                          <wps:wsp>
                            <wps:cNvSpPr/>
                            <wps:spPr>
                              <a:xfrm>
                                <a:off x="0" y="0"/>
                                <a:ext cx="425450" cy="403860"/>
                              </a:xfrm>
                              <a:prstGeom prst="star5">
                                <a:avLst/>
                              </a:prstGeom>
                              <a:gradFill rotWithShape="0">
                                <a:gsLst>
                                  <a:gs pos="0">
                                    <a:srgbClr val="D99594"/>
                                  </a:gs>
                                  <a:gs pos="50000">
                                    <a:srgbClr val="C0504D"/>
                                  </a:gs>
                                  <a:gs pos="100000">
                                    <a:srgbClr val="D99594"/>
                                  </a:gs>
                                </a:gsLst>
                                <a:lin ang="5400000" scaled="1"/>
                                <a:tileRect/>
                              </a:gradFill>
                              <a:ln w="12700" cap="flat" cmpd="sng">
                                <a:solidFill>
                                  <a:srgbClr val="C0504D"/>
                                </a:solidFill>
                                <a:prstDash val="solid"/>
                                <a:miter/>
                                <a:headEnd type="none" w="med" len="med"/>
                                <a:tailEnd type="none" w="med" len="med"/>
                              </a:ln>
                              <a:effectLst>
                                <a:outerShdw dist="28398" dir="3806096" algn="ctr" rotWithShape="0">
                                  <a:srgbClr val="622423"/>
                                </a:outerShdw>
                              </a:effectLst>
                            </wps:spPr>
                            <wps:txbx>
                              <w:txbxContent>
                                <w:p w14:paraId="6FC5208D">
                                  <w:pPr>
                                    <w:jc w:val="left"/>
                                  </w:pPr>
                                </w:p>
                              </w:txbxContent>
                            </wps:txbx>
                            <wps:bodyPr wrap="square" upright="1"/>
                          </wps:wsp>
                        </a:graphicData>
                      </a:graphic>
                    </wp:anchor>
                  </w:drawing>
                </mc:Choice>
                <mc:Fallback>
                  <w:pict>
                    <v:shape id="自选图形 5" o:spid="_x0000_s1026" style="position:absolute;left:0pt;margin-left:255.5pt;margin-top:215.25pt;height:31.8pt;width:33.5pt;z-index:251659264;mso-width-relative:page;mso-height-relative:page;" fillcolor="#D99594" filled="t" stroked="t" coordsize="425450,403860" o:gfxdata="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" path="m0,154260l162508,154261,212725,0,262941,154261,425449,154260,293977,249598,344196,403858,212725,308519,81253,403858,131472,249598xe">
                      <v:path textboxrect="0,0,425450,403860" o:connectlocs="212725,0;0,154260;81253,403858;344196,403858;425449,154260" o:connectangles="247,164,82,82,0"/>
                      <v:fill type="gradient" on="t" color2="#C0504D" focus="50%" focussize="0f,0f" focusposition="0f,0f"/>
                      <v:stroke weight="1pt" color="#C0504D" joinstyle="miter"/>
                      <v:imagedata o:title=""/>
                      <o:lock v:ext="edit" aspectratio="f"/>
                      <v:shadow on="t" color="#622423" offset="1pt,2pt" origin="0f,0f" matrix="65536f,0f,0f,65536f"/>
                      <v:textbox>
                        <w:txbxContent>
                          <w:p w14:paraId="6FC5208D">
                            <w:pPr>
                              <w:jc w:val="left"/>
                            </w:pPr>
                          </w:p>
                        </w:txbxContent>
                      </v:textbox>
                    </v:shape>
                  </w:pict>
                </mc:Fallback>
              </mc:AlternateContent>
            </w:r>
            <w:r/>
          </w:p>
        </w:tc>
      </w:tr>
    </w:tbl>
    <w:p w14:paraId="27A4D759">
      <w:pPr>
        <w:jc w:val="center"/>
        <w:rPr>
          <w:rFonts w:hint="eastAsia" w:ascii="楷体" w:hAnsi="楷体" w:eastAsia="楷体" w:cs="仿宋"/>
          <w:bCs/>
          <w:sz w:val="28"/>
          <w:szCs w:val="28"/>
        </w:rPr>
      </w:pPr>
    </w:p>
    <w:p w14:paraId="4B661B37">
      <w:pPr>
        <w:spacing w:line="720" w:lineRule="auto"/>
        <w:jc w:val="center"/>
        <w:rPr>
          <w:rFonts w:hint="eastAsia" w:ascii="楷体" w:hAnsi="楷体" w:eastAsia="楷体"/>
          <w:sz w:val="36"/>
          <w:szCs w:val="36"/>
        </w:rPr>
      </w:pPr>
      <w:r>
        <w:rPr>
          <w:rFonts w:hint="eastAsia" w:ascii="楷体" w:hAnsi="楷体" w:eastAsia="楷体"/>
          <w:sz w:val="36"/>
          <w:szCs w:val="36"/>
        </w:rPr>
        <w:br w:type="page"/>
      </w:r>
      <w:r>
        <w:rPr>
          <w:rFonts w:hint="eastAsia" w:ascii="楷体" w:hAnsi="楷体" w:eastAsia="楷体"/>
          <w:sz w:val="36"/>
          <w:szCs w:val="36"/>
        </w:rPr>
        <w:t>估价对象照片</w:t>
      </w:r>
    </w:p>
    <w:tbl>
      <w:tblPr>
        <w:tblStyle w:val="28"/>
        <w:tblW w:w="5000" w:type="pct"/>
        <w:jc w:val="center"/>
        <w:tblCellSpacing w:w="20" w:type="dxa"/>
        <w:tblBorders>
          <w:top w:val="inset" w:color="auto" w:sz="6" w:space="0"/>
          <w:left w:val="inset" w:color="auto" w:sz="6" w:space="0"/>
          <w:bottom w:val="inset" w:color="auto" w:sz="6" w:space="0"/>
          <w:right w:val="inset" w:color="auto" w:sz="6" w:space="0"/>
          <w:insideH w:val="inset" w:color="auto" w:sz="6" w:space="0"/>
          <w:insideV w:val="inset" w:color="auto" w:sz="6" w:space="0"/>
        </w:tblBorders>
        <w:tblLayout w:type="autofit"/>
        <w:tblCellMar>
          <w:top w:w="0" w:type="dxa"/>
          <w:left w:w="108" w:type="dxa"/>
          <w:bottom w:w="0" w:type="dxa"/>
          <w:right w:w="108" w:type="dxa"/>
        </w:tblCellMar>
      </w:tblPr>
      <w:tblGrid>
        <w:gridCol w:w="4698"/>
        <w:gridCol w:w="4698"/>
      </w:tblGrid>
      <w:tr w14:paraId="2438C79B">
        <w:trPr>
          <w:trHeight w:val="3758" w:hRule="exact"/>
          <w:tblCellSpacing w:w="20" w:type="dxa"/>
          <w:jc w:val="center"/>
        </w:trPr>
        <w:tc>
          <w:tcPr>
            <w:tcW w:w="2468" w:type="pct"/>
            <w:noWrap w:val="0"/>
            <w:vAlign w:val="top"/>
          </w:tcPr>
          <w:p w14:paraId="4A983746">
            <w:pPr>
              <w:jc w:val="center"/>
              <w:rPr>
                <w:rFonts w:hint="eastAsia" w:ascii="楷体" w:hAnsi="楷体" w:eastAsia="楷体"/>
                <w:b/>
                <w:sz w:val="32"/>
                <w:szCs w:val="32"/>
                <w:lang w:eastAsia="zh-CN"/>
              </w:rPr>
            </w:pPr>
            <w:r>
              <w:rPr>
                <w:rFonts w:hint="eastAsia" w:ascii="楷体" w:hAnsi="楷体" w:eastAsia="楷体"/>
                <w:b/>
                <w:sz w:val="32"/>
                <w:szCs w:val="32"/>
                <w:lang w:eastAsia="zh-CN"/>
              </w:rPr>
            </w:r>
          </w:p>
        </w:tc>
        <w:tc>
          <w:tcPr>
            <w:tcW w:w="2468" w:type="pct"/>
            <w:noWrap w:val="0"/>
            <w:vAlign w:val="top"/>
          </w:tcPr>
          <w:p w14:paraId="19E080E4">
            <w:pPr>
              <w:jc w:val="center"/>
              <w:rPr>
                <w:rFonts w:hint="eastAsia" w:ascii="楷体" w:hAnsi="楷体" w:eastAsia="楷体"/>
                <w:b/>
                <w:sz w:val="32"/>
                <w:szCs w:val="32"/>
                <w:lang w:eastAsia="zh-CN"/>
              </w:rPr>
            </w:pPr>
            <w:r>
              <w:rPr>
                <w:rFonts w:hint="eastAsia" w:ascii="楷体" w:hAnsi="楷体" w:eastAsia="楷体"/>
                <w:b/>
                <w:sz w:val="32"/>
                <w:szCs w:val="32"/>
                <w:lang w:eastAsia="zh-CN"/>
              </w:rPr>
            </w:r>
          </w:p>
        </w:tc>
      </w:tr>
      <w:tr w14:paraId="2843FBE6">
        <w:trPr>
          <w:trHeight w:val="619" w:hRule="exact"/>
          <w:tblCellSpacing w:w="20" w:type="dxa"/>
          <w:jc w:val="center"/>
        </w:trPr>
        <w:tc>
          <w:tcPr>
            <w:tcW w:w="2468" w:type="pct"/>
            <w:noWrap w:val="0"/>
            <w:vAlign w:val="top"/>
          </w:tcPr>
          <w:p w14:paraId="1D56A9B1">
            <w:pPr>
              <w:jc w:val="center"/>
              <w:rPr>
                <w:rFonts w:ascii="楷体" w:hAnsi="楷体" w:eastAsia="楷体"/>
                <w:b/>
                <w:sz w:val="28"/>
                <w:szCs w:val="28"/>
              </w:rPr>
            </w:pPr>
            <w:r>
              <w:rPr>
                <w:rFonts w:hint="eastAsia" w:ascii="楷体" w:hAnsi="楷体" w:eastAsia="楷体"/>
                <w:b/>
                <w:sz w:val="28"/>
                <w:szCs w:val="28"/>
              </w:rPr>
              <w:t>（1）</w:t>
            </w:r>
          </w:p>
        </w:tc>
        <w:tc>
          <w:tcPr>
            <w:tcW w:w="2468" w:type="pct"/>
            <w:noWrap w:val="0"/>
            <w:vAlign w:val="top"/>
          </w:tcPr>
          <w:p w14:paraId="40C7C0F5">
            <w:pPr>
              <w:jc w:val="center"/>
              <w:rPr>
                <w:rFonts w:hint="eastAsia" w:ascii="楷体" w:hAnsi="楷体" w:eastAsia="楷体"/>
                <w:b/>
                <w:sz w:val="28"/>
                <w:szCs w:val="28"/>
                <w:lang w:eastAsia="zh-CN"/>
              </w:rPr>
            </w:pPr>
            <w:r>
              <w:rPr>
                <w:rFonts w:hint="eastAsia" w:ascii="楷体" w:hAnsi="楷体" w:eastAsia="楷体"/>
                <w:b/>
                <w:sz w:val="28"/>
                <w:szCs w:val="28"/>
                <w:lang w:eastAsia="zh-CN"/>
              </w:rPr>
              <w:t>（</w:t>
            </w:r>
            <w:r>
              <w:rPr>
                <w:rFonts w:hint="eastAsia" w:ascii="楷体" w:hAnsi="楷体" w:eastAsia="楷体"/>
                <w:b/>
                <w:sz w:val="28"/>
                <w:szCs w:val="28"/>
                <w:lang w:val="en-US" w:eastAsia="zh-CN"/>
              </w:rPr>
              <w:t>2</w:t>
            </w:r>
            <w:r>
              <w:rPr>
                <w:rFonts w:hint="eastAsia" w:ascii="楷体" w:hAnsi="楷体" w:eastAsia="楷体"/>
                <w:b/>
                <w:sz w:val="28"/>
                <w:szCs w:val="28"/>
                <w:lang w:eastAsia="zh-CN"/>
              </w:rPr>
              <w:t>）</w:t>
            </w:r>
          </w:p>
        </w:tc>
      </w:tr>
      <w:tr w14:paraId="059F9C3A">
        <w:trPr>
          <w:trHeight w:val="3395" w:hRule="exact"/>
          <w:tblCellSpacing w:w="20" w:type="dxa"/>
          <w:jc w:val="center"/>
        </w:trPr>
        <w:tc>
          <w:tcPr>
            <w:tcW w:w="2468" w:type="pct"/>
            <w:noWrap w:val="0"/>
            <w:vAlign w:val="top"/>
          </w:tcPr>
          <w:p w14:paraId="2DBD6F36">
            <w:pPr>
              <w:jc w:val="center"/>
              <w:rPr>
                <w:rFonts w:hint="eastAsia" w:ascii="楷体" w:hAnsi="楷体" w:eastAsia="楷体"/>
                <w:b/>
                <w:sz w:val="32"/>
                <w:szCs w:val="32"/>
                <w:lang w:eastAsia="zh-CN"/>
              </w:rPr>
            </w:pPr>
            <w:r>
              <w:rPr>
                <w:rFonts w:hint="eastAsia" w:ascii="楷体" w:hAnsi="楷体" w:eastAsia="楷体"/>
                <w:b/>
                <w:sz w:val="32"/>
                <w:szCs w:val="32"/>
                <w:lang w:eastAsia="zh-CN"/>
              </w:rPr>
            </w:r>
          </w:p>
        </w:tc>
        <w:tc>
          <w:tcPr>
            <w:tcW w:w="2468" w:type="pct"/>
            <w:noWrap w:val="0"/>
            <w:vAlign w:val="top"/>
          </w:tcPr>
          <w:p w14:paraId="64FBAD0D">
            <w:pPr>
              <w:jc w:val="center"/>
              <w:rPr>
                <w:rFonts w:hint="eastAsia" w:ascii="楷体" w:hAnsi="楷体" w:eastAsia="楷体"/>
                <w:b/>
                <w:sz w:val="32"/>
                <w:szCs w:val="32"/>
                <w:lang w:eastAsia="zh-CN"/>
              </w:rPr>
            </w:pPr>
            <w:r>
              <w:rPr>
                <w:rFonts w:hint="eastAsia" w:ascii="楷体" w:hAnsi="楷体" w:eastAsia="楷体"/>
                <w:b/>
                <w:sz w:val="32"/>
                <w:szCs w:val="32"/>
                <w:lang w:eastAsia="zh-CN"/>
              </w:rPr>
            </w:r>
          </w:p>
        </w:tc>
      </w:tr>
      <w:tr w14:paraId="686B3DC5">
        <w:trPr>
          <w:trHeight w:val="571" w:hRule="exact"/>
          <w:tblCellSpacing w:w="20" w:type="dxa"/>
          <w:jc w:val="center"/>
        </w:trPr>
        <w:tc>
          <w:tcPr>
            <w:tcW w:w="2468" w:type="pct"/>
            <w:noWrap w:val="0"/>
            <w:vAlign w:val="top"/>
          </w:tcPr>
          <w:p w14:paraId="510FE1CB">
            <w:pPr>
              <w:jc w:val="center"/>
              <w:rPr>
                <w:rFonts w:ascii="楷体" w:hAnsi="楷体" w:eastAsia="楷体"/>
                <w:b/>
                <w:sz w:val="28"/>
                <w:szCs w:val="28"/>
              </w:rPr>
            </w:pPr>
            <w:r>
              <w:rPr>
                <w:rFonts w:hint="eastAsia" w:ascii="楷体" w:hAnsi="楷体" w:eastAsia="楷体"/>
                <w:b/>
                <w:sz w:val="28"/>
                <w:szCs w:val="28"/>
              </w:rPr>
              <w:t>（3）</w:t>
            </w:r>
            <w:r>
              <w:rPr>
                <w:rFonts w:hint="eastAsia" w:ascii="楷体" w:hAnsi="楷体" w:eastAsia="楷体"/>
                <w:b/>
                <w:sz w:val="28"/>
                <w:szCs w:val="28"/>
                <w:lang w:val="en-US" w:eastAsia="zh-CN"/>
              </w:rPr>
              <w:t/>
            </w:r>
            <w:r>
              <w:rPr>
                <w:rFonts w:hint="eastAsia" w:ascii="楷体" w:hAnsi="楷体" w:eastAsia="楷体"/>
                <w:b/>
                <w:sz w:val="28"/>
                <w:szCs w:val="28"/>
              </w:rPr>
              <w:t/>
            </w:r>
          </w:p>
        </w:tc>
        <w:tc>
          <w:tcPr>
            <w:tcW w:w="2468" w:type="pct"/>
            <w:noWrap w:val="0"/>
            <w:vAlign w:val="top"/>
          </w:tcPr>
          <w:p w14:paraId="61CBBB44">
            <w:pPr>
              <w:jc w:val="center"/>
              <w:rPr>
                <w:rFonts w:hint="eastAsia" w:ascii="楷体" w:hAnsi="楷体" w:eastAsia="楷体"/>
                <w:b/>
                <w:sz w:val="28"/>
                <w:szCs w:val="28"/>
                <w:lang w:eastAsia="zh-CN"/>
              </w:rPr>
            </w:pPr>
            <w:r>
              <w:rPr>
                <w:rFonts w:hint="eastAsia" w:ascii="楷体" w:hAnsi="楷体" w:eastAsia="楷体"/>
                <w:b/>
                <w:sz w:val="28"/>
                <w:szCs w:val="28"/>
                <w:lang w:eastAsia="zh-CN"/>
              </w:rPr>
              <w:t>（</w:t>
            </w:r>
            <w:r>
              <w:rPr>
                <w:rFonts w:hint="eastAsia" w:ascii="楷体" w:hAnsi="楷体" w:eastAsia="楷体"/>
                <w:b/>
                <w:sz w:val="28"/>
                <w:szCs w:val="28"/>
                <w:lang w:val="en-US" w:eastAsia="zh-CN"/>
              </w:rPr>
              <w:t>4</w:t>
            </w:r>
            <w:r>
              <w:rPr>
                <w:rFonts w:hint="eastAsia" w:ascii="楷体" w:hAnsi="楷体" w:eastAsia="楷体"/>
                <w:b/>
                <w:sz w:val="28"/>
                <w:szCs w:val="28"/>
                <w:lang w:eastAsia="zh-CN"/>
              </w:rPr>
              <w:t>）</w:t>
            </w:r>
          </w:p>
        </w:tc>
      </w:tr>
      <w:tr w14:paraId="28F1D10E">
        <w:trPr>
          <w:trHeight w:val="3628" w:hRule="exact"/>
          <w:tblCellSpacing w:w="20" w:type="dxa"/>
          <w:jc w:val="center"/>
        </w:trPr>
        <w:tc>
          <w:tcPr>
            <w:tcW w:w="2468" w:type="pct"/>
            <w:noWrap w:val="0"/>
            <w:vAlign w:val="top"/>
          </w:tcPr>
          <w:p w14:paraId="4834A3AD">
            <w:pPr>
              <w:jc w:val="center"/>
              <w:rPr>
                <w:rFonts w:hint="eastAsia" w:ascii="楷体" w:hAnsi="楷体" w:eastAsia="楷体"/>
                <w:b/>
                <w:sz w:val="28"/>
                <w:szCs w:val="28"/>
                <w:lang w:eastAsia="zh-CN"/>
              </w:rPr>
            </w:pPr>
            <w:r>
              <w:rPr>
                <w:rFonts w:hint="eastAsia" w:ascii="楷体" w:hAnsi="楷体" w:eastAsia="楷体"/>
                <w:b/>
                <w:sz w:val="28"/>
                <w:szCs w:val="28"/>
                <w:lang w:eastAsia="zh-CN"/>
              </w:rPr>
            </w:r>
          </w:p>
        </w:tc>
        <w:tc>
          <w:tcPr>
            <w:tcW w:w="2468" w:type="pct"/>
            <w:noWrap w:val="0"/>
            <w:vAlign w:val="top"/>
          </w:tcPr>
          <w:p w14:paraId="02637642">
            <w:pPr>
              <w:jc w:val="center"/>
              <w:rPr>
                <w:rFonts w:hint="eastAsia" w:ascii="楷体" w:hAnsi="楷体" w:eastAsia="楷体"/>
                <w:b/>
                <w:sz w:val="28"/>
                <w:szCs w:val="28"/>
                <w:lang w:eastAsia="zh-CN"/>
              </w:rPr>
            </w:pPr>
            <w:r>
              <w:rPr>
                <w:rFonts w:hint="eastAsia" w:ascii="楷体" w:hAnsi="楷体" w:eastAsia="楷体"/>
                <w:b/>
                <w:sz w:val="28"/>
                <w:szCs w:val="28"/>
                <w:lang w:eastAsia="zh-CN"/>
              </w:rPr>
            </w:r>
          </w:p>
        </w:tc>
      </w:tr>
      <w:tr w14:paraId="44C18273">
        <w:trPr>
          <w:trHeight w:val="480" w:hRule="exact"/>
          <w:tblCellSpacing w:w="20" w:type="dxa"/>
          <w:jc w:val="center"/>
        </w:trPr>
        <w:tc>
          <w:tcPr>
            <w:tcW w:w="2468" w:type="pct"/>
            <w:noWrap w:val="0"/>
            <w:vAlign w:val="top"/>
          </w:tcPr>
          <w:p w14:paraId="082ED641">
            <w:pPr>
              <w:jc w:val="center"/>
              <w:rPr>
                <w:rFonts w:hint="eastAsia" w:ascii="楷体" w:hAnsi="楷体" w:eastAsia="楷体"/>
                <w:b/>
                <w:sz w:val="28"/>
                <w:szCs w:val="28"/>
                <w:lang w:eastAsia="zh-CN"/>
              </w:rPr>
            </w:pPr>
            <w:r>
              <w:rPr>
                <w:rFonts w:hint="eastAsia" w:ascii="楷体" w:hAnsi="楷体" w:eastAsia="楷体"/>
                <w:b/>
                <w:sz w:val="28"/>
                <w:szCs w:val="28"/>
                <w:lang w:eastAsia="zh-CN"/>
              </w:rPr>
              <w:t>（</w:t>
            </w:r>
            <w:r>
              <w:rPr>
                <w:rFonts w:hint="eastAsia" w:ascii="楷体" w:hAnsi="楷体" w:eastAsia="楷体"/>
                <w:b/>
                <w:sz w:val="28"/>
                <w:szCs w:val="28"/>
                <w:lang w:val="en-US" w:eastAsia="zh-CN"/>
              </w:rPr>
              <w:t>5</w:t>
            </w:r>
            <w:r>
              <w:rPr>
                <w:rFonts w:hint="eastAsia" w:ascii="楷体" w:hAnsi="楷体" w:eastAsia="楷体"/>
                <w:b/>
                <w:sz w:val="28"/>
                <w:szCs w:val="28"/>
                <w:lang w:eastAsia="zh-CN"/>
              </w:rPr>
              <w:t>）</w:t>
            </w:r>
          </w:p>
        </w:tc>
        <w:tc>
          <w:tcPr>
            <w:tcW w:w="2468" w:type="pct"/>
            <w:noWrap w:val="0"/>
            <w:vAlign w:val="top"/>
          </w:tcPr>
          <w:p w14:paraId="5787DA83">
            <w:pPr>
              <w:jc w:val="center"/>
              <w:rPr>
                <w:rFonts w:hint="eastAsia" w:ascii="楷体" w:hAnsi="楷体" w:eastAsia="楷体"/>
                <w:b/>
                <w:sz w:val="28"/>
                <w:szCs w:val="28"/>
                <w:lang w:eastAsia="zh-CN"/>
              </w:rPr>
            </w:pPr>
            <w:r>
              <w:rPr>
                <w:rFonts w:hint="eastAsia" w:ascii="楷体" w:hAnsi="楷体" w:eastAsia="楷体"/>
                <w:b/>
                <w:sz w:val="28"/>
                <w:szCs w:val="28"/>
                <w:lang w:eastAsia="zh-CN"/>
              </w:rPr>
              <w:t>（</w:t>
            </w:r>
            <w:r>
              <w:rPr>
                <w:rFonts w:hint="eastAsia" w:ascii="楷体" w:hAnsi="楷体" w:eastAsia="楷体"/>
                <w:b/>
                <w:sz w:val="28"/>
                <w:szCs w:val="28"/>
                <w:lang w:val="en-US" w:eastAsia="zh-CN"/>
              </w:rPr>
              <w:t>6</w:t>
            </w:r>
            <w:r>
              <w:rPr>
                <w:rFonts w:hint="eastAsia" w:ascii="楷体" w:hAnsi="楷体" w:eastAsia="楷体"/>
                <w:b/>
                <w:sz w:val="28"/>
                <w:szCs w:val="28"/>
                <w:lang w:eastAsia="zh-CN"/>
              </w:rPr>
              <w:t>）</w:t>
            </w:r>
          </w:p>
        </w:tc>
      </w:tr>
    </w:tbl>
    <w:p w14:paraId="35D355B3">
      <w:pPr>
        <w:jc w:val="both"/>
        <w:rPr>
          <w:rFonts w:hint="eastAsia" w:ascii="楷体" w:hAnsi="楷体" w:eastAsia="楷体" w:cs="仿宋"/>
          <w:bCs/>
          <w:sz w:val="28"/>
          <w:szCs w:val="28"/>
        </w:rPr>
      </w:pPr>
    </w:p>
    <w:p w14:paraId="16968902">
      <w:pPr>
        <w:spacing w:line="720" w:lineRule="auto"/>
        <w:jc w:val="center"/>
      </w:pPr>
      <w:r>
        <w:rPr>
          <w:rFonts w:hint="eastAsia" w:ascii="楷体" w:hAnsi="楷体" w:eastAsia="楷体"/>
          <w:sz w:val="36"/>
          <w:szCs w:val="36"/>
        </w:rPr>
        <w:br w:type="page"/>
      </w:r>
      <w:r>
        <w:rPr>
          <w:rFonts w:hint="eastAsia" w:ascii="楷体" w:hAnsi="楷体" w:eastAsia="楷体"/>
          <w:kern w:val="2"/>
          <w:sz w:val="36"/>
          <w:szCs w:val="36"/>
          <w:lang w:val="en-US" w:eastAsia="zh-CN" w:bidi="ar-SA"/>
        </w:rPr>
        <w:t>《委托评估协议书》复印件</w:t>
      </w:r>
    </w:p>
    <w:p w14:paraId="6D70BF8C">
      <w:pPr>
        <w:spacing w:line="720" w:lineRule="auto"/>
        <w:jc w:val="center"/>
        <w:rPr>
          <w:rFonts w:hint="eastAsia" w:ascii="楷体" w:hAnsi="楷体" w:eastAsia="楷体"/>
          <w:sz w:val="36"/>
          <w:szCs w:val="36"/>
          <w:lang w:eastAsia="zh-CN"/>
        </w:rPr>
      </w:pPr>
      <w:r>
        <w:rPr>
          <w:rFonts w:hint="eastAsia" w:ascii="楷体" w:hAnsi="楷体" w:eastAsia="楷体"/>
          <w:sz w:val="36"/>
          <w:szCs w:val="36"/>
          <w:lang w:eastAsia="zh-CN"/>
        </w:rPr>
      </w:r>
      <w:r>
        <w:rPr>
          <w:rFonts w:hint="eastAsia" w:ascii="楷体" w:hAnsi="楷体" w:eastAsia="楷体"/>
          <w:sz w:val="36"/>
          <w:szCs w:val="36"/>
          <w:lang w:eastAsia="zh-CN"/>
        </w:rPr>
      </w:r>
    </w:p>
    <w:p w14:paraId="71C4F902">
      <w:pPr>
        <w:spacing w:line="720" w:lineRule="auto"/>
        <w:jc w:val="center"/>
        <w:rPr>
          <w:rFonts w:ascii="楷体" w:hAnsi="楷体" w:eastAsia="楷体"/>
          <w:sz w:val="36"/>
          <w:szCs w:val="36"/>
        </w:rPr>
      </w:pPr>
    </w:p>
    <w:p w14:paraId="7C24305A">
      <w:pPr>
        <w:spacing w:line="720" w:lineRule="auto"/>
        <w:jc w:val="center"/>
        <w:rPr>
          <w:rFonts w:hint="eastAsia" w:ascii="楷体" w:hAnsi="楷体" w:eastAsia="楷体"/>
          <w:sz w:val="36"/>
          <w:szCs w:val="36"/>
        </w:rPr>
      </w:pPr>
      <w:r>
        <w:rPr>
          <w:rFonts w:hint="eastAsia" w:ascii="楷体" w:hAnsi="楷体" w:eastAsia="楷体"/>
          <w:sz w:val="36"/>
          <w:szCs w:val="36"/>
        </w:rPr>
        <w:t>估价人员资质证书复印件</w:t>
      </w:r>
    </w:p>
    <w:tbl>
      <w:tblPr>
        <w:tblStyle w:val="28"/>
        <w:tblW w:w="9233" w:type="dxa"/>
        <w:jc w:val="center"/>
        <w:tblCellSpacing w:w="20" w:type="dxa"/>
        <w:tblBorders>
          <w:top w:val="inset" w:color="auto" w:sz="6" w:space="0"/>
          <w:left w:val="inset" w:color="auto" w:sz="6" w:space="0"/>
          <w:bottom w:val="inset" w:color="auto" w:sz="6" w:space="0"/>
          <w:right w:val="inset" w:color="auto" w:sz="6" w:space="0"/>
          <w:insideH w:val="inset" w:color="auto" w:sz="6" w:space="0"/>
          <w:insideV w:val="inset" w:color="auto" w:sz="6" w:space="0"/>
        </w:tblBorders>
        <w:tblLayout w:type="fixed"/>
        <w:tblCellMar>
          <w:top w:w="0" w:type="dxa"/>
          <w:left w:w="108" w:type="dxa"/>
          <w:bottom w:w="0" w:type="dxa"/>
          <w:right w:w="108" w:type="dxa"/>
        </w:tblCellMar>
      </w:tblPr>
      <w:tblGrid>
        <w:gridCol w:w="9233"/>
      </w:tblGrid>
      <w:tr w14:paraId="1ED10704">
        <w:trPr>
          <w:wBefore w:w="0" w:type="dxa"/>
          <w:wAfter w:w="0" w:type="dxa"/>
          <w:trHeight w:val="6486" w:hRule="exact"/>
          <w:tblCellSpacing w:w="20" w:type="dxa"/>
          <w:jc w:val="center"/>
        </w:trPr>
        <w:tc>
          <w:tcPr>
            <w:tcW w:w="9153" w:type="dxa"/>
            <w:noWrap w:val="0"/>
            <w:vAlign w:val="top"/>
          </w:tcPr>
          <w:p w14:paraId="7AB22457">
            <w:pPr>
              <w:jc w:val="center"/>
              <w:rPr>
                <w:rFonts w:ascii="楷体" w:hAnsi="楷体" w:eastAsia="楷体"/>
                <w:b/>
                <w:sz w:val="32"/>
                <w:szCs w:val="32"/>
              </w:rPr>
            </w:pPr>
            <w:r>
              <w:rPr>
                <w:rFonts w:ascii="楷体" w:hAnsi="楷体" w:eastAsia="楷体"/>
                <w:b/>
                <w:sz w:val="32"/>
                <w:szCs w:val="32"/>
                <w:lang/>
              </w:rPr>
            </w:r>
          </w:p>
        </w:tc>
      </w:tr>
      <w:tr w14:paraId="219FA01B">
        <w:trPr>
          <w:wBefore w:w="0" w:type="dxa"/>
          <w:wAfter w:w="0" w:type="dxa"/>
          <w:trHeight w:val="6329" w:hRule="exact"/>
          <w:tblCellSpacing w:w="20" w:type="dxa"/>
          <w:jc w:val="center"/>
        </w:trPr>
        <w:tc>
          <w:tcPr>
            <w:tcW w:w="9153" w:type="dxa"/>
            <w:noWrap w:val="0"/>
            <w:vAlign w:val="top"/>
          </w:tcPr>
          <w:p w14:paraId="7C6387AA">
            <w:pPr>
              <w:jc w:val="center"/>
              <w:rPr>
                <w:rFonts w:ascii="楷体" w:hAnsi="楷体" w:eastAsia="楷体"/>
                <w:b/>
                <w:sz w:val="32"/>
                <w:szCs w:val="32"/>
              </w:rPr>
            </w:pPr>
            <w:r>
              <w:rPr>
                <w:rFonts w:ascii="楷体" w:hAnsi="楷体" w:eastAsia="楷体"/>
                <w:b/>
                <w:sz w:val="32"/>
                <w:szCs w:val="32"/>
                <w:lang/>
              </w:rPr>
            </w:r>
          </w:p>
        </w:tc>
      </w:tr>
    </w:tbl>
    <w:p w14:paraId="2A843C0B">
      <w:pPr>
        <w:spacing w:line="720" w:lineRule="auto"/>
        <w:jc w:val="center"/>
        <w:rPr>
          <w:rFonts w:hint="eastAsia" w:ascii="楷体" w:hAnsi="楷体" w:eastAsia="楷体"/>
          <w:sz w:val="36"/>
          <w:szCs w:val="36"/>
        </w:rPr>
      </w:pPr>
      <w:r>
        <w:rPr>
          <w:rFonts w:hint="eastAsia" w:ascii="楷体" w:hAnsi="楷体" w:eastAsia="楷体"/>
          <w:sz w:val="36"/>
          <w:szCs w:val="36"/>
        </w:rPr>
        <w:br w:type="page"/>
      </w:r>
      <w:r>
        <w:rPr>
          <w:rFonts w:hint="eastAsia" w:ascii="楷体" w:hAnsi="楷体" w:eastAsia="楷体"/>
          <w:sz w:val="36"/>
          <w:szCs w:val="36"/>
        </w:rPr>
        <w:t>估价机构资质证书复印件</w:t>
      </w:r>
    </w:p>
    <w:p w14:paraId="4730EA2B">
      <w:pPr>
        <w:jc w:val="center"/>
        <w:rPr>
          <w:rFonts w:hint="eastAsia" w:ascii="楷体" w:hAnsi="楷体" w:eastAsia="楷体" w:cs="仿宋"/>
          <w:bCs/>
          <w:sz w:val="28"/>
          <w:szCs w:val="28"/>
        </w:rPr>
      </w:pPr>
      <w:bookmarkStart w:id="108" w:name="_Hlk207891678"/>
      <w:r>
        <w:rPr>
          <w:rFonts w:ascii="楷体" w:hAnsi="楷体" w:eastAsia="楷体" w:cs="仿宋"/>
          <w:bCs/>
          <w:sz w:val="28"/>
          <w:szCs w:val="28"/>
        </w:rPr>
      </w:r>
      <w:bookmarkEnd w:id="108"/>
    </w:p>
    <w:p w14:paraId="3BA735F9">
      <w:pPr>
        <w:spacing w:line="720" w:lineRule="auto"/>
        <w:jc w:val="center"/>
        <w:rPr>
          <w:rFonts w:hint="eastAsia" w:ascii="楷体" w:hAnsi="楷体" w:eastAsia="楷体"/>
          <w:sz w:val="36"/>
          <w:szCs w:val="36"/>
        </w:rPr>
      </w:pPr>
      <w:r>
        <w:rPr>
          <w:rFonts w:hint="eastAsia" w:ascii="楷体" w:hAnsi="楷体" w:eastAsia="楷体"/>
          <w:sz w:val="36"/>
          <w:szCs w:val="36"/>
        </w:rPr>
        <w:br w:type="page"/>
      </w:r>
      <w:r>
        <w:rPr>
          <w:rFonts w:hint="eastAsia" w:ascii="楷体" w:hAnsi="楷体" w:eastAsia="楷体"/>
          <w:sz w:val="36"/>
          <w:szCs w:val="36"/>
        </w:rPr>
        <w:t>估价机构营业执照复印件</w:t>
      </w:r>
    </w:p>
    <w:p w14:paraId="07E3E92E">
      <w:pPr>
        <w:spacing w:line="360" w:lineRule="auto"/>
        <w:ind w:left="-174" w:leftChars="-83" w:right="-71" w:rightChars="-34" w:firstLine="31" w:firstLineChars="7"/>
        <w:jc w:val="center"/>
        <w:rPr>
          <w:rFonts w:ascii="楷体" w:hAnsi="楷体" w:eastAsia="楷体" w:cs="宋体"/>
          <w:b/>
          <w:sz w:val="44"/>
          <w:szCs w:val="44"/>
        </w:rPr>
      </w:pPr>
      <w:r>
        <w:rPr>
          <w:rFonts w:ascii="楷体" w:hAnsi="楷体" w:eastAsia="楷体" w:cs="宋体"/>
          <w:b/>
          <w:color w:val="000000"/>
          <w:sz w:val="44"/>
          <w:szCs w:val="44"/>
        </w:rPr>
      </w:r>
    </w:p>
    <w:p>
      <w:pPr>
        <w:jc w:val="center"/>
      </w:pPr>
      <w:r>
        <w:t>{% if has_attachments %}</w:t>
      </w:r>
      <w:r>
        <w:br w:type="page"/>
        <w:t>{% for img in attachment_images %}</w:t>
      </w:r>
      <w:r>
        <w:t>{{ img }}</w:t>
      </w:r>
      <w:r>
        <w:t>{% endfor %}</w:t>
      </w:r>
      <w:r>
        <w:t>{% endif %}</w:t>
      </w:r>
    </w:p>
    <w:sectPr>
      <w:pgSz w:w="11906" w:h="16838"/>
      <w:pgMar w:top="1418" w:right="1134" w:bottom="1134" w:left="1418" w:header="851" w:footer="851" w:gutter="284"/>
      <w:pgNumType w:start="5" w:chapStyle="1"/>
      <w:cols w:space="720"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Arial">
    <w:panose1 w:val="020B0604020202090204"/>
    <w:charset w:val="00"/>
    <w:family w:val="swiss"/>
    <w:pitch w:val="default"/>
    <w:sig w:usb0="E0000AFF" w:usb1="00007843" w:usb2="00000001" w:usb3="00000000" w:csb0="400001BF" w:csb1="DFF70000"/>
  </w:font>
  <w:font w:name="黑体">
    <w:altName w:val="汉仪中黑KW"/>
    <w:panose1 w:val="02010609060101010101"/>
    <w:charset w:val="00"/>
    <w:family w:val="auto"/>
    <w:pitch w:val="default"/>
    <w:sig w:usb0="800002BF" w:usb1="38CF7CFA" w:usb2="00000016" w:usb3="00000000" w:csb0="00040001" w:csb1="00000000"/>
  </w:font>
  <w:font w:name="仿宋_GB2312">
    <w:altName w:val="方正仿宋_GBK"/>
    <w:panose1 w:val="00000000000000000000"/>
    <w:charset w:val="00"/>
    <w:family w:val="modern"/>
    <w:pitch w:val="default"/>
    <w:sig w:usb0="00000001" w:usb1="080E0000" w:usb2="00000010" w:usb3="00000000" w:csb0="00040000" w:csb1="00000000"/>
  </w:font>
  <w:font w:name="Tahoma">
    <w:panose1 w:val="020B0604030504040204"/>
    <w:charset w:val="00"/>
    <w:family w:val="swiss"/>
    <w:pitch w:val="default"/>
    <w:sig w:usb0="E1002AFF" w:usb1="C000605B" w:usb2="00000029" w:usb3="00000000" w:csb0="200101FF" w:csb1="20280000"/>
  </w:font>
  <w:font w:name="Courier New">
    <w:panose1 w:val="02070409020205090404"/>
    <w:charset w:val="00"/>
    <w:family w:val="modern"/>
    <w:pitch w:val="default"/>
    <w:sig w:usb0="E0000AFF" w:usb1="40007843" w:usb2="00000001" w:usb3="00000000" w:csb0="400001BF" w:csb1="DFF70000"/>
  </w:font>
  <w:font w:name="Cambria">
    <w:altName w:val="苹方-简"/>
    <w:panose1 w:val="02040503050406030204"/>
    <w:charset w:val="00"/>
    <w:family w:val="roman"/>
    <w:pitch w:val="default"/>
    <w:sig w:usb0="E00006FF" w:usb1="420024FF" w:usb2="02000000" w:usb3="00000000" w:csb0="2000019F" w:csb1="00000000"/>
  </w:font>
  <w:font w:name="隶书">
    <w:altName w:val="报隶-简"/>
    <w:panose1 w:val="02010509060101010101"/>
    <w:charset w:val="00"/>
    <w:family w:val="modern"/>
    <w:pitch w:val="default"/>
    <w:sig w:usb0="00000001" w:usb1="080E0000" w:usb2="00000000" w:usb3="00000000" w:csb0="00040000" w:csb1="00000000"/>
  </w:font>
  <w:font w:name="楷体">
    <w:altName w:val="汉仪楷体KW"/>
    <w:panose1 w:val="02010609060101010101"/>
    <w:charset w:val="00"/>
    <w:family w:val="modern"/>
    <w:pitch w:val="default"/>
    <w:sig w:usb0="800002BF" w:usb1="38CF7CFA" w:usb2="00000016" w:usb3="00000000" w:csb0="00040001" w:csb1="00000000"/>
  </w:font>
  <w:font w:name="仿宋">
    <w:altName w:val="方正仿宋_GBK"/>
    <w:panose1 w:val="02010609060101010101"/>
    <w:charset w:val="00"/>
    <w:family w:val="modern"/>
    <w:pitch w:val="default"/>
    <w:sig w:usb0="800002BF" w:usb1="38CF7CFA" w:usb2="00000016" w:usb3="00000000" w:csb0="00040001" w:csb1="00000000"/>
  </w:font>
  <w:font w:name="汉仪楷体KW">
    <w:panose1 w:val="00020600040101010101"/>
    <w:charset w:val="86"/>
    <w:family w:val="auto"/>
    <w:pitch w:val="default"/>
    <w:sig w:usb0="A00002BF" w:usb1="18EF7CFA" w:usb2="00000016" w:usb3="00000000" w:csb0="00040000" w:csb1="00000000"/>
  </w:font>
  <w:font w:name="汉仪书宋二KW">
    <w:panose1 w:val="00020600040101010101"/>
    <w:charset w:val="86"/>
    <w:family w:val="auto"/>
    <w:pitch w:val="default"/>
    <w:sig w:usb0="A00002BF" w:usb1="18EF7CFA" w:usb2="00000016" w:usb3="00000000" w:csb0="00040000" w:csb1="00000000"/>
  </w:font>
  <w:font w:name="报隶-简">
    <w:panose1 w:val="02010600040101010101"/>
    <w:charset w:val="86"/>
    <w:family w:val="auto"/>
    <w:pitch w:val="default"/>
    <w:sig w:usb0="80000287" w:usb1="280F3C52" w:usb2="00000016" w:usb3="00000000" w:csb0="0004001F" w:csb1="00000000"/>
  </w:font>
  <w:font w:name="苹方-简">
    <w:panose1 w:val="020B0400000000000000"/>
    <w:charset w:val="86"/>
    <w:family w:val="auto"/>
    <w:pitch w:val="default"/>
    <w:sig w:usb0="A00002FF" w:usb1="7ACFFDFB" w:usb2="00000017" w:usb3="00000000" w:csb0="00040001" w:csb1="00000000"/>
  </w:font>
  <w:font w:name="方正仿宋_GBK">
    <w:panose1 w:val="02000000000000000000"/>
    <w:charset w:val="86"/>
    <w:family w:val="auto"/>
    <w:pitch w:val="default"/>
    <w:sig w:usb0="A00002BF" w:usb1="38CF7CFA" w:usb2="00082016" w:usb3="00000000" w:csb0="00040001" w:csb1="00000000"/>
  </w:font>
  <w:font w:name="汉仪中黑KW">
    <w:panose1 w:val="00020600040101010101"/>
    <w:charset w:val="86"/>
    <w:family w:val="auto"/>
    <w:pitch w:val="default"/>
    <w:sig w:usb0="A00002BF" w:usb1="18EF7CFA" w:usb2="00000016" w:usb3="00000000" w:csb0="00040000" w:csb1="00000000"/>
  </w:font>
  <w:font w:name="Helvetica Neue">
    <w:panose1 w:val="02000503000000020004"/>
    <w:charset w:val="00"/>
    <w:family w:val="auto"/>
    <w:pitch w:val="default"/>
    <w:sig w:usb0="E50002FF" w:usb1="500079DB" w:usb2="00000010" w:usb3="00000000" w:csb0="00000000" w:csb1="00000000"/>
  </w:font>
  <w:font w:name="Kingsoft Sign">
    <w:panose1 w:val="05050102010706020507"/>
    <w:charset w:val="00"/>
    <w:family w:val="auto"/>
    <w:pitch w:val="default"/>
    <w:sig w:usb0="00000000" w:usb1="10000000" w:usb2="00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845893E">
    <w:pPr>
      <w:pStyle w:val="17"/>
      <w:jc w:val="both"/>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E014E22">
    <w:pPr>
      <w:pStyle w:val="17"/>
      <w:jc w:val="both"/>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1BFCD8D">
    <w:pPr>
      <w:pStyle w:val="17"/>
      <w:jc w:val="center"/>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FBE3211">
    <w:pPr>
      <w:pStyle w:val="17"/>
      <w:jc w:val="center"/>
    </w:pPr>
    <w:r>
      <w:rPr>
        <w:rFonts w:hint="eastAsia"/>
        <w:szCs w:val="21"/>
      </w:rPr>
      <w:t xml:space="preserve">第 </w:t>
    </w:r>
    <w:r>
      <w:rPr>
        <w:szCs w:val="21"/>
      </w:rPr>
      <w:fldChar w:fldCharType="begin"/>
    </w:r>
    <w:r>
      <w:rPr>
        <w:szCs w:val="21"/>
      </w:rPr>
      <w:instrText xml:space="preserve"> PAGE </w:instrText>
    </w:r>
    <w:r>
      <w:rPr>
        <w:szCs w:val="21"/>
      </w:rPr>
      <w:fldChar w:fldCharType="separate"/>
    </w:r>
    <w:r>
      <w:rPr>
        <w:szCs w:val="21"/>
        <w:lang/>
      </w:rPr>
      <w:t>22</w:t>
    </w:r>
    <w:r>
      <w:rPr>
        <w:szCs w:val="21"/>
      </w:rPr>
      <w:fldChar w:fldCharType="end"/>
    </w:r>
    <w:r>
      <w:rPr>
        <w:rFonts w:hint="eastAsia"/>
        <w:szCs w:val="21"/>
      </w:rPr>
      <w:t xml:space="preserve"> 页</w: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E7C92F2">
    <w:pPr>
      <w:pStyle w:val="18"/>
      <w:tabs>
        <w:tab w:val="right" w:pos="9214"/>
        <w:tab w:val="clear" w:pos="8306"/>
      </w:tabs>
      <w:spacing w:line="240" w:lineRule="atLeast"/>
      <w:ind w:right="-2"/>
      <w:jc w:val="right"/>
      <w:rPr>
        <w:rFonts w:ascii="楷体" w:hAnsi="楷体" w:eastAsia="楷体" w:cs="宋体"/>
        <w:b/>
        <w:i/>
        <w:sz w:val="21"/>
      </w:rPr>
    </w:pPr>
    <w:r>
      <w:rPr>
        <w:rFonts w:ascii="宋体" w:hAnsi="宋体"/>
        <w:i/>
        <w:sz w:val="21"/>
      </w:rPr>
      <w:drawing>
        <wp:inline distT="0" distB="0" distL="114300" distR="114300">
          <wp:extent cx="674370" cy="313055"/>
          <wp:effectExtent l="0" t="0" r="11430" b="17145"/>
          <wp:docPr id="15" name="图片 1" descr="dfe721a5f01e8576aab4047b67f2eb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 descr="dfe721a5f01e8576aab4047b67f2eb0"/>
                  <pic:cNvPicPr>
                    <a:picLocks noChangeAspect="1"/>
                  </pic:cNvPicPr>
                </pic:nvPicPr>
                <pic:blipFill>
                  <a:blip r:embed="rId1"/>
                  <a:stretch>
                    <a:fillRect/>
                  </a:stretch>
                </pic:blipFill>
                <pic:spPr>
                  <a:xfrm>
                    <a:off x="0" y="0"/>
                    <a:ext cx="674370" cy="313055"/>
                  </a:xfrm>
                  <a:prstGeom prst="rect">
                    <a:avLst/>
                  </a:prstGeom>
                  <a:noFill/>
                  <a:ln>
                    <a:noFill/>
                  </a:ln>
                </pic:spPr>
              </pic:pic>
            </a:graphicData>
          </a:graphic>
        </wp:inline>
      </w:drawing>
    </w:r>
    <w:r>
      <w:rPr>
        <w:rFonts w:hint="eastAsia" w:ascii="宋体" w:hAnsi="宋体"/>
        <w:i/>
        <w:sz w:val="21"/>
      </w:rPr>
      <w:t xml:space="preserve">                  </w:t>
    </w:r>
    <w:r>
      <w:rPr>
        <w:rFonts w:hint="eastAsia" w:ascii="宋体" w:hAnsi="宋体"/>
        <w:sz w:val="21"/>
      </w:rPr>
      <w:t xml:space="preserve"> </w:t>
    </w:r>
    <w:r>
      <w:rPr>
        <w:rFonts w:hint="eastAsia" w:ascii="隶书" w:eastAsia="隶书"/>
        <w:color w:val="333399"/>
        <w:sz w:val="24"/>
      </w:rPr>
      <w:t xml:space="preserve">   </w:t>
    </w:r>
    <w:r>
      <w:rPr>
        <w:rFonts w:hint="eastAsia" w:ascii="楷体" w:hAnsi="楷体" w:eastAsia="楷体" w:cs="宋体"/>
        <w:b/>
        <w:sz w:val="21"/>
      </w:rPr>
      <w:t>浙江正恒房地产土地资产评估咨询有限公司·</w:t>
    </w:r>
    <w:r>
      <w:rPr>
        <w:rFonts w:hint="eastAsia" w:ascii="楷体" w:hAnsi="楷体" w:eastAsia="楷体" w:cs="宋体"/>
        <w:b/>
        <w:sz w:val="21"/>
        <w:lang w:val="en-US" w:eastAsia="zh-CN"/>
      </w:rPr>
      <w:t>房地产</w:t>
    </w:r>
    <w:r>
      <w:rPr>
        <w:rFonts w:hint="eastAsia" w:ascii="楷体" w:hAnsi="楷体" w:eastAsia="楷体" w:cs="宋体"/>
        <w:b/>
        <w:sz w:val="21"/>
        <w:lang w:val="en-US" w:eastAsia="zh-CN"/>
      </w:rPr>
      <w:t>估价</w:t>
    </w:r>
    <w:r>
      <w:rPr>
        <w:rFonts w:hint="eastAsia" w:ascii="楷体" w:hAnsi="楷体" w:eastAsia="楷体" w:cs="宋体"/>
        <w:b/>
        <w:sz w:val="21"/>
      </w:rPr>
      <w:t>报告</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2"/>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420"/>
  <w:hyphenationZone w:val="360"/>
  <w:drawingGridHorizontalSpacing w:val="105"/>
  <w:drawingGridVerticalSpacing w:val="192"/>
  <w:displayHorizontalDrawingGridEvery w:val="1"/>
  <w:displayVerticalDrawingGridEvery w:val="1"/>
  <w:noPunctuationKerning w:val="1"/>
  <w:characterSpacingControl w:val="compressPunctuation"/>
  <w:compat>
    <w:spaceForUL/>
    <w:balanceSingleByteDoubleByteWidth/>
    <w:doNotLeaveBackslashAlon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75D5A"/>
    <w:rsid w:val="000009BB"/>
    <w:rsid w:val="00001AE2"/>
    <w:rsid w:val="0000216F"/>
    <w:rsid w:val="000027D0"/>
    <w:rsid w:val="000033AA"/>
    <w:rsid w:val="00003F02"/>
    <w:rsid w:val="00003FB4"/>
    <w:rsid w:val="00004982"/>
    <w:rsid w:val="00005C83"/>
    <w:rsid w:val="0000670A"/>
    <w:rsid w:val="00006D96"/>
    <w:rsid w:val="00007618"/>
    <w:rsid w:val="00007B3D"/>
    <w:rsid w:val="00010377"/>
    <w:rsid w:val="000111B0"/>
    <w:rsid w:val="00012A25"/>
    <w:rsid w:val="000143A3"/>
    <w:rsid w:val="00014D41"/>
    <w:rsid w:val="000153AC"/>
    <w:rsid w:val="000163D3"/>
    <w:rsid w:val="0001662A"/>
    <w:rsid w:val="00016CE7"/>
    <w:rsid w:val="000200F0"/>
    <w:rsid w:val="0002158C"/>
    <w:rsid w:val="000246FF"/>
    <w:rsid w:val="000248DD"/>
    <w:rsid w:val="00025335"/>
    <w:rsid w:val="00025398"/>
    <w:rsid w:val="00025636"/>
    <w:rsid w:val="00026CF9"/>
    <w:rsid w:val="00026D39"/>
    <w:rsid w:val="00030261"/>
    <w:rsid w:val="00030353"/>
    <w:rsid w:val="000309E0"/>
    <w:rsid w:val="00031B44"/>
    <w:rsid w:val="00031FF4"/>
    <w:rsid w:val="00032019"/>
    <w:rsid w:val="00032388"/>
    <w:rsid w:val="00032B7A"/>
    <w:rsid w:val="000334E7"/>
    <w:rsid w:val="000334F1"/>
    <w:rsid w:val="0003390E"/>
    <w:rsid w:val="00035301"/>
    <w:rsid w:val="00035863"/>
    <w:rsid w:val="00036939"/>
    <w:rsid w:val="000372E0"/>
    <w:rsid w:val="0003762C"/>
    <w:rsid w:val="00041A96"/>
    <w:rsid w:val="00041BCA"/>
    <w:rsid w:val="00042D7F"/>
    <w:rsid w:val="0004357A"/>
    <w:rsid w:val="0004365A"/>
    <w:rsid w:val="000436B1"/>
    <w:rsid w:val="00045F02"/>
    <w:rsid w:val="000475C8"/>
    <w:rsid w:val="00047D5C"/>
    <w:rsid w:val="000505BE"/>
    <w:rsid w:val="0005061D"/>
    <w:rsid w:val="0005070B"/>
    <w:rsid w:val="00050D83"/>
    <w:rsid w:val="000512C5"/>
    <w:rsid w:val="000513C7"/>
    <w:rsid w:val="00051587"/>
    <w:rsid w:val="00052508"/>
    <w:rsid w:val="000526E1"/>
    <w:rsid w:val="00054124"/>
    <w:rsid w:val="000541FB"/>
    <w:rsid w:val="00054A10"/>
    <w:rsid w:val="00055B3F"/>
    <w:rsid w:val="00057421"/>
    <w:rsid w:val="00057582"/>
    <w:rsid w:val="00057D19"/>
    <w:rsid w:val="00057EAA"/>
    <w:rsid w:val="0006065C"/>
    <w:rsid w:val="000614F3"/>
    <w:rsid w:val="00062072"/>
    <w:rsid w:val="00063894"/>
    <w:rsid w:val="00063B28"/>
    <w:rsid w:val="000646AE"/>
    <w:rsid w:val="000661FB"/>
    <w:rsid w:val="0006664D"/>
    <w:rsid w:val="00066675"/>
    <w:rsid w:val="00066F73"/>
    <w:rsid w:val="00067951"/>
    <w:rsid w:val="000728B5"/>
    <w:rsid w:val="000729A2"/>
    <w:rsid w:val="0007418E"/>
    <w:rsid w:val="00074209"/>
    <w:rsid w:val="00074588"/>
    <w:rsid w:val="00074B1A"/>
    <w:rsid w:val="00075DAD"/>
    <w:rsid w:val="00075E1E"/>
    <w:rsid w:val="00076864"/>
    <w:rsid w:val="000778FE"/>
    <w:rsid w:val="00081869"/>
    <w:rsid w:val="0008221E"/>
    <w:rsid w:val="0008256C"/>
    <w:rsid w:val="00082616"/>
    <w:rsid w:val="000827EF"/>
    <w:rsid w:val="0008304F"/>
    <w:rsid w:val="0008398D"/>
    <w:rsid w:val="00083B7E"/>
    <w:rsid w:val="000840DC"/>
    <w:rsid w:val="00085637"/>
    <w:rsid w:val="0008600E"/>
    <w:rsid w:val="00087C4D"/>
    <w:rsid w:val="0009091C"/>
    <w:rsid w:val="00090FBB"/>
    <w:rsid w:val="0009143F"/>
    <w:rsid w:val="00092DDE"/>
    <w:rsid w:val="0009357B"/>
    <w:rsid w:val="000940F4"/>
    <w:rsid w:val="000945E4"/>
    <w:rsid w:val="00095A6B"/>
    <w:rsid w:val="00095DC1"/>
    <w:rsid w:val="00097E85"/>
    <w:rsid w:val="000A1054"/>
    <w:rsid w:val="000A1804"/>
    <w:rsid w:val="000A1C02"/>
    <w:rsid w:val="000A2707"/>
    <w:rsid w:val="000A3397"/>
    <w:rsid w:val="000A3613"/>
    <w:rsid w:val="000A5FAA"/>
    <w:rsid w:val="000A5FF5"/>
    <w:rsid w:val="000A73EB"/>
    <w:rsid w:val="000B02B9"/>
    <w:rsid w:val="000B1E2C"/>
    <w:rsid w:val="000B2BEC"/>
    <w:rsid w:val="000B3204"/>
    <w:rsid w:val="000B4C5C"/>
    <w:rsid w:val="000B7097"/>
    <w:rsid w:val="000B7D48"/>
    <w:rsid w:val="000C02B2"/>
    <w:rsid w:val="000C08B4"/>
    <w:rsid w:val="000C1DC8"/>
    <w:rsid w:val="000C1EEE"/>
    <w:rsid w:val="000C2237"/>
    <w:rsid w:val="000C25A5"/>
    <w:rsid w:val="000C2F88"/>
    <w:rsid w:val="000C4672"/>
    <w:rsid w:val="000C62D8"/>
    <w:rsid w:val="000C7700"/>
    <w:rsid w:val="000D1464"/>
    <w:rsid w:val="000D1E1E"/>
    <w:rsid w:val="000D23D9"/>
    <w:rsid w:val="000D2EB3"/>
    <w:rsid w:val="000D2F78"/>
    <w:rsid w:val="000D3265"/>
    <w:rsid w:val="000D3D04"/>
    <w:rsid w:val="000D4D29"/>
    <w:rsid w:val="000D4D74"/>
    <w:rsid w:val="000D4FBB"/>
    <w:rsid w:val="000D5AD7"/>
    <w:rsid w:val="000D6874"/>
    <w:rsid w:val="000D7669"/>
    <w:rsid w:val="000D787B"/>
    <w:rsid w:val="000E1D7E"/>
    <w:rsid w:val="000E1EBC"/>
    <w:rsid w:val="000E2A6D"/>
    <w:rsid w:val="000E4B33"/>
    <w:rsid w:val="000E5456"/>
    <w:rsid w:val="000E6185"/>
    <w:rsid w:val="000E626C"/>
    <w:rsid w:val="000E6CD1"/>
    <w:rsid w:val="000E6D46"/>
    <w:rsid w:val="000E709D"/>
    <w:rsid w:val="000F02B5"/>
    <w:rsid w:val="000F06FA"/>
    <w:rsid w:val="000F0AC2"/>
    <w:rsid w:val="000F11E1"/>
    <w:rsid w:val="000F12EA"/>
    <w:rsid w:val="000F13F2"/>
    <w:rsid w:val="000F1C8C"/>
    <w:rsid w:val="000F3B0B"/>
    <w:rsid w:val="000F41ED"/>
    <w:rsid w:val="000F439E"/>
    <w:rsid w:val="000F5F59"/>
    <w:rsid w:val="000F62E7"/>
    <w:rsid w:val="000F7775"/>
    <w:rsid w:val="000F7978"/>
    <w:rsid w:val="000F7A35"/>
    <w:rsid w:val="000F7D11"/>
    <w:rsid w:val="00100979"/>
    <w:rsid w:val="0010191B"/>
    <w:rsid w:val="00101B09"/>
    <w:rsid w:val="00102593"/>
    <w:rsid w:val="0010268E"/>
    <w:rsid w:val="00103309"/>
    <w:rsid w:val="0010343D"/>
    <w:rsid w:val="001045EA"/>
    <w:rsid w:val="00104CF8"/>
    <w:rsid w:val="001057FF"/>
    <w:rsid w:val="00107BB7"/>
    <w:rsid w:val="00107F88"/>
    <w:rsid w:val="00110196"/>
    <w:rsid w:val="00110958"/>
    <w:rsid w:val="00110CDF"/>
    <w:rsid w:val="001124D5"/>
    <w:rsid w:val="00113E53"/>
    <w:rsid w:val="00113F48"/>
    <w:rsid w:val="00114617"/>
    <w:rsid w:val="00114CCA"/>
    <w:rsid w:val="00114E33"/>
    <w:rsid w:val="00115127"/>
    <w:rsid w:val="00115EC7"/>
    <w:rsid w:val="001161D0"/>
    <w:rsid w:val="0011629E"/>
    <w:rsid w:val="00116485"/>
    <w:rsid w:val="00117FCE"/>
    <w:rsid w:val="00120E02"/>
    <w:rsid w:val="001217FF"/>
    <w:rsid w:val="0012269C"/>
    <w:rsid w:val="0012387F"/>
    <w:rsid w:val="0012578E"/>
    <w:rsid w:val="00125CE4"/>
    <w:rsid w:val="0012645A"/>
    <w:rsid w:val="0012645B"/>
    <w:rsid w:val="001265F1"/>
    <w:rsid w:val="0012707B"/>
    <w:rsid w:val="00127C7F"/>
    <w:rsid w:val="00130075"/>
    <w:rsid w:val="001306CF"/>
    <w:rsid w:val="00131409"/>
    <w:rsid w:val="001316BC"/>
    <w:rsid w:val="0013184B"/>
    <w:rsid w:val="00132822"/>
    <w:rsid w:val="001331D7"/>
    <w:rsid w:val="0013356B"/>
    <w:rsid w:val="001338AE"/>
    <w:rsid w:val="00136F2D"/>
    <w:rsid w:val="00136FF9"/>
    <w:rsid w:val="001379FF"/>
    <w:rsid w:val="00137C64"/>
    <w:rsid w:val="00137DCB"/>
    <w:rsid w:val="001400A1"/>
    <w:rsid w:val="001424AE"/>
    <w:rsid w:val="001425BD"/>
    <w:rsid w:val="001445FA"/>
    <w:rsid w:val="0014499E"/>
    <w:rsid w:val="00145B40"/>
    <w:rsid w:val="00145D98"/>
    <w:rsid w:val="00146591"/>
    <w:rsid w:val="00147B17"/>
    <w:rsid w:val="001503FD"/>
    <w:rsid w:val="00150497"/>
    <w:rsid w:val="0015105C"/>
    <w:rsid w:val="00151307"/>
    <w:rsid w:val="00151CC1"/>
    <w:rsid w:val="00152435"/>
    <w:rsid w:val="00152F8A"/>
    <w:rsid w:val="0015407C"/>
    <w:rsid w:val="0015507A"/>
    <w:rsid w:val="0015582F"/>
    <w:rsid w:val="00155BDF"/>
    <w:rsid w:val="001561FA"/>
    <w:rsid w:val="001566E7"/>
    <w:rsid w:val="001575A0"/>
    <w:rsid w:val="00160653"/>
    <w:rsid w:val="0016078C"/>
    <w:rsid w:val="001607CA"/>
    <w:rsid w:val="00160CA4"/>
    <w:rsid w:val="00161661"/>
    <w:rsid w:val="00161FCA"/>
    <w:rsid w:val="001636C5"/>
    <w:rsid w:val="00164A04"/>
    <w:rsid w:val="0016518E"/>
    <w:rsid w:val="0016644F"/>
    <w:rsid w:val="001672BE"/>
    <w:rsid w:val="001679EF"/>
    <w:rsid w:val="00170707"/>
    <w:rsid w:val="00170E70"/>
    <w:rsid w:val="0017388A"/>
    <w:rsid w:val="00173B77"/>
    <w:rsid w:val="00174391"/>
    <w:rsid w:val="0017499B"/>
    <w:rsid w:val="001757D0"/>
    <w:rsid w:val="00175C96"/>
    <w:rsid w:val="00175D5A"/>
    <w:rsid w:val="0017617F"/>
    <w:rsid w:val="0017624C"/>
    <w:rsid w:val="00177179"/>
    <w:rsid w:val="00177192"/>
    <w:rsid w:val="00177256"/>
    <w:rsid w:val="001773CB"/>
    <w:rsid w:val="00180F05"/>
    <w:rsid w:val="00181F64"/>
    <w:rsid w:val="00182612"/>
    <w:rsid w:val="00182F27"/>
    <w:rsid w:val="001848EC"/>
    <w:rsid w:val="00185060"/>
    <w:rsid w:val="0018530C"/>
    <w:rsid w:val="0018545A"/>
    <w:rsid w:val="00185550"/>
    <w:rsid w:val="00186365"/>
    <w:rsid w:val="00186C82"/>
    <w:rsid w:val="00186DD9"/>
    <w:rsid w:val="00186E52"/>
    <w:rsid w:val="00186E72"/>
    <w:rsid w:val="00191572"/>
    <w:rsid w:val="0019208F"/>
    <w:rsid w:val="00192CE5"/>
    <w:rsid w:val="00192E40"/>
    <w:rsid w:val="00193A54"/>
    <w:rsid w:val="00194874"/>
    <w:rsid w:val="00194D7D"/>
    <w:rsid w:val="00195912"/>
    <w:rsid w:val="00195DFB"/>
    <w:rsid w:val="00196622"/>
    <w:rsid w:val="00196DE2"/>
    <w:rsid w:val="00197085"/>
    <w:rsid w:val="001976A1"/>
    <w:rsid w:val="001A0818"/>
    <w:rsid w:val="001A09A2"/>
    <w:rsid w:val="001A0D9A"/>
    <w:rsid w:val="001A0EB4"/>
    <w:rsid w:val="001A0F75"/>
    <w:rsid w:val="001A2227"/>
    <w:rsid w:val="001A2251"/>
    <w:rsid w:val="001A240E"/>
    <w:rsid w:val="001A3269"/>
    <w:rsid w:val="001A3C70"/>
    <w:rsid w:val="001A3D6F"/>
    <w:rsid w:val="001A5636"/>
    <w:rsid w:val="001A65A6"/>
    <w:rsid w:val="001A7062"/>
    <w:rsid w:val="001B0D1F"/>
    <w:rsid w:val="001B0DDD"/>
    <w:rsid w:val="001B16D7"/>
    <w:rsid w:val="001B1E83"/>
    <w:rsid w:val="001B1FAF"/>
    <w:rsid w:val="001B2361"/>
    <w:rsid w:val="001B2457"/>
    <w:rsid w:val="001B32A0"/>
    <w:rsid w:val="001B3988"/>
    <w:rsid w:val="001B6DF6"/>
    <w:rsid w:val="001B7171"/>
    <w:rsid w:val="001B753C"/>
    <w:rsid w:val="001B75A1"/>
    <w:rsid w:val="001B79A0"/>
    <w:rsid w:val="001C0AC6"/>
    <w:rsid w:val="001C0D01"/>
    <w:rsid w:val="001C1F27"/>
    <w:rsid w:val="001C2A54"/>
    <w:rsid w:val="001C3169"/>
    <w:rsid w:val="001C33E7"/>
    <w:rsid w:val="001C5A87"/>
    <w:rsid w:val="001C5B95"/>
    <w:rsid w:val="001C63D8"/>
    <w:rsid w:val="001C7083"/>
    <w:rsid w:val="001C7361"/>
    <w:rsid w:val="001C751D"/>
    <w:rsid w:val="001D1ABF"/>
    <w:rsid w:val="001D23DA"/>
    <w:rsid w:val="001D2A04"/>
    <w:rsid w:val="001D341F"/>
    <w:rsid w:val="001D60E5"/>
    <w:rsid w:val="001D669B"/>
    <w:rsid w:val="001D669D"/>
    <w:rsid w:val="001D6EB7"/>
    <w:rsid w:val="001D70E5"/>
    <w:rsid w:val="001D75C6"/>
    <w:rsid w:val="001D7EC4"/>
    <w:rsid w:val="001E03B4"/>
    <w:rsid w:val="001E108E"/>
    <w:rsid w:val="001E22F6"/>
    <w:rsid w:val="001E24BC"/>
    <w:rsid w:val="001E2883"/>
    <w:rsid w:val="001E4225"/>
    <w:rsid w:val="001E4312"/>
    <w:rsid w:val="001E519A"/>
    <w:rsid w:val="001E5E66"/>
    <w:rsid w:val="001F1983"/>
    <w:rsid w:val="001F1C12"/>
    <w:rsid w:val="001F2EB7"/>
    <w:rsid w:val="001F3EB5"/>
    <w:rsid w:val="001F3FB8"/>
    <w:rsid w:val="001F4626"/>
    <w:rsid w:val="001F4DC1"/>
    <w:rsid w:val="001F674F"/>
    <w:rsid w:val="00200C12"/>
    <w:rsid w:val="00200E5C"/>
    <w:rsid w:val="00201239"/>
    <w:rsid w:val="002013A3"/>
    <w:rsid w:val="00201F2F"/>
    <w:rsid w:val="00203E31"/>
    <w:rsid w:val="00204122"/>
    <w:rsid w:val="00206F6D"/>
    <w:rsid w:val="00211881"/>
    <w:rsid w:val="002129C2"/>
    <w:rsid w:val="0021386D"/>
    <w:rsid w:val="00214195"/>
    <w:rsid w:val="00214342"/>
    <w:rsid w:val="002158C7"/>
    <w:rsid w:val="0021596C"/>
    <w:rsid w:val="00216821"/>
    <w:rsid w:val="00216EEF"/>
    <w:rsid w:val="00217013"/>
    <w:rsid w:val="002173D2"/>
    <w:rsid w:val="00217835"/>
    <w:rsid w:val="00221D88"/>
    <w:rsid w:val="00221ECA"/>
    <w:rsid w:val="00221F9F"/>
    <w:rsid w:val="00222596"/>
    <w:rsid w:val="00224D2E"/>
    <w:rsid w:val="00224DBE"/>
    <w:rsid w:val="0022541E"/>
    <w:rsid w:val="002258C2"/>
    <w:rsid w:val="00225BD3"/>
    <w:rsid w:val="00225C5F"/>
    <w:rsid w:val="0022606B"/>
    <w:rsid w:val="00226089"/>
    <w:rsid w:val="002267AE"/>
    <w:rsid w:val="00227283"/>
    <w:rsid w:val="0023014A"/>
    <w:rsid w:val="00230377"/>
    <w:rsid w:val="00231B55"/>
    <w:rsid w:val="002331C1"/>
    <w:rsid w:val="00233D42"/>
    <w:rsid w:val="0023602A"/>
    <w:rsid w:val="00237A94"/>
    <w:rsid w:val="00237D76"/>
    <w:rsid w:val="00240B3A"/>
    <w:rsid w:val="00240FDF"/>
    <w:rsid w:val="00240FEB"/>
    <w:rsid w:val="00241590"/>
    <w:rsid w:val="00243819"/>
    <w:rsid w:val="002439E8"/>
    <w:rsid w:val="00244EAE"/>
    <w:rsid w:val="00245D1E"/>
    <w:rsid w:val="00246353"/>
    <w:rsid w:val="002463D7"/>
    <w:rsid w:val="00246560"/>
    <w:rsid w:val="002465F8"/>
    <w:rsid w:val="0024727A"/>
    <w:rsid w:val="0024770B"/>
    <w:rsid w:val="00247DB9"/>
    <w:rsid w:val="002501C9"/>
    <w:rsid w:val="002502D7"/>
    <w:rsid w:val="0025107F"/>
    <w:rsid w:val="0025150D"/>
    <w:rsid w:val="002524F4"/>
    <w:rsid w:val="00253136"/>
    <w:rsid w:val="002538CE"/>
    <w:rsid w:val="00254CD5"/>
    <w:rsid w:val="002555FB"/>
    <w:rsid w:val="002557B1"/>
    <w:rsid w:val="00256209"/>
    <w:rsid w:val="00257177"/>
    <w:rsid w:val="002578A6"/>
    <w:rsid w:val="00260511"/>
    <w:rsid w:val="002622FA"/>
    <w:rsid w:val="002636E6"/>
    <w:rsid w:val="00264001"/>
    <w:rsid w:val="0026448F"/>
    <w:rsid w:val="002651BE"/>
    <w:rsid w:val="00265A04"/>
    <w:rsid w:val="00265A1A"/>
    <w:rsid w:val="00265A9D"/>
    <w:rsid w:val="00266201"/>
    <w:rsid w:val="002669D8"/>
    <w:rsid w:val="00267ECA"/>
    <w:rsid w:val="0027125F"/>
    <w:rsid w:val="0027354F"/>
    <w:rsid w:val="00273682"/>
    <w:rsid w:val="0027376A"/>
    <w:rsid w:val="00274FB4"/>
    <w:rsid w:val="0027562E"/>
    <w:rsid w:val="002757BB"/>
    <w:rsid w:val="0027766B"/>
    <w:rsid w:val="00277DD8"/>
    <w:rsid w:val="00277FA3"/>
    <w:rsid w:val="00281B0B"/>
    <w:rsid w:val="00282B34"/>
    <w:rsid w:val="002830C5"/>
    <w:rsid w:val="00283F56"/>
    <w:rsid w:val="00284907"/>
    <w:rsid w:val="00284FF3"/>
    <w:rsid w:val="002850F2"/>
    <w:rsid w:val="00285243"/>
    <w:rsid w:val="00285454"/>
    <w:rsid w:val="00285C18"/>
    <w:rsid w:val="00286FA5"/>
    <w:rsid w:val="00287B00"/>
    <w:rsid w:val="00291D64"/>
    <w:rsid w:val="00291FA4"/>
    <w:rsid w:val="00292DF7"/>
    <w:rsid w:val="00292E9D"/>
    <w:rsid w:val="002938AB"/>
    <w:rsid w:val="00294FF2"/>
    <w:rsid w:val="002951D5"/>
    <w:rsid w:val="002955F9"/>
    <w:rsid w:val="00295B2D"/>
    <w:rsid w:val="00295D20"/>
    <w:rsid w:val="00296E38"/>
    <w:rsid w:val="00297E9E"/>
    <w:rsid w:val="002A027C"/>
    <w:rsid w:val="002A21F4"/>
    <w:rsid w:val="002A230D"/>
    <w:rsid w:val="002A2B97"/>
    <w:rsid w:val="002A30BE"/>
    <w:rsid w:val="002A3E8B"/>
    <w:rsid w:val="002A5399"/>
    <w:rsid w:val="002A5440"/>
    <w:rsid w:val="002A7604"/>
    <w:rsid w:val="002A79D0"/>
    <w:rsid w:val="002B01EE"/>
    <w:rsid w:val="002B1064"/>
    <w:rsid w:val="002B12A5"/>
    <w:rsid w:val="002B3AAF"/>
    <w:rsid w:val="002B4AFF"/>
    <w:rsid w:val="002B5840"/>
    <w:rsid w:val="002B58A2"/>
    <w:rsid w:val="002B5E5C"/>
    <w:rsid w:val="002B5F8F"/>
    <w:rsid w:val="002B7496"/>
    <w:rsid w:val="002B76B2"/>
    <w:rsid w:val="002B7DFD"/>
    <w:rsid w:val="002C070D"/>
    <w:rsid w:val="002C24D6"/>
    <w:rsid w:val="002C26B7"/>
    <w:rsid w:val="002C3771"/>
    <w:rsid w:val="002C38F4"/>
    <w:rsid w:val="002C3ABA"/>
    <w:rsid w:val="002C582A"/>
    <w:rsid w:val="002C63B9"/>
    <w:rsid w:val="002C7173"/>
    <w:rsid w:val="002C7654"/>
    <w:rsid w:val="002C7F4A"/>
    <w:rsid w:val="002D0112"/>
    <w:rsid w:val="002D0566"/>
    <w:rsid w:val="002D0869"/>
    <w:rsid w:val="002D0B80"/>
    <w:rsid w:val="002D139B"/>
    <w:rsid w:val="002D19FF"/>
    <w:rsid w:val="002D28D3"/>
    <w:rsid w:val="002D402F"/>
    <w:rsid w:val="002D51AB"/>
    <w:rsid w:val="002D52DF"/>
    <w:rsid w:val="002D61B0"/>
    <w:rsid w:val="002D737A"/>
    <w:rsid w:val="002E085E"/>
    <w:rsid w:val="002E36B1"/>
    <w:rsid w:val="002E3B72"/>
    <w:rsid w:val="002E4842"/>
    <w:rsid w:val="002E4EA4"/>
    <w:rsid w:val="002E509B"/>
    <w:rsid w:val="002E6D52"/>
    <w:rsid w:val="002E6F0C"/>
    <w:rsid w:val="002E768B"/>
    <w:rsid w:val="002E7F9F"/>
    <w:rsid w:val="002F0534"/>
    <w:rsid w:val="002F0B54"/>
    <w:rsid w:val="002F2C5B"/>
    <w:rsid w:val="002F31EB"/>
    <w:rsid w:val="002F439E"/>
    <w:rsid w:val="002F6FD0"/>
    <w:rsid w:val="002F718E"/>
    <w:rsid w:val="002F71B2"/>
    <w:rsid w:val="002F75E3"/>
    <w:rsid w:val="0030002A"/>
    <w:rsid w:val="00300A14"/>
    <w:rsid w:val="003019EA"/>
    <w:rsid w:val="0030220B"/>
    <w:rsid w:val="00302717"/>
    <w:rsid w:val="003033F0"/>
    <w:rsid w:val="00303547"/>
    <w:rsid w:val="00303F0A"/>
    <w:rsid w:val="003041E5"/>
    <w:rsid w:val="00305E2A"/>
    <w:rsid w:val="003063B5"/>
    <w:rsid w:val="003074E1"/>
    <w:rsid w:val="0030786E"/>
    <w:rsid w:val="00310A65"/>
    <w:rsid w:val="0031181D"/>
    <w:rsid w:val="0031197E"/>
    <w:rsid w:val="00311FEB"/>
    <w:rsid w:val="00312716"/>
    <w:rsid w:val="00312760"/>
    <w:rsid w:val="003129E5"/>
    <w:rsid w:val="003129FE"/>
    <w:rsid w:val="00312DE2"/>
    <w:rsid w:val="00314719"/>
    <w:rsid w:val="00314BD6"/>
    <w:rsid w:val="00315304"/>
    <w:rsid w:val="003153F2"/>
    <w:rsid w:val="003159C7"/>
    <w:rsid w:val="003169CC"/>
    <w:rsid w:val="00316B20"/>
    <w:rsid w:val="00320F9D"/>
    <w:rsid w:val="0032132A"/>
    <w:rsid w:val="0032160A"/>
    <w:rsid w:val="0032161E"/>
    <w:rsid w:val="00323766"/>
    <w:rsid w:val="003241A8"/>
    <w:rsid w:val="00325838"/>
    <w:rsid w:val="00325D91"/>
    <w:rsid w:val="003268EC"/>
    <w:rsid w:val="00326F01"/>
    <w:rsid w:val="0033161F"/>
    <w:rsid w:val="0033181B"/>
    <w:rsid w:val="003328CA"/>
    <w:rsid w:val="00333DF5"/>
    <w:rsid w:val="00333E18"/>
    <w:rsid w:val="00334283"/>
    <w:rsid w:val="003346F3"/>
    <w:rsid w:val="003363B3"/>
    <w:rsid w:val="0033656F"/>
    <w:rsid w:val="00336A40"/>
    <w:rsid w:val="00336C63"/>
    <w:rsid w:val="00336E3E"/>
    <w:rsid w:val="003403A5"/>
    <w:rsid w:val="00341B0E"/>
    <w:rsid w:val="003428F1"/>
    <w:rsid w:val="00343056"/>
    <w:rsid w:val="003444A4"/>
    <w:rsid w:val="00344505"/>
    <w:rsid w:val="003450AE"/>
    <w:rsid w:val="00345EB6"/>
    <w:rsid w:val="003462E6"/>
    <w:rsid w:val="0034644A"/>
    <w:rsid w:val="003472AE"/>
    <w:rsid w:val="003478AF"/>
    <w:rsid w:val="00347EB7"/>
    <w:rsid w:val="00350279"/>
    <w:rsid w:val="00350BF3"/>
    <w:rsid w:val="003516D5"/>
    <w:rsid w:val="00352C46"/>
    <w:rsid w:val="003557E6"/>
    <w:rsid w:val="0035691C"/>
    <w:rsid w:val="0035725F"/>
    <w:rsid w:val="0036057B"/>
    <w:rsid w:val="00361CDD"/>
    <w:rsid w:val="003625B1"/>
    <w:rsid w:val="00363133"/>
    <w:rsid w:val="003633BA"/>
    <w:rsid w:val="00363A92"/>
    <w:rsid w:val="00364E17"/>
    <w:rsid w:val="00365AE7"/>
    <w:rsid w:val="00366E4F"/>
    <w:rsid w:val="00370806"/>
    <w:rsid w:val="003709E4"/>
    <w:rsid w:val="003714EF"/>
    <w:rsid w:val="003720D2"/>
    <w:rsid w:val="0037459F"/>
    <w:rsid w:val="0037479D"/>
    <w:rsid w:val="00375527"/>
    <w:rsid w:val="00375E91"/>
    <w:rsid w:val="0037637C"/>
    <w:rsid w:val="00377844"/>
    <w:rsid w:val="00377FDD"/>
    <w:rsid w:val="003800BB"/>
    <w:rsid w:val="003822DC"/>
    <w:rsid w:val="00384C3D"/>
    <w:rsid w:val="00386449"/>
    <w:rsid w:val="00386688"/>
    <w:rsid w:val="003867BE"/>
    <w:rsid w:val="00390225"/>
    <w:rsid w:val="00390696"/>
    <w:rsid w:val="00390705"/>
    <w:rsid w:val="00391D70"/>
    <w:rsid w:val="003921EC"/>
    <w:rsid w:val="00392498"/>
    <w:rsid w:val="0039257C"/>
    <w:rsid w:val="00392A1E"/>
    <w:rsid w:val="0039370C"/>
    <w:rsid w:val="00393FF3"/>
    <w:rsid w:val="003944C6"/>
    <w:rsid w:val="00395AEB"/>
    <w:rsid w:val="003962F7"/>
    <w:rsid w:val="00396E16"/>
    <w:rsid w:val="00397045"/>
    <w:rsid w:val="003A0391"/>
    <w:rsid w:val="003A04E0"/>
    <w:rsid w:val="003A0E06"/>
    <w:rsid w:val="003A3101"/>
    <w:rsid w:val="003A395A"/>
    <w:rsid w:val="003A3C02"/>
    <w:rsid w:val="003A47BF"/>
    <w:rsid w:val="003A4AA7"/>
    <w:rsid w:val="003A5545"/>
    <w:rsid w:val="003A5C77"/>
    <w:rsid w:val="003A7AC0"/>
    <w:rsid w:val="003A7CAC"/>
    <w:rsid w:val="003B02CB"/>
    <w:rsid w:val="003B2896"/>
    <w:rsid w:val="003B3198"/>
    <w:rsid w:val="003B358E"/>
    <w:rsid w:val="003B3912"/>
    <w:rsid w:val="003B3D22"/>
    <w:rsid w:val="003B3FCC"/>
    <w:rsid w:val="003B42D1"/>
    <w:rsid w:val="003B4300"/>
    <w:rsid w:val="003B484A"/>
    <w:rsid w:val="003B5A5C"/>
    <w:rsid w:val="003B612B"/>
    <w:rsid w:val="003B6511"/>
    <w:rsid w:val="003B67FA"/>
    <w:rsid w:val="003B70DE"/>
    <w:rsid w:val="003C00AC"/>
    <w:rsid w:val="003C03F5"/>
    <w:rsid w:val="003C0F75"/>
    <w:rsid w:val="003C1520"/>
    <w:rsid w:val="003C1A72"/>
    <w:rsid w:val="003C1F14"/>
    <w:rsid w:val="003C4146"/>
    <w:rsid w:val="003C4A09"/>
    <w:rsid w:val="003C55C4"/>
    <w:rsid w:val="003C64BE"/>
    <w:rsid w:val="003C71A2"/>
    <w:rsid w:val="003C73A8"/>
    <w:rsid w:val="003D23AF"/>
    <w:rsid w:val="003D3948"/>
    <w:rsid w:val="003D3A99"/>
    <w:rsid w:val="003D4290"/>
    <w:rsid w:val="003D4E6F"/>
    <w:rsid w:val="003D5026"/>
    <w:rsid w:val="003D5897"/>
    <w:rsid w:val="003D5AEE"/>
    <w:rsid w:val="003D5FEA"/>
    <w:rsid w:val="003D7612"/>
    <w:rsid w:val="003D79E3"/>
    <w:rsid w:val="003D7A54"/>
    <w:rsid w:val="003D7FAD"/>
    <w:rsid w:val="003E045B"/>
    <w:rsid w:val="003E25F7"/>
    <w:rsid w:val="003E2696"/>
    <w:rsid w:val="003E3864"/>
    <w:rsid w:val="003E527E"/>
    <w:rsid w:val="003E5A94"/>
    <w:rsid w:val="003E6100"/>
    <w:rsid w:val="003E7552"/>
    <w:rsid w:val="003F0063"/>
    <w:rsid w:val="003F02EA"/>
    <w:rsid w:val="003F0382"/>
    <w:rsid w:val="003F055B"/>
    <w:rsid w:val="003F2511"/>
    <w:rsid w:val="003F32FA"/>
    <w:rsid w:val="003F5251"/>
    <w:rsid w:val="003F53FF"/>
    <w:rsid w:val="003F77AD"/>
    <w:rsid w:val="0040191D"/>
    <w:rsid w:val="00401DB9"/>
    <w:rsid w:val="00401EC6"/>
    <w:rsid w:val="00403194"/>
    <w:rsid w:val="00404618"/>
    <w:rsid w:val="00404881"/>
    <w:rsid w:val="00404E95"/>
    <w:rsid w:val="00404EB2"/>
    <w:rsid w:val="00405F61"/>
    <w:rsid w:val="0040740A"/>
    <w:rsid w:val="004075C8"/>
    <w:rsid w:val="004075E9"/>
    <w:rsid w:val="00407E71"/>
    <w:rsid w:val="00410233"/>
    <w:rsid w:val="00412CA6"/>
    <w:rsid w:val="0041383D"/>
    <w:rsid w:val="00413971"/>
    <w:rsid w:val="004139A7"/>
    <w:rsid w:val="004156B9"/>
    <w:rsid w:val="00415C7E"/>
    <w:rsid w:val="004170F1"/>
    <w:rsid w:val="00417591"/>
    <w:rsid w:val="004202AA"/>
    <w:rsid w:val="00420B15"/>
    <w:rsid w:val="00420EA6"/>
    <w:rsid w:val="00421279"/>
    <w:rsid w:val="0042315E"/>
    <w:rsid w:val="00424805"/>
    <w:rsid w:val="00425187"/>
    <w:rsid w:val="0042541E"/>
    <w:rsid w:val="0042617E"/>
    <w:rsid w:val="00426234"/>
    <w:rsid w:val="00426EF7"/>
    <w:rsid w:val="00427112"/>
    <w:rsid w:val="00427807"/>
    <w:rsid w:val="00427957"/>
    <w:rsid w:val="00427BC7"/>
    <w:rsid w:val="00430399"/>
    <w:rsid w:val="004303EF"/>
    <w:rsid w:val="00430B7A"/>
    <w:rsid w:val="0043127F"/>
    <w:rsid w:val="00431E71"/>
    <w:rsid w:val="004326DC"/>
    <w:rsid w:val="00432DF2"/>
    <w:rsid w:val="004335A0"/>
    <w:rsid w:val="00434469"/>
    <w:rsid w:val="004347F0"/>
    <w:rsid w:val="004356B8"/>
    <w:rsid w:val="0043580C"/>
    <w:rsid w:val="00435C65"/>
    <w:rsid w:val="004407E6"/>
    <w:rsid w:val="00440E65"/>
    <w:rsid w:val="0044125B"/>
    <w:rsid w:val="00441594"/>
    <w:rsid w:val="00441AEF"/>
    <w:rsid w:val="004423F1"/>
    <w:rsid w:val="00442B92"/>
    <w:rsid w:val="0044380A"/>
    <w:rsid w:val="00444514"/>
    <w:rsid w:val="004449F0"/>
    <w:rsid w:val="00444C6F"/>
    <w:rsid w:val="00445EB6"/>
    <w:rsid w:val="00445F59"/>
    <w:rsid w:val="004461A5"/>
    <w:rsid w:val="004462F6"/>
    <w:rsid w:val="0044657C"/>
    <w:rsid w:val="004466BE"/>
    <w:rsid w:val="004466CB"/>
    <w:rsid w:val="00447134"/>
    <w:rsid w:val="00447494"/>
    <w:rsid w:val="00450632"/>
    <w:rsid w:val="00450F3E"/>
    <w:rsid w:val="00451796"/>
    <w:rsid w:val="00451C32"/>
    <w:rsid w:val="00451EE3"/>
    <w:rsid w:val="00452DC0"/>
    <w:rsid w:val="00454D9E"/>
    <w:rsid w:val="00454E03"/>
    <w:rsid w:val="00455BA9"/>
    <w:rsid w:val="0045696F"/>
    <w:rsid w:val="00456AB6"/>
    <w:rsid w:val="004618D3"/>
    <w:rsid w:val="00461FA8"/>
    <w:rsid w:val="004625AD"/>
    <w:rsid w:val="00462C23"/>
    <w:rsid w:val="004640CB"/>
    <w:rsid w:val="004643ED"/>
    <w:rsid w:val="00464572"/>
    <w:rsid w:val="0046513D"/>
    <w:rsid w:val="00465F70"/>
    <w:rsid w:val="00467930"/>
    <w:rsid w:val="00467CCF"/>
    <w:rsid w:val="00470542"/>
    <w:rsid w:val="004705A9"/>
    <w:rsid w:val="00471A0D"/>
    <w:rsid w:val="0047230C"/>
    <w:rsid w:val="00472BD0"/>
    <w:rsid w:val="00472E32"/>
    <w:rsid w:val="00473BE8"/>
    <w:rsid w:val="00473FFC"/>
    <w:rsid w:val="00474104"/>
    <w:rsid w:val="004749E5"/>
    <w:rsid w:val="00476BDC"/>
    <w:rsid w:val="004771B6"/>
    <w:rsid w:val="004775BB"/>
    <w:rsid w:val="00477C46"/>
    <w:rsid w:val="00477C7B"/>
    <w:rsid w:val="0048078C"/>
    <w:rsid w:val="004808B0"/>
    <w:rsid w:val="00481641"/>
    <w:rsid w:val="00482D51"/>
    <w:rsid w:val="00482E90"/>
    <w:rsid w:val="00482FDB"/>
    <w:rsid w:val="00483FDB"/>
    <w:rsid w:val="00485D21"/>
    <w:rsid w:val="00486140"/>
    <w:rsid w:val="00486360"/>
    <w:rsid w:val="004863C4"/>
    <w:rsid w:val="0048720A"/>
    <w:rsid w:val="0049054E"/>
    <w:rsid w:val="0049112D"/>
    <w:rsid w:val="004912BD"/>
    <w:rsid w:val="00491D45"/>
    <w:rsid w:val="00491E94"/>
    <w:rsid w:val="004946C7"/>
    <w:rsid w:val="00495257"/>
    <w:rsid w:val="004958BA"/>
    <w:rsid w:val="004A1840"/>
    <w:rsid w:val="004A1B83"/>
    <w:rsid w:val="004A2029"/>
    <w:rsid w:val="004A3908"/>
    <w:rsid w:val="004A3D78"/>
    <w:rsid w:val="004A3F8A"/>
    <w:rsid w:val="004A4112"/>
    <w:rsid w:val="004A45D4"/>
    <w:rsid w:val="004A5A3F"/>
    <w:rsid w:val="004A6853"/>
    <w:rsid w:val="004A7C5E"/>
    <w:rsid w:val="004B08C2"/>
    <w:rsid w:val="004B124D"/>
    <w:rsid w:val="004B176E"/>
    <w:rsid w:val="004B1961"/>
    <w:rsid w:val="004B1965"/>
    <w:rsid w:val="004B2236"/>
    <w:rsid w:val="004B2502"/>
    <w:rsid w:val="004B2F01"/>
    <w:rsid w:val="004B3791"/>
    <w:rsid w:val="004B75F5"/>
    <w:rsid w:val="004C02C6"/>
    <w:rsid w:val="004C07D3"/>
    <w:rsid w:val="004C3BB0"/>
    <w:rsid w:val="004C41F3"/>
    <w:rsid w:val="004C4614"/>
    <w:rsid w:val="004C4FC7"/>
    <w:rsid w:val="004C58A4"/>
    <w:rsid w:val="004C647B"/>
    <w:rsid w:val="004C68A4"/>
    <w:rsid w:val="004C715C"/>
    <w:rsid w:val="004C726D"/>
    <w:rsid w:val="004C7D4B"/>
    <w:rsid w:val="004C7F4C"/>
    <w:rsid w:val="004D010B"/>
    <w:rsid w:val="004D3889"/>
    <w:rsid w:val="004D4162"/>
    <w:rsid w:val="004D4FEC"/>
    <w:rsid w:val="004D670F"/>
    <w:rsid w:val="004D6A77"/>
    <w:rsid w:val="004D7F75"/>
    <w:rsid w:val="004E0510"/>
    <w:rsid w:val="004E12E6"/>
    <w:rsid w:val="004E14D6"/>
    <w:rsid w:val="004E1693"/>
    <w:rsid w:val="004E4EAE"/>
    <w:rsid w:val="004E53FE"/>
    <w:rsid w:val="004E58C9"/>
    <w:rsid w:val="004E58DC"/>
    <w:rsid w:val="004E5A39"/>
    <w:rsid w:val="004E5F57"/>
    <w:rsid w:val="004E61AA"/>
    <w:rsid w:val="004E705A"/>
    <w:rsid w:val="004E7D2B"/>
    <w:rsid w:val="004F0EAD"/>
    <w:rsid w:val="004F1489"/>
    <w:rsid w:val="004F1795"/>
    <w:rsid w:val="004F33E3"/>
    <w:rsid w:val="004F360E"/>
    <w:rsid w:val="004F3962"/>
    <w:rsid w:val="004F4515"/>
    <w:rsid w:val="004F5BBB"/>
    <w:rsid w:val="004F5D53"/>
    <w:rsid w:val="004F725C"/>
    <w:rsid w:val="004F7A8B"/>
    <w:rsid w:val="004F7AE4"/>
    <w:rsid w:val="00501DDF"/>
    <w:rsid w:val="005035BF"/>
    <w:rsid w:val="005038FD"/>
    <w:rsid w:val="00503BE6"/>
    <w:rsid w:val="00504105"/>
    <w:rsid w:val="0050524C"/>
    <w:rsid w:val="005052A1"/>
    <w:rsid w:val="00505EEE"/>
    <w:rsid w:val="00506147"/>
    <w:rsid w:val="00507052"/>
    <w:rsid w:val="005077A8"/>
    <w:rsid w:val="005109D8"/>
    <w:rsid w:val="00510CA9"/>
    <w:rsid w:val="00510CFE"/>
    <w:rsid w:val="0051143D"/>
    <w:rsid w:val="005120D1"/>
    <w:rsid w:val="00512525"/>
    <w:rsid w:val="00512D20"/>
    <w:rsid w:val="00512E3C"/>
    <w:rsid w:val="00512EB9"/>
    <w:rsid w:val="00513117"/>
    <w:rsid w:val="0051468D"/>
    <w:rsid w:val="005157EF"/>
    <w:rsid w:val="0051634F"/>
    <w:rsid w:val="00517033"/>
    <w:rsid w:val="00521B6B"/>
    <w:rsid w:val="0052261E"/>
    <w:rsid w:val="00522702"/>
    <w:rsid w:val="0052371B"/>
    <w:rsid w:val="00523A57"/>
    <w:rsid w:val="00523CC0"/>
    <w:rsid w:val="005244DA"/>
    <w:rsid w:val="005249A3"/>
    <w:rsid w:val="00525130"/>
    <w:rsid w:val="0052570C"/>
    <w:rsid w:val="00525897"/>
    <w:rsid w:val="00525E60"/>
    <w:rsid w:val="00526286"/>
    <w:rsid w:val="00527828"/>
    <w:rsid w:val="0052794A"/>
    <w:rsid w:val="00531D6C"/>
    <w:rsid w:val="005321CC"/>
    <w:rsid w:val="005327C7"/>
    <w:rsid w:val="00532FCF"/>
    <w:rsid w:val="0053414F"/>
    <w:rsid w:val="00534FD4"/>
    <w:rsid w:val="0053670B"/>
    <w:rsid w:val="005370E0"/>
    <w:rsid w:val="005372D0"/>
    <w:rsid w:val="0054016B"/>
    <w:rsid w:val="005401F9"/>
    <w:rsid w:val="00540BA9"/>
    <w:rsid w:val="00543038"/>
    <w:rsid w:val="005438C4"/>
    <w:rsid w:val="0054395E"/>
    <w:rsid w:val="005446F6"/>
    <w:rsid w:val="00546205"/>
    <w:rsid w:val="00547693"/>
    <w:rsid w:val="00547AA5"/>
    <w:rsid w:val="00547EBA"/>
    <w:rsid w:val="0055019B"/>
    <w:rsid w:val="0055291B"/>
    <w:rsid w:val="00552D28"/>
    <w:rsid w:val="005544AD"/>
    <w:rsid w:val="00554518"/>
    <w:rsid w:val="00554AF4"/>
    <w:rsid w:val="005571A1"/>
    <w:rsid w:val="00557229"/>
    <w:rsid w:val="00557AA6"/>
    <w:rsid w:val="0056033B"/>
    <w:rsid w:val="005605BE"/>
    <w:rsid w:val="00560605"/>
    <w:rsid w:val="005613CC"/>
    <w:rsid w:val="005626C1"/>
    <w:rsid w:val="00563003"/>
    <w:rsid w:val="0056650F"/>
    <w:rsid w:val="005705D7"/>
    <w:rsid w:val="0057099E"/>
    <w:rsid w:val="00571D41"/>
    <w:rsid w:val="0057369C"/>
    <w:rsid w:val="00573A15"/>
    <w:rsid w:val="0057404D"/>
    <w:rsid w:val="005744F5"/>
    <w:rsid w:val="00575083"/>
    <w:rsid w:val="005751C0"/>
    <w:rsid w:val="0057525E"/>
    <w:rsid w:val="005754CA"/>
    <w:rsid w:val="00575DC0"/>
    <w:rsid w:val="00577E5D"/>
    <w:rsid w:val="00580254"/>
    <w:rsid w:val="00580401"/>
    <w:rsid w:val="0058059C"/>
    <w:rsid w:val="00580918"/>
    <w:rsid w:val="00580F25"/>
    <w:rsid w:val="00582D28"/>
    <w:rsid w:val="00583211"/>
    <w:rsid w:val="00583BAD"/>
    <w:rsid w:val="00584740"/>
    <w:rsid w:val="00584DB8"/>
    <w:rsid w:val="00585BFD"/>
    <w:rsid w:val="00585D00"/>
    <w:rsid w:val="005875A3"/>
    <w:rsid w:val="00587672"/>
    <w:rsid w:val="00592508"/>
    <w:rsid w:val="005926B4"/>
    <w:rsid w:val="00594102"/>
    <w:rsid w:val="00594205"/>
    <w:rsid w:val="005948DC"/>
    <w:rsid w:val="00594E4E"/>
    <w:rsid w:val="0059512F"/>
    <w:rsid w:val="0059625F"/>
    <w:rsid w:val="005A12C9"/>
    <w:rsid w:val="005A1D48"/>
    <w:rsid w:val="005A40D9"/>
    <w:rsid w:val="005A6248"/>
    <w:rsid w:val="005A66F3"/>
    <w:rsid w:val="005A6A9C"/>
    <w:rsid w:val="005A6AFC"/>
    <w:rsid w:val="005A6EBB"/>
    <w:rsid w:val="005B14EE"/>
    <w:rsid w:val="005B1A8C"/>
    <w:rsid w:val="005B227B"/>
    <w:rsid w:val="005B28BC"/>
    <w:rsid w:val="005B379A"/>
    <w:rsid w:val="005B41CD"/>
    <w:rsid w:val="005B5E10"/>
    <w:rsid w:val="005B5FAE"/>
    <w:rsid w:val="005B63DB"/>
    <w:rsid w:val="005B6B55"/>
    <w:rsid w:val="005B6DDC"/>
    <w:rsid w:val="005B741B"/>
    <w:rsid w:val="005B74F6"/>
    <w:rsid w:val="005B79D1"/>
    <w:rsid w:val="005B7B93"/>
    <w:rsid w:val="005C2148"/>
    <w:rsid w:val="005C2E43"/>
    <w:rsid w:val="005C402D"/>
    <w:rsid w:val="005C6251"/>
    <w:rsid w:val="005C6CA8"/>
    <w:rsid w:val="005C6CDF"/>
    <w:rsid w:val="005C7D0D"/>
    <w:rsid w:val="005C7EB0"/>
    <w:rsid w:val="005D037B"/>
    <w:rsid w:val="005D04BF"/>
    <w:rsid w:val="005D0F6E"/>
    <w:rsid w:val="005D4410"/>
    <w:rsid w:val="005D4E4D"/>
    <w:rsid w:val="005D5599"/>
    <w:rsid w:val="005D7377"/>
    <w:rsid w:val="005D73BD"/>
    <w:rsid w:val="005E0511"/>
    <w:rsid w:val="005E0FF3"/>
    <w:rsid w:val="005E3683"/>
    <w:rsid w:val="005E404D"/>
    <w:rsid w:val="005E5C55"/>
    <w:rsid w:val="005E61DF"/>
    <w:rsid w:val="005E7399"/>
    <w:rsid w:val="005E7AB2"/>
    <w:rsid w:val="005E7C33"/>
    <w:rsid w:val="005F0C2B"/>
    <w:rsid w:val="005F2054"/>
    <w:rsid w:val="005F229C"/>
    <w:rsid w:val="005F2CC0"/>
    <w:rsid w:val="005F3C5E"/>
    <w:rsid w:val="005F44A4"/>
    <w:rsid w:val="005F4AA6"/>
    <w:rsid w:val="005F4FA0"/>
    <w:rsid w:val="005F51E1"/>
    <w:rsid w:val="005F55CE"/>
    <w:rsid w:val="005F59A7"/>
    <w:rsid w:val="005F6E2C"/>
    <w:rsid w:val="005F7777"/>
    <w:rsid w:val="00601420"/>
    <w:rsid w:val="0060156A"/>
    <w:rsid w:val="00602010"/>
    <w:rsid w:val="00603A9A"/>
    <w:rsid w:val="00604691"/>
    <w:rsid w:val="006059F4"/>
    <w:rsid w:val="00605B6B"/>
    <w:rsid w:val="006071B5"/>
    <w:rsid w:val="00607C82"/>
    <w:rsid w:val="00612A74"/>
    <w:rsid w:val="006143CC"/>
    <w:rsid w:val="0061445B"/>
    <w:rsid w:val="00615DCF"/>
    <w:rsid w:val="00616642"/>
    <w:rsid w:val="00617875"/>
    <w:rsid w:val="00620DB9"/>
    <w:rsid w:val="00621DD9"/>
    <w:rsid w:val="00623597"/>
    <w:rsid w:val="0062441C"/>
    <w:rsid w:val="0062481F"/>
    <w:rsid w:val="006248F8"/>
    <w:rsid w:val="00624A30"/>
    <w:rsid w:val="006252C5"/>
    <w:rsid w:val="00625E62"/>
    <w:rsid w:val="0062646A"/>
    <w:rsid w:val="006271B0"/>
    <w:rsid w:val="00627958"/>
    <w:rsid w:val="00627A05"/>
    <w:rsid w:val="00627C51"/>
    <w:rsid w:val="00630027"/>
    <w:rsid w:val="00631694"/>
    <w:rsid w:val="00631A21"/>
    <w:rsid w:val="00633D20"/>
    <w:rsid w:val="00634057"/>
    <w:rsid w:val="00635C58"/>
    <w:rsid w:val="00635EE0"/>
    <w:rsid w:val="00636132"/>
    <w:rsid w:val="006361A3"/>
    <w:rsid w:val="0063762B"/>
    <w:rsid w:val="00637881"/>
    <w:rsid w:val="0064070A"/>
    <w:rsid w:val="006412B0"/>
    <w:rsid w:val="00641883"/>
    <w:rsid w:val="006418E2"/>
    <w:rsid w:val="00643E48"/>
    <w:rsid w:val="00644270"/>
    <w:rsid w:val="00644336"/>
    <w:rsid w:val="00644C4B"/>
    <w:rsid w:val="00645EAB"/>
    <w:rsid w:val="006460C6"/>
    <w:rsid w:val="0064679C"/>
    <w:rsid w:val="0064690F"/>
    <w:rsid w:val="006471E9"/>
    <w:rsid w:val="00647201"/>
    <w:rsid w:val="00651084"/>
    <w:rsid w:val="00651EEA"/>
    <w:rsid w:val="00652B13"/>
    <w:rsid w:val="006533CA"/>
    <w:rsid w:val="00653B9E"/>
    <w:rsid w:val="00653BB9"/>
    <w:rsid w:val="00653CC5"/>
    <w:rsid w:val="00654C56"/>
    <w:rsid w:val="00655D41"/>
    <w:rsid w:val="0065602C"/>
    <w:rsid w:val="006578F9"/>
    <w:rsid w:val="00661505"/>
    <w:rsid w:val="0066191B"/>
    <w:rsid w:val="00663640"/>
    <w:rsid w:val="0066386A"/>
    <w:rsid w:val="00663A58"/>
    <w:rsid w:val="00663C8D"/>
    <w:rsid w:val="00664771"/>
    <w:rsid w:val="00664B7D"/>
    <w:rsid w:val="00665D4F"/>
    <w:rsid w:val="00666968"/>
    <w:rsid w:val="006674BC"/>
    <w:rsid w:val="00667BE2"/>
    <w:rsid w:val="00667D05"/>
    <w:rsid w:val="00670C17"/>
    <w:rsid w:val="006719B9"/>
    <w:rsid w:val="0067205F"/>
    <w:rsid w:val="006725F5"/>
    <w:rsid w:val="0067319E"/>
    <w:rsid w:val="0067345A"/>
    <w:rsid w:val="0067450B"/>
    <w:rsid w:val="006774A6"/>
    <w:rsid w:val="0068028B"/>
    <w:rsid w:val="006804EC"/>
    <w:rsid w:val="0068180E"/>
    <w:rsid w:val="0068255F"/>
    <w:rsid w:val="006825F7"/>
    <w:rsid w:val="0068280E"/>
    <w:rsid w:val="00682E3B"/>
    <w:rsid w:val="006834C3"/>
    <w:rsid w:val="00684F18"/>
    <w:rsid w:val="00684F20"/>
    <w:rsid w:val="00687B78"/>
    <w:rsid w:val="00687F6D"/>
    <w:rsid w:val="0069111A"/>
    <w:rsid w:val="00691A9B"/>
    <w:rsid w:val="00691CE5"/>
    <w:rsid w:val="00692CBE"/>
    <w:rsid w:val="00693E41"/>
    <w:rsid w:val="006948ED"/>
    <w:rsid w:val="00694B04"/>
    <w:rsid w:val="00695070"/>
    <w:rsid w:val="006966A7"/>
    <w:rsid w:val="006970A9"/>
    <w:rsid w:val="0069749B"/>
    <w:rsid w:val="006978A7"/>
    <w:rsid w:val="006978FF"/>
    <w:rsid w:val="006A060D"/>
    <w:rsid w:val="006A0A05"/>
    <w:rsid w:val="006A126B"/>
    <w:rsid w:val="006A1459"/>
    <w:rsid w:val="006A2D80"/>
    <w:rsid w:val="006A2E79"/>
    <w:rsid w:val="006A34F6"/>
    <w:rsid w:val="006A55A0"/>
    <w:rsid w:val="006B11E3"/>
    <w:rsid w:val="006B1A7F"/>
    <w:rsid w:val="006B1CB0"/>
    <w:rsid w:val="006B2AA9"/>
    <w:rsid w:val="006B2E55"/>
    <w:rsid w:val="006B31B6"/>
    <w:rsid w:val="006B39B6"/>
    <w:rsid w:val="006B51F7"/>
    <w:rsid w:val="006B58D8"/>
    <w:rsid w:val="006B5A89"/>
    <w:rsid w:val="006B6353"/>
    <w:rsid w:val="006B754F"/>
    <w:rsid w:val="006B78BE"/>
    <w:rsid w:val="006C04B7"/>
    <w:rsid w:val="006C0535"/>
    <w:rsid w:val="006C140F"/>
    <w:rsid w:val="006C17CD"/>
    <w:rsid w:val="006C1F92"/>
    <w:rsid w:val="006C3FE5"/>
    <w:rsid w:val="006C4C98"/>
    <w:rsid w:val="006C7068"/>
    <w:rsid w:val="006C7BD3"/>
    <w:rsid w:val="006C7CFA"/>
    <w:rsid w:val="006D007A"/>
    <w:rsid w:val="006D2A78"/>
    <w:rsid w:val="006D4810"/>
    <w:rsid w:val="006D621A"/>
    <w:rsid w:val="006D6C94"/>
    <w:rsid w:val="006D7DAA"/>
    <w:rsid w:val="006E00A9"/>
    <w:rsid w:val="006E068B"/>
    <w:rsid w:val="006E07F5"/>
    <w:rsid w:val="006E08C8"/>
    <w:rsid w:val="006E1C49"/>
    <w:rsid w:val="006E2BFF"/>
    <w:rsid w:val="006E5766"/>
    <w:rsid w:val="006E7065"/>
    <w:rsid w:val="006F015A"/>
    <w:rsid w:val="006F03BB"/>
    <w:rsid w:val="006F04AC"/>
    <w:rsid w:val="006F1F88"/>
    <w:rsid w:val="006F35B5"/>
    <w:rsid w:val="006F3B46"/>
    <w:rsid w:val="006F3E9B"/>
    <w:rsid w:val="006F3FBB"/>
    <w:rsid w:val="006F419B"/>
    <w:rsid w:val="006F7FA7"/>
    <w:rsid w:val="00700A71"/>
    <w:rsid w:val="007014A5"/>
    <w:rsid w:val="0070277E"/>
    <w:rsid w:val="00703932"/>
    <w:rsid w:val="00703B46"/>
    <w:rsid w:val="00704B40"/>
    <w:rsid w:val="00704CA8"/>
    <w:rsid w:val="00704DA7"/>
    <w:rsid w:val="007055C9"/>
    <w:rsid w:val="00706D34"/>
    <w:rsid w:val="00707233"/>
    <w:rsid w:val="007076A4"/>
    <w:rsid w:val="00707ACF"/>
    <w:rsid w:val="00707F89"/>
    <w:rsid w:val="00707FEA"/>
    <w:rsid w:val="0071108F"/>
    <w:rsid w:val="007117AC"/>
    <w:rsid w:val="00712547"/>
    <w:rsid w:val="0071254F"/>
    <w:rsid w:val="007126FE"/>
    <w:rsid w:val="00712777"/>
    <w:rsid w:val="00712A71"/>
    <w:rsid w:val="00714A48"/>
    <w:rsid w:val="0071503E"/>
    <w:rsid w:val="00715097"/>
    <w:rsid w:val="00715D24"/>
    <w:rsid w:val="00715DA3"/>
    <w:rsid w:val="00715EF0"/>
    <w:rsid w:val="007178A8"/>
    <w:rsid w:val="00720838"/>
    <w:rsid w:val="00720FD1"/>
    <w:rsid w:val="00721440"/>
    <w:rsid w:val="00723E52"/>
    <w:rsid w:val="007247A7"/>
    <w:rsid w:val="00724F2E"/>
    <w:rsid w:val="00725477"/>
    <w:rsid w:val="00725EDF"/>
    <w:rsid w:val="00726F5D"/>
    <w:rsid w:val="00727886"/>
    <w:rsid w:val="007279EE"/>
    <w:rsid w:val="00727D90"/>
    <w:rsid w:val="00730694"/>
    <w:rsid w:val="00731495"/>
    <w:rsid w:val="0073250A"/>
    <w:rsid w:val="0073394F"/>
    <w:rsid w:val="00733CFA"/>
    <w:rsid w:val="00735242"/>
    <w:rsid w:val="00735BC6"/>
    <w:rsid w:val="00735F48"/>
    <w:rsid w:val="007362EF"/>
    <w:rsid w:val="0073691C"/>
    <w:rsid w:val="00737001"/>
    <w:rsid w:val="00737639"/>
    <w:rsid w:val="00737D16"/>
    <w:rsid w:val="007402C1"/>
    <w:rsid w:val="00741D0F"/>
    <w:rsid w:val="0074296D"/>
    <w:rsid w:val="00742C33"/>
    <w:rsid w:val="00742FAF"/>
    <w:rsid w:val="00743286"/>
    <w:rsid w:val="007437EA"/>
    <w:rsid w:val="00744087"/>
    <w:rsid w:val="00745601"/>
    <w:rsid w:val="00746092"/>
    <w:rsid w:val="0074626D"/>
    <w:rsid w:val="00750439"/>
    <w:rsid w:val="00750772"/>
    <w:rsid w:val="00751435"/>
    <w:rsid w:val="00751EBF"/>
    <w:rsid w:val="00753EBC"/>
    <w:rsid w:val="0075492A"/>
    <w:rsid w:val="00754D7E"/>
    <w:rsid w:val="00756977"/>
    <w:rsid w:val="007578CB"/>
    <w:rsid w:val="0076053B"/>
    <w:rsid w:val="00760C95"/>
    <w:rsid w:val="0076167E"/>
    <w:rsid w:val="007621E8"/>
    <w:rsid w:val="007630C1"/>
    <w:rsid w:val="007636C2"/>
    <w:rsid w:val="00763BAA"/>
    <w:rsid w:val="00764871"/>
    <w:rsid w:val="00765308"/>
    <w:rsid w:val="00765654"/>
    <w:rsid w:val="007661E0"/>
    <w:rsid w:val="00766CE9"/>
    <w:rsid w:val="007678E2"/>
    <w:rsid w:val="00770A3F"/>
    <w:rsid w:val="00770BED"/>
    <w:rsid w:val="00770C7C"/>
    <w:rsid w:val="00772241"/>
    <w:rsid w:val="007741F8"/>
    <w:rsid w:val="00774450"/>
    <w:rsid w:val="00774821"/>
    <w:rsid w:val="00774A48"/>
    <w:rsid w:val="0077652F"/>
    <w:rsid w:val="00777011"/>
    <w:rsid w:val="00777262"/>
    <w:rsid w:val="00777B55"/>
    <w:rsid w:val="00780257"/>
    <w:rsid w:val="00781136"/>
    <w:rsid w:val="007819DF"/>
    <w:rsid w:val="00781A64"/>
    <w:rsid w:val="00790271"/>
    <w:rsid w:val="00791169"/>
    <w:rsid w:val="00791697"/>
    <w:rsid w:val="00791AE8"/>
    <w:rsid w:val="00792505"/>
    <w:rsid w:val="00792AE5"/>
    <w:rsid w:val="00793FC1"/>
    <w:rsid w:val="007946A7"/>
    <w:rsid w:val="007950B3"/>
    <w:rsid w:val="00796FBF"/>
    <w:rsid w:val="007A06E5"/>
    <w:rsid w:val="007A0CC9"/>
    <w:rsid w:val="007A0E85"/>
    <w:rsid w:val="007A125F"/>
    <w:rsid w:val="007A2F3D"/>
    <w:rsid w:val="007A40AF"/>
    <w:rsid w:val="007A426A"/>
    <w:rsid w:val="007A47DE"/>
    <w:rsid w:val="007A4F67"/>
    <w:rsid w:val="007A545F"/>
    <w:rsid w:val="007A6E95"/>
    <w:rsid w:val="007A6FBB"/>
    <w:rsid w:val="007A79EE"/>
    <w:rsid w:val="007A7EDE"/>
    <w:rsid w:val="007B03E1"/>
    <w:rsid w:val="007B0827"/>
    <w:rsid w:val="007B1BD9"/>
    <w:rsid w:val="007B1F46"/>
    <w:rsid w:val="007B27C7"/>
    <w:rsid w:val="007B2944"/>
    <w:rsid w:val="007B41B7"/>
    <w:rsid w:val="007B41CB"/>
    <w:rsid w:val="007B535D"/>
    <w:rsid w:val="007B564F"/>
    <w:rsid w:val="007B5B82"/>
    <w:rsid w:val="007B62AC"/>
    <w:rsid w:val="007B722F"/>
    <w:rsid w:val="007B7565"/>
    <w:rsid w:val="007B794D"/>
    <w:rsid w:val="007C01AE"/>
    <w:rsid w:val="007C099E"/>
    <w:rsid w:val="007C1050"/>
    <w:rsid w:val="007C3352"/>
    <w:rsid w:val="007C38BF"/>
    <w:rsid w:val="007C3F90"/>
    <w:rsid w:val="007C4351"/>
    <w:rsid w:val="007C4794"/>
    <w:rsid w:val="007C4D6E"/>
    <w:rsid w:val="007C5048"/>
    <w:rsid w:val="007C5C8A"/>
    <w:rsid w:val="007C5E97"/>
    <w:rsid w:val="007D0079"/>
    <w:rsid w:val="007D0120"/>
    <w:rsid w:val="007D4119"/>
    <w:rsid w:val="007D41F4"/>
    <w:rsid w:val="007D4A99"/>
    <w:rsid w:val="007D4EE3"/>
    <w:rsid w:val="007D557C"/>
    <w:rsid w:val="007D5843"/>
    <w:rsid w:val="007D6EF6"/>
    <w:rsid w:val="007D797B"/>
    <w:rsid w:val="007E082F"/>
    <w:rsid w:val="007E088D"/>
    <w:rsid w:val="007E2455"/>
    <w:rsid w:val="007E326F"/>
    <w:rsid w:val="007E3C46"/>
    <w:rsid w:val="007E4670"/>
    <w:rsid w:val="007E5465"/>
    <w:rsid w:val="007E5512"/>
    <w:rsid w:val="007E6F33"/>
    <w:rsid w:val="007E705B"/>
    <w:rsid w:val="007E7740"/>
    <w:rsid w:val="007F02CF"/>
    <w:rsid w:val="007F153F"/>
    <w:rsid w:val="007F157F"/>
    <w:rsid w:val="007F2F44"/>
    <w:rsid w:val="007F3924"/>
    <w:rsid w:val="007F40B1"/>
    <w:rsid w:val="007F5163"/>
    <w:rsid w:val="007F537C"/>
    <w:rsid w:val="007F5D71"/>
    <w:rsid w:val="008032D1"/>
    <w:rsid w:val="00803923"/>
    <w:rsid w:val="00803F52"/>
    <w:rsid w:val="008041ED"/>
    <w:rsid w:val="00804C29"/>
    <w:rsid w:val="00806D5C"/>
    <w:rsid w:val="008075D3"/>
    <w:rsid w:val="00810833"/>
    <w:rsid w:val="00811601"/>
    <w:rsid w:val="00811FCF"/>
    <w:rsid w:val="008123B2"/>
    <w:rsid w:val="0081337F"/>
    <w:rsid w:val="00813AE0"/>
    <w:rsid w:val="008144C2"/>
    <w:rsid w:val="00814624"/>
    <w:rsid w:val="00816966"/>
    <w:rsid w:val="00816ADD"/>
    <w:rsid w:val="0082015A"/>
    <w:rsid w:val="008215DE"/>
    <w:rsid w:val="00821A44"/>
    <w:rsid w:val="00821B7B"/>
    <w:rsid w:val="00822801"/>
    <w:rsid w:val="00822D29"/>
    <w:rsid w:val="00823B60"/>
    <w:rsid w:val="008243CB"/>
    <w:rsid w:val="008251AE"/>
    <w:rsid w:val="008254E4"/>
    <w:rsid w:val="00830AAB"/>
    <w:rsid w:val="00830CDB"/>
    <w:rsid w:val="008310BC"/>
    <w:rsid w:val="0083193A"/>
    <w:rsid w:val="00831EB1"/>
    <w:rsid w:val="0083212C"/>
    <w:rsid w:val="008326D0"/>
    <w:rsid w:val="00833967"/>
    <w:rsid w:val="00833C96"/>
    <w:rsid w:val="008351FC"/>
    <w:rsid w:val="00835AB4"/>
    <w:rsid w:val="00837253"/>
    <w:rsid w:val="0083793F"/>
    <w:rsid w:val="00837E00"/>
    <w:rsid w:val="00840305"/>
    <w:rsid w:val="00846348"/>
    <w:rsid w:val="008516C7"/>
    <w:rsid w:val="00851CFA"/>
    <w:rsid w:val="008523D6"/>
    <w:rsid w:val="00852DE6"/>
    <w:rsid w:val="00852E95"/>
    <w:rsid w:val="0085336D"/>
    <w:rsid w:val="00854399"/>
    <w:rsid w:val="008546B4"/>
    <w:rsid w:val="0085483D"/>
    <w:rsid w:val="008550C3"/>
    <w:rsid w:val="0085518A"/>
    <w:rsid w:val="00855AB4"/>
    <w:rsid w:val="00855F32"/>
    <w:rsid w:val="008570E4"/>
    <w:rsid w:val="00857B7A"/>
    <w:rsid w:val="0086091C"/>
    <w:rsid w:val="00861806"/>
    <w:rsid w:val="00861B44"/>
    <w:rsid w:val="008622FD"/>
    <w:rsid w:val="0086288C"/>
    <w:rsid w:val="0086295C"/>
    <w:rsid w:val="0086309E"/>
    <w:rsid w:val="00863516"/>
    <w:rsid w:val="0086391D"/>
    <w:rsid w:val="00863B80"/>
    <w:rsid w:val="0086414F"/>
    <w:rsid w:val="008641B4"/>
    <w:rsid w:val="00864219"/>
    <w:rsid w:val="00864B03"/>
    <w:rsid w:val="0086520F"/>
    <w:rsid w:val="008652ED"/>
    <w:rsid w:val="00870811"/>
    <w:rsid w:val="0087085B"/>
    <w:rsid w:val="0087194A"/>
    <w:rsid w:val="00871DA9"/>
    <w:rsid w:val="008725DB"/>
    <w:rsid w:val="00872AE3"/>
    <w:rsid w:val="00872BCF"/>
    <w:rsid w:val="00873488"/>
    <w:rsid w:val="008741E0"/>
    <w:rsid w:val="00875A78"/>
    <w:rsid w:val="00875E97"/>
    <w:rsid w:val="00876E11"/>
    <w:rsid w:val="00877E16"/>
    <w:rsid w:val="008806AA"/>
    <w:rsid w:val="008806EF"/>
    <w:rsid w:val="00880F21"/>
    <w:rsid w:val="00881A38"/>
    <w:rsid w:val="00882ADD"/>
    <w:rsid w:val="00882D16"/>
    <w:rsid w:val="00882F8E"/>
    <w:rsid w:val="00883C34"/>
    <w:rsid w:val="0088487C"/>
    <w:rsid w:val="008859D8"/>
    <w:rsid w:val="00885E40"/>
    <w:rsid w:val="0088644B"/>
    <w:rsid w:val="00886ED2"/>
    <w:rsid w:val="00887186"/>
    <w:rsid w:val="008871F1"/>
    <w:rsid w:val="0088753C"/>
    <w:rsid w:val="0088788B"/>
    <w:rsid w:val="00890297"/>
    <w:rsid w:val="0089142F"/>
    <w:rsid w:val="00891AA8"/>
    <w:rsid w:val="00893C26"/>
    <w:rsid w:val="008940BC"/>
    <w:rsid w:val="008A063F"/>
    <w:rsid w:val="008A0BAD"/>
    <w:rsid w:val="008A0D74"/>
    <w:rsid w:val="008A12E3"/>
    <w:rsid w:val="008A130C"/>
    <w:rsid w:val="008A1C3E"/>
    <w:rsid w:val="008A2A11"/>
    <w:rsid w:val="008A30A4"/>
    <w:rsid w:val="008A419F"/>
    <w:rsid w:val="008A49CB"/>
    <w:rsid w:val="008A4CA1"/>
    <w:rsid w:val="008A5CA2"/>
    <w:rsid w:val="008A639E"/>
    <w:rsid w:val="008A6E1B"/>
    <w:rsid w:val="008A7CD4"/>
    <w:rsid w:val="008B0262"/>
    <w:rsid w:val="008B1B46"/>
    <w:rsid w:val="008B1B82"/>
    <w:rsid w:val="008B217A"/>
    <w:rsid w:val="008B22A5"/>
    <w:rsid w:val="008B2983"/>
    <w:rsid w:val="008B38E7"/>
    <w:rsid w:val="008B3D5A"/>
    <w:rsid w:val="008B4093"/>
    <w:rsid w:val="008B5964"/>
    <w:rsid w:val="008B61EF"/>
    <w:rsid w:val="008B64BA"/>
    <w:rsid w:val="008B6645"/>
    <w:rsid w:val="008B6B9F"/>
    <w:rsid w:val="008B7051"/>
    <w:rsid w:val="008B7432"/>
    <w:rsid w:val="008C0D93"/>
    <w:rsid w:val="008C0EC3"/>
    <w:rsid w:val="008C1BC8"/>
    <w:rsid w:val="008C1E9B"/>
    <w:rsid w:val="008C2E6F"/>
    <w:rsid w:val="008C3256"/>
    <w:rsid w:val="008C3C95"/>
    <w:rsid w:val="008C44E3"/>
    <w:rsid w:val="008C4987"/>
    <w:rsid w:val="008C5FD3"/>
    <w:rsid w:val="008C611D"/>
    <w:rsid w:val="008C7145"/>
    <w:rsid w:val="008C7AC7"/>
    <w:rsid w:val="008C7B26"/>
    <w:rsid w:val="008D01EA"/>
    <w:rsid w:val="008D039E"/>
    <w:rsid w:val="008D0D42"/>
    <w:rsid w:val="008D14F2"/>
    <w:rsid w:val="008D21C0"/>
    <w:rsid w:val="008D28F9"/>
    <w:rsid w:val="008D2D73"/>
    <w:rsid w:val="008D4BA0"/>
    <w:rsid w:val="008D7E87"/>
    <w:rsid w:val="008E0798"/>
    <w:rsid w:val="008E13E5"/>
    <w:rsid w:val="008E2D95"/>
    <w:rsid w:val="008E52E4"/>
    <w:rsid w:val="008E5CAF"/>
    <w:rsid w:val="008F12FC"/>
    <w:rsid w:val="008F147E"/>
    <w:rsid w:val="008F2E56"/>
    <w:rsid w:val="008F3900"/>
    <w:rsid w:val="008F5568"/>
    <w:rsid w:val="008F568E"/>
    <w:rsid w:val="008F57F3"/>
    <w:rsid w:val="008F5A36"/>
    <w:rsid w:val="008F759F"/>
    <w:rsid w:val="0090023F"/>
    <w:rsid w:val="00900BFD"/>
    <w:rsid w:val="00901049"/>
    <w:rsid w:val="0090143C"/>
    <w:rsid w:val="0090193C"/>
    <w:rsid w:val="0090264E"/>
    <w:rsid w:val="00902ECE"/>
    <w:rsid w:val="0090538C"/>
    <w:rsid w:val="00905632"/>
    <w:rsid w:val="009066B7"/>
    <w:rsid w:val="00906A47"/>
    <w:rsid w:val="00906C93"/>
    <w:rsid w:val="00907909"/>
    <w:rsid w:val="00910A64"/>
    <w:rsid w:val="0091110C"/>
    <w:rsid w:val="00911603"/>
    <w:rsid w:val="00911C17"/>
    <w:rsid w:val="009121A6"/>
    <w:rsid w:val="00913DCC"/>
    <w:rsid w:val="009146D7"/>
    <w:rsid w:val="00914776"/>
    <w:rsid w:val="00914D77"/>
    <w:rsid w:val="0091521A"/>
    <w:rsid w:val="009153F8"/>
    <w:rsid w:val="00916405"/>
    <w:rsid w:val="0091641A"/>
    <w:rsid w:val="00916622"/>
    <w:rsid w:val="00916B96"/>
    <w:rsid w:val="00917E64"/>
    <w:rsid w:val="009206E3"/>
    <w:rsid w:val="0092147D"/>
    <w:rsid w:val="00922AE8"/>
    <w:rsid w:val="00922B8F"/>
    <w:rsid w:val="00922F2C"/>
    <w:rsid w:val="00923796"/>
    <w:rsid w:val="00923A7F"/>
    <w:rsid w:val="0092471E"/>
    <w:rsid w:val="009249C3"/>
    <w:rsid w:val="009255ED"/>
    <w:rsid w:val="00925B05"/>
    <w:rsid w:val="0092616E"/>
    <w:rsid w:val="0092643C"/>
    <w:rsid w:val="00927A17"/>
    <w:rsid w:val="00927C4A"/>
    <w:rsid w:val="00931400"/>
    <w:rsid w:val="00931669"/>
    <w:rsid w:val="009325F2"/>
    <w:rsid w:val="00932DA2"/>
    <w:rsid w:val="00932F4C"/>
    <w:rsid w:val="009337F1"/>
    <w:rsid w:val="00934AC4"/>
    <w:rsid w:val="00934E66"/>
    <w:rsid w:val="00935009"/>
    <w:rsid w:val="009351E4"/>
    <w:rsid w:val="009356C7"/>
    <w:rsid w:val="00936E84"/>
    <w:rsid w:val="00936FF6"/>
    <w:rsid w:val="00937133"/>
    <w:rsid w:val="00937373"/>
    <w:rsid w:val="009374E5"/>
    <w:rsid w:val="00937BE3"/>
    <w:rsid w:val="009404F2"/>
    <w:rsid w:val="009409AE"/>
    <w:rsid w:val="00941637"/>
    <w:rsid w:val="00943026"/>
    <w:rsid w:val="009433D1"/>
    <w:rsid w:val="00943461"/>
    <w:rsid w:val="00945499"/>
    <w:rsid w:val="009455FE"/>
    <w:rsid w:val="009472F4"/>
    <w:rsid w:val="009508E7"/>
    <w:rsid w:val="00951DB4"/>
    <w:rsid w:val="0095226B"/>
    <w:rsid w:val="00952933"/>
    <w:rsid w:val="009530EE"/>
    <w:rsid w:val="00953306"/>
    <w:rsid w:val="00954866"/>
    <w:rsid w:val="00955951"/>
    <w:rsid w:val="00956800"/>
    <w:rsid w:val="0095697A"/>
    <w:rsid w:val="00956EE2"/>
    <w:rsid w:val="00956EFF"/>
    <w:rsid w:val="00957E2A"/>
    <w:rsid w:val="00960B47"/>
    <w:rsid w:val="00960D7D"/>
    <w:rsid w:val="009615D4"/>
    <w:rsid w:val="00961DBC"/>
    <w:rsid w:val="00961FCE"/>
    <w:rsid w:val="009620C1"/>
    <w:rsid w:val="00962446"/>
    <w:rsid w:val="009627F9"/>
    <w:rsid w:val="009643C3"/>
    <w:rsid w:val="00965099"/>
    <w:rsid w:val="00966016"/>
    <w:rsid w:val="00966380"/>
    <w:rsid w:val="009668E1"/>
    <w:rsid w:val="00966F30"/>
    <w:rsid w:val="00967335"/>
    <w:rsid w:val="009674C1"/>
    <w:rsid w:val="009678BD"/>
    <w:rsid w:val="009709DB"/>
    <w:rsid w:val="0097123C"/>
    <w:rsid w:val="00971621"/>
    <w:rsid w:val="00971850"/>
    <w:rsid w:val="009718DE"/>
    <w:rsid w:val="009720EA"/>
    <w:rsid w:val="00973501"/>
    <w:rsid w:val="009736F6"/>
    <w:rsid w:val="0097371F"/>
    <w:rsid w:val="00973836"/>
    <w:rsid w:val="009739DC"/>
    <w:rsid w:val="00973E10"/>
    <w:rsid w:val="00976698"/>
    <w:rsid w:val="00977427"/>
    <w:rsid w:val="00977697"/>
    <w:rsid w:val="00980309"/>
    <w:rsid w:val="00980BB7"/>
    <w:rsid w:val="0098122E"/>
    <w:rsid w:val="00981DB4"/>
    <w:rsid w:val="009822CC"/>
    <w:rsid w:val="009822F5"/>
    <w:rsid w:val="0098235A"/>
    <w:rsid w:val="00982E3F"/>
    <w:rsid w:val="00983437"/>
    <w:rsid w:val="00984631"/>
    <w:rsid w:val="00984FE2"/>
    <w:rsid w:val="0098587F"/>
    <w:rsid w:val="00985C6F"/>
    <w:rsid w:val="0098710E"/>
    <w:rsid w:val="00990307"/>
    <w:rsid w:val="00990377"/>
    <w:rsid w:val="00990766"/>
    <w:rsid w:val="00990F3F"/>
    <w:rsid w:val="00991806"/>
    <w:rsid w:val="00993A1B"/>
    <w:rsid w:val="00993A26"/>
    <w:rsid w:val="00994C6F"/>
    <w:rsid w:val="009950A6"/>
    <w:rsid w:val="0099534B"/>
    <w:rsid w:val="0099553F"/>
    <w:rsid w:val="00995B6E"/>
    <w:rsid w:val="0099655C"/>
    <w:rsid w:val="00996695"/>
    <w:rsid w:val="00997F97"/>
    <w:rsid w:val="009A025B"/>
    <w:rsid w:val="009A087B"/>
    <w:rsid w:val="009A0F34"/>
    <w:rsid w:val="009A1332"/>
    <w:rsid w:val="009A2501"/>
    <w:rsid w:val="009A27F3"/>
    <w:rsid w:val="009A2B26"/>
    <w:rsid w:val="009A3E6F"/>
    <w:rsid w:val="009A50C6"/>
    <w:rsid w:val="009A611E"/>
    <w:rsid w:val="009A64FD"/>
    <w:rsid w:val="009A6C6E"/>
    <w:rsid w:val="009B243C"/>
    <w:rsid w:val="009B2621"/>
    <w:rsid w:val="009B2B19"/>
    <w:rsid w:val="009B2DF9"/>
    <w:rsid w:val="009B35FD"/>
    <w:rsid w:val="009B3D88"/>
    <w:rsid w:val="009B3DD0"/>
    <w:rsid w:val="009B4E30"/>
    <w:rsid w:val="009B4FEF"/>
    <w:rsid w:val="009B5036"/>
    <w:rsid w:val="009B544B"/>
    <w:rsid w:val="009B5BAA"/>
    <w:rsid w:val="009B5F3F"/>
    <w:rsid w:val="009B5FE7"/>
    <w:rsid w:val="009B60BA"/>
    <w:rsid w:val="009B64DD"/>
    <w:rsid w:val="009B7100"/>
    <w:rsid w:val="009B762B"/>
    <w:rsid w:val="009B77D2"/>
    <w:rsid w:val="009C000E"/>
    <w:rsid w:val="009C11C9"/>
    <w:rsid w:val="009C1558"/>
    <w:rsid w:val="009C230E"/>
    <w:rsid w:val="009C2DBC"/>
    <w:rsid w:val="009C3ABD"/>
    <w:rsid w:val="009C3F74"/>
    <w:rsid w:val="009C40A3"/>
    <w:rsid w:val="009C4F57"/>
    <w:rsid w:val="009D0B97"/>
    <w:rsid w:val="009D1C9C"/>
    <w:rsid w:val="009D1FDD"/>
    <w:rsid w:val="009D2701"/>
    <w:rsid w:val="009D2E69"/>
    <w:rsid w:val="009D31FD"/>
    <w:rsid w:val="009D3459"/>
    <w:rsid w:val="009D417A"/>
    <w:rsid w:val="009D432B"/>
    <w:rsid w:val="009D4510"/>
    <w:rsid w:val="009D4D56"/>
    <w:rsid w:val="009D5965"/>
    <w:rsid w:val="009D63BA"/>
    <w:rsid w:val="009D6692"/>
    <w:rsid w:val="009D77F5"/>
    <w:rsid w:val="009D7E2A"/>
    <w:rsid w:val="009E049A"/>
    <w:rsid w:val="009E0EBC"/>
    <w:rsid w:val="009E1197"/>
    <w:rsid w:val="009E14AD"/>
    <w:rsid w:val="009E3DFC"/>
    <w:rsid w:val="009E5232"/>
    <w:rsid w:val="009E5530"/>
    <w:rsid w:val="009E5931"/>
    <w:rsid w:val="009E625A"/>
    <w:rsid w:val="009E668E"/>
    <w:rsid w:val="009E71A6"/>
    <w:rsid w:val="009E73A3"/>
    <w:rsid w:val="009F0584"/>
    <w:rsid w:val="009F09E6"/>
    <w:rsid w:val="009F15E2"/>
    <w:rsid w:val="009F1EA0"/>
    <w:rsid w:val="009F2BA6"/>
    <w:rsid w:val="009F3109"/>
    <w:rsid w:val="009F34A4"/>
    <w:rsid w:val="009F3EA6"/>
    <w:rsid w:val="009F6419"/>
    <w:rsid w:val="009F737D"/>
    <w:rsid w:val="009F7448"/>
    <w:rsid w:val="009F797F"/>
    <w:rsid w:val="009F79AB"/>
    <w:rsid w:val="009F7AAB"/>
    <w:rsid w:val="00A003DE"/>
    <w:rsid w:val="00A00432"/>
    <w:rsid w:val="00A0044F"/>
    <w:rsid w:val="00A014FA"/>
    <w:rsid w:val="00A01F52"/>
    <w:rsid w:val="00A031AC"/>
    <w:rsid w:val="00A03A5C"/>
    <w:rsid w:val="00A05A58"/>
    <w:rsid w:val="00A05AAC"/>
    <w:rsid w:val="00A0632F"/>
    <w:rsid w:val="00A07F22"/>
    <w:rsid w:val="00A10F89"/>
    <w:rsid w:val="00A10FDD"/>
    <w:rsid w:val="00A11024"/>
    <w:rsid w:val="00A119FA"/>
    <w:rsid w:val="00A12B75"/>
    <w:rsid w:val="00A13818"/>
    <w:rsid w:val="00A141F7"/>
    <w:rsid w:val="00A14215"/>
    <w:rsid w:val="00A14CCB"/>
    <w:rsid w:val="00A17097"/>
    <w:rsid w:val="00A179F5"/>
    <w:rsid w:val="00A21434"/>
    <w:rsid w:val="00A21446"/>
    <w:rsid w:val="00A223E4"/>
    <w:rsid w:val="00A23D5A"/>
    <w:rsid w:val="00A24689"/>
    <w:rsid w:val="00A26720"/>
    <w:rsid w:val="00A2688F"/>
    <w:rsid w:val="00A2779A"/>
    <w:rsid w:val="00A27BD7"/>
    <w:rsid w:val="00A304B9"/>
    <w:rsid w:val="00A30B28"/>
    <w:rsid w:val="00A31603"/>
    <w:rsid w:val="00A3256D"/>
    <w:rsid w:val="00A33D1D"/>
    <w:rsid w:val="00A35A88"/>
    <w:rsid w:val="00A35BBC"/>
    <w:rsid w:val="00A3600A"/>
    <w:rsid w:val="00A36F65"/>
    <w:rsid w:val="00A37AB8"/>
    <w:rsid w:val="00A40043"/>
    <w:rsid w:val="00A4046A"/>
    <w:rsid w:val="00A41A5E"/>
    <w:rsid w:val="00A423C1"/>
    <w:rsid w:val="00A4295A"/>
    <w:rsid w:val="00A42DFC"/>
    <w:rsid w:val="00A43BA4"/>
    <w:rsid w:val="00A4560B"/>
    <w:rsid w:val="00A4601F"/>
    <w:rsid w:val="00A471AD"/>
    <w:rsid w:val="00A50889"/>
    <w:rsid w:val="00A50BA6"/>
    <w:rsid w:val="00A514EB"/>
    <w:rsid w:val="00A51D31"/>
    <w:rsid w:val="00A530D6"/>
    <w:rsid w:val="00A536F9"/>
    <w:rsid w:val="00A53D4E"/>
    <w:rsid w:val="00A54411"/>
    <w:rsid w:val="00A547BF"/>
    <w:rsid w:val="00A5664D"/>
    <w:rsid w:val="00A566AB"/>
    <w:rsid w:val="00A5754D"/>
    <w:rsid w:val="00A6178A"/>
    <w:rsid w:val="00A6200E"/>
    <w:rsid w:val="00A621B1"/>
    <w:rsid w:val="00A6360C"/>
    <w:rsid w:val="00A641E2"/>
    <w:rsid w:val="00A64605"/>
    <w:rsid w:val="00A6577C"/>
    <w:rsid w:val="00A65A06"/>
    <w:rsid w:val="00A65A9D"/>
    <w:rsid w:val="00A676FD"/>
    <w:rsid w:val="00A677B4"/>
    <w:rsid w:val="00A67C18"/>
    <w:rsid w:val="00A700D3"/>
    <w:rsid w:val="00A7016C"/>
    <w:rsid w:val="00A70EC4"/>
    <w:rsid w:val="00A7146C"/>
    <w:rsid w:val="00A7148B"/>
    <w:rsid w:val="00A718D3"/>
    <w:rsid w:val="00A71C23"/>
    <w:rsid w:val="00A71EC2"/>
    <w:rsid w:val="00A723CD"/>
    <w:rsid w:val="00A72E23"/>
    <w:rsid w:val="00A72EE6"/>
    <w:rsid w:val="00A7399C"/>
    <w:rsid w:val="00A74C1E"/>
    <w:rsid w:val="00A75C5B"/>
    <w:rsid w:val="00A76D91"/>
    <w:rsid w:val="00A772AC"/>
    <w:rsid w:val="00A7772A"/>
    <w:rsid w:val="00A77AB6"/>
    <w:rsid w:val="00A80E7E"/>
    <w:rsid w:val="00A81944"/>
    <w:rsid w:val="00A81ACB"/>
    <w:rsid w:val="00A82554"/>
    <w:rsid w:val="00A82661"/>
    <w:rsid w:val="00A82B00"/>
    <w:rsid w:val="00A82E7E"/>
    <w:rsid w:val="00A8345F"/>
    <w:rsid w:val="00A83846"/>
    <w:rsid w:val="00A8387D"/>
    <w:rsid w:val="00A83B7D"/>
    <w:rsid w:val="00A84E29"/>
    <w:rsid w:val="00A84FE5"/>
    <w:rsid w:val="00A8520B"/>
    <w:rsid w:val="00A85E14"/>
    <w:rsid w:val="00A87106"/>
    <w:rsid w:val="00A900FA"/>
    <w:rsid w:val="00A9012A"/>
    <w:rsid w:val="00A9078F"/>
    <w:rsid w:val="00A90932"/>
    <w:rsid w:val="00A90C83"/>
    <w:rsid w:val="00A91311"/>
    <w:rsid w:val="00A91577"/>
    <w:rsid w:val="00A917AB"/>
    <w:rsid w:val="00A91E7A"/>
    <w:rsid w:val="00A92473"/>
    <w:rsid w:val="00A926CA"/>
    <w:rsid w:val="00A92770"/>
    <w:rsid w:val="00A92EFD"/>
    <w:rsid w:val="00A92FE7"/>
    <w:rsid w:val="00A93A17"/>
    <w:rsid w:val="00A94070"/>
    <w:rsid w:val="00A95621"/>
    <w:rsid w:val="00A95DD5"/>
    <w:rsid w:val="00A96609"/>
    <w:rsid w:val="00A967FB"/>
    <w:rsid w:val="00A9691E"/>
    <w:rsid w:val="00A97D80"/>
    <w:rsid w:val="00A97E3F"/>
    <w:rsid w:val="00AA13E0"/>
    <w:rsid w:val="00AA1BB4"/>
    <w:rsid w:val="00AA3457"/>
    <w:rsid w:val="00AA3623"/>
    <w:rsid w:val="00AA3AC5"/>
    <w:rsid w:val="00AA53CE"/>
    <w:rsid w:val="00AA5587"/>
    <w:rsid w:val="00AA56CB"/>
    <w:rsid w:val="00AA5DAA"/>
    <w:rsid w:val="00AA7CFD"/>
    <w:rsid w:val="00AB25BA"/>
    <w:rsid w:val="00AB2639"/>
    <w:rsid w:val="00AB3312"/>
    <w:rsid w:val="00AB3763"/>
    <w:rsid w:val="00AB3B88"/>
    <w:rsid w:val="00AB4477"/>
    <w:rsid w:val="00AB454E"/>
    <w:rsid w:val="00AB4864"/>
    <w:rsid w:val="00AB4F08"/>
    <w:rsid w:val="00AC0782"/>
    <w:rsid w:val="00AC0B92"/>
    <w:rsid w:val="00AC11CA"/>
    <w:rsid w:val="00AC1208"/>
    <w:rsid w:val="00AC151A"/>
    <w:rsid w:val="00AC22F5"/>
    <w:rsid w:val="00AC2E2F"/>
    <w:rsid w:val="00AC7E2E"/>
    <w:rsid w:val="00AC7F0A"/>
    <w:rsid w:val="00AD0D70"/>
    <w:rsid w:val="00AD10AB"/>
    <w:rsid w:val="00AD10E5"/>
    <w:rsid w:val="00AD506B"/>
    <w:rsid w:val="00AD5729"/>
    <w:rsid w:val="00AD5E8D"/>
    <w:rsid w:val="00AD69BC"/>
    <w:rsid w:val="00AE032C"/>
    <w:rsid w:val="00AE31D9"/>
    <w:rsid w:val="00AE384B"/>
    <w:rsid w:val="00AE5FB5"/>
    <w:rsid w:val="00AE60D5"/>
    <w:rsid w:val="00AE63E4"/>
    <w:rsid w:val="00AE7521"/>
    <w:rsid w:val="00AE783C"/>
    <w:rsid w:val="00AE7E6E"/>
    <w:rsid w:val="00AF44A4"/>
    <w:rsid w:val="00AF5452"/>
    <w:rsid w:val="00AF5C26"/>
    <w:rsid w:val="00AF6B48"/>
    <w:rsid w:val="00AF7152"/>
    <w:rsid w:val="00B00E6A"/>
    <w:rsid w:val="00B015C0"/>
    <w:rsid w:val="00B0278F"/>
    <w:rsid w:val="00B02A1D"/>
    <w:rsid w:val="00B033D3"/>
    <w:rsid w:val="00B03685"/>
    <w:rsid w:val="00B03770"/>
    <w:rsid w:val="00B06214"/>
    <w:rsid w:val="00B069BD"/>
    <w:rsid w:val="00B07C7F"/>
    <w:rsid w:val="00B07FA4"/>
    <w:rsid w:val="00B112C0"/>
    <w:rsid w:val="00B1136C"/>
    <w:rsid w:val="00B1194D"/>
    <w:rsid w:val="00B1293D"/>
    <w:rsid w:val="00B133D1"/>
    <w:rsid w:val="00B13F40"/>
    <w:rsid w:val="00B146EA"/>
    <w:rsid w:val="00B15242"/>
    <w:rsid w:val="00B1528E"/>
    <w:rsid w:val="00B1559A"/>
    <w:rsid w:val="00B16AE0"/>
    <w:rsid w:val="00B16EAF"/>
    <w:rsid w:val="00B17061"/>
    <w:rsid w:val="00B171C1"/>
    <w:rsid w:val="00B17519"/>
    <w:rsid w:val="00B179ED"/>
    <w:rsid w:val="00B17EB6"/>
    <w:rsid w:val="00B17FAD"/>
    <w:rsid w:val="00B204AE"/>
    <w:rsid w:val="00B20833"/>
    <w:rsid w:val="00B20D8E"/>
    <w:rsid w:val="00B23E05"/>
    <w:rsid w:val="00B24759"/>
    <w:rsid w:val="00B24A61"/>
    <w:rsid w:val="00B24BC2"/>
    <w:rsid w:val="00B252A3"/>
    <w:rsid w:val="00B25722"/>
    <w:rsid w:val="00B25BCA"/>
    <w:rsid w:val="00B26447"/>
    <w:rsid w:val="00B26FA7"/>
    <w:rsid w:val="00B3010D"/>
    <w:rsid w:val="00B30DB0"/>
    <w:rsid w:val="00B346E1"/>
    <w:rsid w:val="00B34A00"/>
    <w:rsid w:val="00B34B6C"/>
    <w:rsid w:val="00B350E3"/>
    <w:rsid w:val="00B36010"/>
    <w:rsid w:val="00B365F9"/>
    <w:rsid w:val="00B42174"/>
    <w:rsid w:val="00B43F56"/>
    <w:rsid w:val="00B44079"/>
    <w:rsid w:val="00B44638"/>
    <w:rsid w:val="00B45366"/>
    <w:rsid w:val="00B45544"/>
    <w:rsid w:val="00B46868"/>
    <w:rsid w:val="00B46E1D"/>
    <w:rsid w:val="00B47BDE"/>
    <w:rsid w:val="00B501E8"/>
    <w:rsid w:val="00B51600"/>
    <w:rsid w:val="00B52A36"/>
    <w:rsid w:val="00B52AA4"/>
    <w:rsid w:val="00B53932"/>
    <w:rsid w:val="00B539DC"/>
    <w:rsid w:val="00B5475A"/>
    <w:rsid w:val="00B552C2"/>
    <w:rsid w:val="00B556AC"/>
    <w:rsid w:val="00B5665C"/>
    <w:rsid w:val="00B573BB"/>
    <w:rsid w:val="00B60623"/>
    <w:rsid w:val="00B60E89"/>
    <w:rsid w:val="00B60FF7"/>
    <w:rsid w:val="00B61814"/>
    <w:rsid w:val="00B61EB5"/>
    <w:rsid w:val="00B620CA"/>
    <w:rsid w:val="00B624B8"/>
    <w:rsid w:val="00B62E35"/>
    <w:rsid w:val="00B63882"/>
    <w:rsid w:val="00B63A6B"/>
    <w:rsid w:val="00B648F9"/>
    <w:rsid w:val="00B64C7B"/>
    <w:rsid w:val="00B65238"/>
    <w:rsid w:val="00B65D88"/>
    <w:rsid w:val="00B6794E"/>
    <w:rsid w:val="00B700C8"/>
    <w:rsid w:val="00B71A58"/>
    <w:rsid w:val="00B71D28"/>
    <w:rsid w:val="00B72508"/>
    <w:rsid w:val="00B72DDE"/>
    <w:rsid w:val="00B72E55"/>
    <w:rsid w:val="00B73AA7"/>
    <w:rsid w:val="00B76303"/>
    <w:rsid w:val="00B76777"/>
    <w:rsid w:val="00B772CF"/>
    <w:rsid w:val="00B80614"/>
    <w:rsid w:val="00B823BA"/>
    <w:rsid w:val="00B82CE4"/>
    <w:rsid w:val="00B838FD"/>
    <w:rsid w:val="00B84539"/>
    <w:rsid w:val="00B84D0D"/>
    <w:rsid w:val="00B8537D"/>
    <w:rsid w:val="00B86CAE"/>
    <w:rsid w:val="00B875BB"/>
    <w:rsid w:val="00B90258"/>
    <w:rsid w:val="00B90E3B"/>
    <w:rsid w:val="00B90F94"/>
    <w:rsid w:val="00B910B3"/>
    <w:rsid w:val="00B912B2"/>
    <w:rsid w:val="00B9250B"/>
    <w:rsid w:val="00B92FDF"/>
    <w:rsid w:val="00B94900"/>
    <w:rsid w:val="00B94932"/>
    <w:rsid w:val="00B9547A"/>
    <w:rsid w:val="00B955C3"/>
    <w:rsid w:val="00B95C86"/>
    <w:rsid w:val="00B95E8A"/>
    <w:rsid w:val="00B9752E"/>
    <w:rsid w:val="00B97BC3"/>
    <w:rsid w:val="00BA042E"/>
    <w:rsid w:val="00BA0BA4"/>
    <w:rsid w:val="00BA17D6"/>
    <w:rsid w:val="00BA2CB0"/>
    <w:rsid w:val="00BA3B2C"/>
    <w:rsid w:val="00BA45C0"/>
    <w:rsid w:val="00BA52F5"/>
    <w:rsid w:val="00BA68BB"/>
    <w:rsid w:val="00BA6CA1"/>
    <w:rsid w:val="00BA7AC8"/>
    <w:rsid w:val="00BB09AB"/>
    <w:rsid w:val="00BB0B39"/>
    <w:rsid w:val="00BB0D8F"/>
    <w:rsid w:val="00BB1122"/>
    <w:rsid w:val="00BB27AC"/>
    <w:rsid w:val="00BB3050"/>
    <w:rsid w:val="00BB409C"/>
    <w:rsid w:val="00BB46F6"/>
    <w:rsid w:val="00BB4BE1"/>
    <w:rsid w:val="00BB58FD"/>
    <w:rsid w:val="00BB6355"/>
    <w:rsid w:val="00BB676D"/>
    <w:rsid w:val="00BB6ADD"/>
    <w:rsid w:val="00BB70FC"/>
    <w:rsid w:val="00BB7BE6"/>
    <w:rsid w:val="00BC00DC"/>
    <w:rsid w:val="00BC0385"/>
    <w:rsid w:val="00BC19B6"/>
    <w:rsid w:val="00BC343C"/>
    <w:rsid w:val="00BC4935"/>
    <w:rsid w:val="00BC4CB4"/>
    <w:rsid w:val="00BC63C9"/>
    <w:rsid w:val="00BC6788"/>
    <w:rsid w:val="00BC68D5"/>
    <w:rsid w:val="00BC6C7A"/>
    <w:rsid w:val="00BD281D"/>
    <w:rsid w:val="00BD28DD"/>
    <w:rsid w:val="00BD2EFD"/>
    <w:rsid w:val="00BD3786"/>
    <w:rsid w:val="00BD5D24"/>
    <w:rsid w:val="00BD5DFF"/>
    <w:rsid w:val="00BD6450"/>
    <w:rsid w:val="00BD799D"/>
    <w:rsid w:val="00BE241B"/>
    <w:rsid w:val="00BE267F"/>
    <w:rsid w:val="00BE3208"/>
    <w:rsid w:val="00BE4598"/>
    <w:rsid w:val="00BE508D"/>
    <w:rsid w:val="00BE541D"/>
    <w:rsid w:val="00BE546E"/>
    <w:rsid w:val="00BE6597"/>
    <w:rsid w:val="00BE6629"/>
    <w:rsid w:val="00BE689C"/>
    <w:rsid w:val="00BE693F"/>
    <w:rsid w:val="00BE6D5B"/>
    <w:rsid w:val="00BE7061"/>
    <w:rsid w:val="00BE70FB"/>
    <w:rsid w:val="00BE726F"/>
    <w:rsid w:val="00BE7BDE"/>
    <w:rsid w:val="00BF03ED"/>
    <w:rsid w:val="00BF13AB"/>
    <w:rsid w:val="00BF149A"/>
    <w:rsid w:val="00BF1C66"/>
    <w:rsid w:val="00BF3B3B"/>
    <w:rsid w:val="00BF4D03"/>
    <w:rsid w:val="00BF5127"/>
    <w:rsid w:val="00BF5640"/>
    <w:rsid w:val="00BF5C62"/>
    <w:rsid w:val="00BF685A"/>
    <w:rsid w:val="00BF6997"/>
    <w:rsid w:val="00C01E75"/>
    <w:rsid w:val="00C01EDE"/>
    <w:rsid w:val="00C0205C"/>
    <w:rsid w:val="00C02590"/>
    <w:rsid w:val="00C03F55"/>
    <w:rsid w:val="00C045B1"/>
    <w:rsid w:val="00C04795"/>
    <w:rsid w:val="00C050B4"/>
    <w:rsid w:val="00C0576E"/>
    <w:rsid w:val="00C06F49"/>
    <w:rsid w:val="00C07393"/>
    <w:rsid w:val="00C07660"/>
    <w:rsid w:val="00C0774E"/>
    <w:rsid w:val="00C07F13"/>
    <w:rsid w:val="00C10621"/>
    <w:rsid w:val="00C10C79"/>
    <w:rsid w:val="00C1124B"/>
    <w:rsid w:val="00C11E62"/>
    <w:rsid w:val="00C12896"/>
    <w:rsid w:val="00C12EA1"/>
    <w:rsid w:val="00C12EC3"/>
    <w:rsid w:val="00C13A25"/>
    <w:rsid w:val="00C1432F"/>
    <w:rsid w:val="00C14619"/>
    <w:rsid w:val="00C14CFC"/>
    <w:rsid w:val="00C1512C"/>
    <w:rsid w:val="00C151F6"/>
    <w:rsid w:val="00C162A4"/>
    <w:rsid w:val="00C17087"/>
    <w:rsid w:val="00C173A2"/>
    <w:rsid w:val="00C1775C"/>
    <w:rsid w:val="00C17BD1"/>
    <w:rsid w:val="00C17E4C"/>
    <w:rsid w:val="00C20310"/>
    <w:rsid w:val="00C20B5B"/>
    <w:rsid w:val="00C20DB5"/>
    <w:rsid w:val="00C211C2"/>
    <w:rsid w:val="00C212D6"/>
    <w:rsid w:val="00C21C23"/>
    <w:rsid w:val="00C22691"/>
    <w:rsid w:val="00C24045"/>
    <w:rsid w:val="00C2409E"/>
    <w:rsid w:val="00C24615"/>
    <w:rsid w:val="00C24647"/>
    <w:rsid w:val="00C246CF"/>
    <w:rsid w:val="00C259C0"/>
    <w:rsid w:val="00C264D7"/>
    <w:rsid w:val="00C30843"/>
    <w:rsid w:val="00C30923"/>
    <w:rsid w:val="00C3099A"/>
    <w:rsid w:val="00C31710"/>
    <w:rsid w:val="00C31FEF"/>
    <w:rsid w:val="00C32486"/>
    <w:rsid w:val="00C32776"/>
    <w:rsid w:val="00C333FA"/>
    <w:rsid w:val="00C33B21"/>
    <w:rsid w:val="00C3400A"/>
    <w:rsid w:val="00C3432B"/>
    <w:rsid w:val="00C363C9"/>
    <w:rsid w:val="00C36EBC"/>
    <w:rsid w:val="00C4137B"/>
    <w:rsid w:val="00C41E35"/>
    <w:rsid w:val="00C42F53"/>
    <w:rsid w:val="00C43174"/>
    <w:rsid w:val="00C44489"/>
    <w:rsid w:val="00C45B3C"/>
    <w:rsid w:val="00C45C01"/>
    <w:rsid w:val="00C461C0"/>
    <w:rsid w:val="00C46DD4"/>
    <w:rsid w:val="00C46FDA"/>
    <w:rsid w:val="00C501C4"/>
    <w:rsid w:val="00C5030C"/>
    <w:rsid w:val="00C50B30"/>
    <w:rsid w:val="00C51953"/>
    <w:rsid w:val="00C530B0"/>
    <w:rsid w:val="00C53506"/>
    <w:rsid w:val="00C53F85"/>
    <w:rsid w:val="00C54052"/>
    <w:rsid w:val="00C5414C"/>
    <w:rsid w:val="00C54818"/>
    <w:rsid w:val="00C553A0"/>
    <w:rsid w:val="00C56044"/>
    <w:rsid w:val="00C5644A"/>
    <w:rsid w:val="00C56509"/>
    <w:rsid w:val="00C56735"/>
    <w:rsid w:val="00C56971"/>
    <w:rsid w:val="00C56E63"/>
    <w:rsid w:val="00C607C0"/>
    <w:rsid w:val="00C611EA"/>
    <w:rsid w:val="00C61672"/>
    <w:rsid w:val="00C61FD6"/>
    <w:rsid w:val="00C62D2B"/>
    <w:rsid w:val="00C63AAB"/>
    <w:rsid w:val="00C63E4A"/>
    <w:rsid w:val="00C643F3"/>
    <w:rsid w:val="00C6453C"/>
    <w:rsid w:val="00C64B65"/>
    <w:rsid w:val="00C65240"/>
    <w:rsid w:val="00C6556E"/>
    <w:rsid w:val="00C65FDE"/>
    <w:rsid w:val="00C67D38"/>
    <w:rsid w:val="00C70E41"/>
    <w:rsid w:val="00C7163D"/>
    <w:rsid w:val="00C72592"/>
    <w:rsid w:val="00C72AF6"/>
    <w:rsid w:val="00C7433B"/>
    <w:rsid w:val="00C74870"/>
    <w:rsid w:val="00C75B96"/>
    <w:rsid w:val="00C76A57"/>
    <w:rsid w:val="00C77911"/>
    <w:rsid w:val="00C82A2D"/>
    <w:rsid w:val="00C82C31"/>
    <w:rsid w:val="00C839F9"/>
    <w:rsid w:val="00C841F4"/>
    <w:rsid w:val="00C85735"/>
    <w:rsid w:val="00C857B9"/>
    <w:rsid w:val="00C85BAE"/>
    <w:rsid w:val="00C8744A"/>
    <w:rsid w:val="00C87A09"/>
    <w:rsid w:val="00C906E6"/>
    <w:rsid w:val="00C90C7D"/>
    <w:rsid w:val="00C90DAF"/>
    <w:rsid w:val="00C915C6"/>
    <w:rsid w:val="00C924CA"/>
    <w:rsid w:val="00C94840"/>
    <w:rsid w:val="00C94A6F"/>
    <w:rsid w:val="00C94AA0"/>
    <w:rsid w:val="00C94D7A"/>
    <w:rsid w:val="00C950F0"/>
    <w:rsid w:val="00C96240"/>
    <w:rsid w:val="00CA0AEE"/>
    <w:rsid w:val="00CA0D1F"/>
    <w:rsid w:val="00CA29BD"/>
    <w:rsid w:val="00CA2C69"/>
    <w:rsid w:val="00CA370B"/>
    <w:rsid w:val="00CA3E73"/>
    <w:rsid w:val="00CA3F5D"/>
    <w:rsid w:val="00CA5CB7"/>
    <w:rsid w:val="00CA7C04"/>
    <w:rsid w:val="00CA7C49"/>
    <w:rsid w:val="00CB03CD"/>
    <w:rsid w:val="00CB0A92"/>
    <w:rsid w:val="00CB14AE"/>
    <w:rsid w:val="00CB1E2D"/>
    <w:rsid w:val="00CB208F"/>
    <w:rsid w:val="00CB2160"/>
    <w:rsid w:val="00CB2503"/>
    <w:rsid w:val="00CB34B4"/>
    <w:rsid w:val="00CB487C"/>
    <w:rsid w:val="00CB6380"/>
    <w:rsid w:val="00CB6965"/>
    <w:rsid w:val="00CB697D"/>
    <w:rsid w:val="00CB6C77"/>
    <w:rsid w:val="00CB6F3F"/>
    <w:rsid w:val="00CB749C"/>
    <w:rsid w:val="00CB79BD"/>
    <w:rsid w:val="00CB7E5F"/>
    <w:rsid w:val="00CC0111"/>
    <w:rsid w:val="00CC04E3"/>
    <w:rsid w:val="00CC1F64"/>
    <w:rsid w:val="00CC2423"/>
    <w:rsid w:val="00CC34DD"/>
    <w:rsid w:val="00CC41E8"/>
    <w:rsid w:val="00CC4465"/>
    <w:rsid w:val="00CC4871"/>
    <w:rsid w:val="00CC5F47"/>
    <w:rsid w:val="00CC60D0"/>
    <w:rsid w:val="00CC6158"/>
    <w:rsid w:val="00CC6220"/>
    <w:rsid w:val="00CC667E"/>
    <w:rsid w:val="00CC69F0"/>
    <w:rsid w:val="00CC705D"/>
    <w:rsid w:val="00CC747F"/>
    <w:rsid w:val="00CD0086"/>
    <w:rsid w:val="00CD0C76"/>
    <w:rsid w:val="00CD1648"/>
    <w:rsid w:val="00CD21A1"/>
    <w:rsid w:val="00CD31CC"/>
    <w:rsid w:val="00CD3697"/>
    <w:rsid w:val="00CD380D"/>
    <w:rsid w:val="00CD3F49"/>
    <w:rsid w:val="00CD47B5"/>
    <w:rsid w:val="00CD48DC"/>
    <w:rsid w:val="00CD5BE2"/>
    <w:rsid w:val="00CE0E4D"/>
    <w:rsid w:val="00CE10CC"/>
    <w:rsid w:val="00CE18BF"/>
    <w:rsid w:val="00CE20A3"/>
    <w:rsid w:val="00CE23D0"/>
    <w:rsid w:val="00CE2DE7"/>
    <w:rsid w:val="00CE319C"/>
    <w:rsid w:val="00CE3EEB"/>
    <w:rsid w:val="00CE404E"/>
    <w:rsid w:val="00CE46DA"/>
    <w:rsid w:val="00CE5053"/>
    <w:rsid w:val="00CE5607"/>
    <w:rsid w:val="00CE6575"/>
    <w:rsid w:val="00CE66B0"/>
    <w:rsid w:val="00CE70F8"/>
    <w:rsid w:val="00CE7CF5"/>
    <w:rsid w:val="00CE7EC8"/>
    <w:rsid w:val="00CF1067"/>
    <w:rsid w:val="00CF10B1"/>
    <w:rsid w:val="00CF244E"/>
    <w:rsid w:val="00CF2571"/>
    <w:rsid w:val="00CF292F"/>
    <w:rsid w:val="00CF2A15"/>
    <w:rsid w:val="00CF2E60"/>
    <w:rsid w:val="00CF40C8"/>
    <w:rsid w:val="00CF45DD"/>
    <w:rsid w:val="00CF507F"/>
    <w:rsid w:val="00CF54F0"/>
    <w:rsid w:val="00CF5795"/>
    <w:rsid w:val="00CF6DE3"/>
    <w:rsid w:val="00CF7395"/>
    <w:rsid w:val="00CF777B"/>
    <w:rsid w:val="00CF7ED5"/>
    <w:rsid w:val="00D00194"/>
    <w:rsid w:val="00D00253"/>
    <w:rsid w:val="00D005B6"/>
    <w:rsid w:val="00D01195"/>
    <w:rsid w:val="00D01D21"/>
    <w:rsid w:val="00D0219A"/>
    <w:rsid w:val="00D027D2"/>
    <w:rsid w:val="00D046E7"/>
    <w:rsid w:val="00D0561B"/>
    <w:rsid w:val="00D0681B"/>
    <w:rsid w:val="00D0730A"/>
    <w:rsid w:val="00D1070F"/>
    <w:rsid w:val="00D10A3F"/>
    <w:rsid w:val="00D10F04"/>
    <w:rsid w:val="00D12555"/>
    <w:rsid w:val="00D13CFA"/>
    <w:rsid w:val="00D14C48"/>
    <w:rsid w:val="00D1584B"/>
    <w:rsid w:val="00D15886"/>
    <w:rsid w:val="00D167EF"/>
    <w:rsid w:val="00D16F08"/>
    <w:rsid w:val="00D20D6F"/>
    <w:rsid w:val="00D20E30"/>
    <w:rsid w:val="00D21143"/>
    <w:rsid w:val="00D242B6"/>
    <w:rsid w:val="00D24381"/>
    <w:rsid w:val="00D24421"/>
    <w:rsid w:val="00D27546"/>
    <w:rsid w:val="00D27670"/>
    <w:rsid w:val="00D277FE"/>
    <w:rsid w:val="00D31742"/>
    <w:rsid w:val="00D323F3"/>
    <w:rsid w:val="00D32B4A"/>
    <w:rsid w:val="00D336A7"/>
    <w:rsid w:val="00D35105"/>
    <w:rsid w:val="00D35D9C"/>
    <w:rsid w:val="00D362BB"/>
    <w:rsid w:val="00D3656D"/>
    <w:rsid w:val="00D37DF8"/>
    <w:rsid w:val="00D404E4"/>
    <w:rsid w:val="00D40571"/>
    <w:rsid w:val="00D40670"/>
    <w:rsid w:val="00D40755"/>
    <w:rsid w:val="00D413C4"/>
    <w:rsid w:val="00D434BA"/>
    <w:rsid w:val="00D435AD"/>
    <w:rsid w:val="00D43771"/>
    <w:rsid w:val="00D44CF5"/>
    <w:rsid w:val="00D452A3"/>
    <w:rsid w:val="00D4684B"/>
    <w:rsid w:val="00D469BF"/>
    <w:rsid w:val="00D471C7"/>
    <w:rsid w:val="00D47ADC"/>
    <w:rsid w:val="00D47B45"/>
    <w:rsid w:val="00D501A2"/>
    <w:rsid w:val="00D516BD"/>
    <w:rsid w:val="00D522B2"/>
    <w:rsid w:val="00D522FC"/>
    <w:rsid w:val="00D52762"/>
    <w:rsid w:val="00D53E4F"/>
    <w:rsid w:val="00D54299"/>
    <w:rsid w:val="00D54F19"/>
    <w:rsid w:val="00D55D48"/>
    <w:rsid w:val="00D56921"/>
    <w:rsid w:val="00D573B0"/>
    <w:rsid w:val="00D57743"/>
    <w:rsid w:val="00D600F6"/>
    <w:rsid w:val="00D603BC"/>
    <w:rsid w:val="00D620D9"/>
    <w:rsid w:val="00D6210C"/>
    <w:rsid w:val="00D62421"/>
    <w:rsid w:val="00D62831"/>
    <w:rsid w:val="00D637F7"/>
    <w:rsid w:val="00D6385F"/>
    <w:rsid w:val="00D65CF3"/>
    <w:rsid w:val="00D67BE6"/>
    <w:rsid w:val="00D724C3"/>
    <w:rsid w:val="00D73969"/>
    <w:rsid w:val="00D73DED"/>
    <w:rsid w:val="00D73E53"/>
    <w:rsid w:val="00D74049"/>
    <w:rsid w:val="00D74781"/>
    <w:rsid w:val="00D75366"/>
    <w:rsid w:val="00D75C44"/>
    <w:rsid w:val="00D7634C"/>
    <w:rsid w:val="00D76A62"/>
    <w:rsid w:val="00D80116"/>
    <w:rsid w:val="00D8049C"/>
    <w:rsid w:val="00D80748"/>
    <w:rsid w:val="00D80BE7"/>
    <w:rsid w:val="00D81B93"/>
    <w:rsid w:val="00D82092"/>
    <w:rsid w:val="00D820E4"/>
    <w:rsid w:val="00D830B2"/>
    <w:rsid w:val="00D84A69"/>
    <w:rsid w:val="00D85342"/>
    <w:rsid w:val="00D854EB"/>
    <w:rsid w:val="00D8555E"/>
    <w:rsid w:val="00D871B7"/>
    <w:rsid w:val="00D878C2"/>
    <w:rsid w:val="00D912B4"/>
    <w:rsid w:val="00D92222"/>
    <w:rsid w:val="00D92D39"/>
    <w:rsid w:val="00D939E4"/>
    <w:rsid w:val="00D94C88"/>
    <w:rsid w:val="00D952F1"/>
    <w:rsid w:val="00D95354"/>
    <w:rsid w:val="00D95ECC"/>
    <w:rsid w:val="00D9764F"/>
    <w:rsid w:val="00D97DF0"/>
    <w:rsid w:val="00DA0C31"/>
    <w:rsid w:val="00DA0C97"/>
    <w:rsid w:val="00DA2D45"/>
    <w:rsid w:val="00DA3B4C"/>
    <w:rsid w:val="00DA41E6"/>
    <w:rsid w:val="00DA4DF5"/>
    <w:rsid w:val="00DA6502"/>
    <w:rsid w:val="00DA71CF"/>
    <w:rsid w:val="00DA78D9"/>
    <w:rsid w:val="00DB14D2"/>
    <w:rsid w:val="00DB1B3C"/>
    <w:rsid w:val="00DB292B"/>
    <w:rsid w:val="00DB3D88"/>
    <w:rsid w:val="00DB5D09"/>
    <w:rsid w:val="00DB5DA5"/>
    <w:rsid w:val="00DB67C3"/>
    <w:rsid w:val="00DB6835"/>
    <w:rsid w:val="00DB7145"/>
    <w:rsid w:val="00DB73B2"/>
    <w:rsid w:val="00DB7485"/>
    <w:rsid w:val="00DB7800"/>
    <w:rsid w:val="00DC0534"/>
    <w:rsid w:val="00DC0D18"/>
    <w:rsid w:val="00DC11E2"/>
    <w:rsid w:val="00DC1A43"/>
    <w:rsid w:val="00DC20B4"/>
    <w:rsid w:val="00DC23B7"/>
    <w:rsid w:val="00DC59FC"/>
    <w:rsid w:val="00DC6516"/>
    <w:rsid w:val="00DC769D"/>
    <w:rsid w:val="00DD0058"/>
    <w:rsid w:val="00DD0326"/>
    <w:rsid w:val="00DD11DF"/>
    <w:rsid w:val="00DD126C"/>
    <w:rsid w:val="00DD24B8"/>
    <w:rsid w:val="00DD2538"/>
    <w:rsid w:val="00DD271E"/>
    <w:rsid w:val="00DD30C6"/>
    <w:rsid w:val="00DD31FE"/>
    <w:rsid w:val="00DD585D"/>
    <w:rsid w:val="00DD79CF"/>
    <w:rsid w:val="00DE0715"/>
    <w:rsid w:val="00DE2533"/>
    <w:rsid w:val="00DE48F6"/>
    <w:rsid w:val="00DE5B88"/>
    <w:rsid w:val="00DE6112"/>
    <w:rsid w:val="00DE70A6"/>
    <w:rsid w:val="00DE71C8"/>
    <w:rsid w:val="00DE73FC"/>
    <w:rsid w:val="00DF016F"/>
    <w:rsid w:val="00DF2848"/>
    <w:rsid w:val="00DF36F4"/>
    <w:rsid w:val="00DF378A"/>
    <w:rsid w:val="00DF4E24"/>
    <w:rsid w:val="00DF5081"/>
    <w:rsid w:val="00DF5451"/>
    <w:rsid w:val="00DF5461"/>
    <w:rsid w:val="00DF5545"/>
    <w:rsid w:val="00DF55CD"/>
    <w:rsid w:val="00DF5AD5"/>
    <w:rsid w:val="00DF6148"/>
    <w:rsid w:val="00DF6284"/>
    <w:rsid w:val="00DF63F6"/>
    <w:rsid w:val="00DF65EB"/>
    <w:rsid w:val="00DF67EC"/>
    <w:rsid w:val="00DF6B7A"/>
    <w:rsid w:val="00DF71F8"/>
    <w:rsid w:val="00E01713"/>
    <w:rsid w:val="00E01B99"/>
    <w:rsid w:val="00E02476"/>
    <w:rsid w:val="00E036D2"/>
    <w:rsid w:val="00E0373F"/>
    <w:rsid w:val="00E03AF8"/>
    <w:rsid w:val="00E043B7"/>
    <w:rsid w:val="00E04DBC"/>
    <w:rsid w:val="00E04E3B"/>
    <w:rsid w:val="00E0590C"/>
    <w:rsid w:val="00E068F4"/>
    <w:rsid w:val="00E06A6F"/>
    <w:rsid w:val="00E06F51"/>
    <w:rsid w:val="00E076CA"/>
    <w:rsid w:val="00E07C4D"/>
    <w:rsid w:val="00E07E7A"/>
    <w:rsid w:val="00E07F6F"/>
    <w:rsid w:val="00E10B9A"/>
    <w:rsid w:val="00E10BFF"/>
    <w:rsid w:val="00E12640"/>
    <w:rsid w:val="00E12732"/>
    <w:rsid w:val="00E13FA4"/>
    <w:rsid w:val="00E157F2"/>
    <w:rsid w:val="00E16AFF"/>
    <w:rsid w:val="00E16F85"/>
    <w:rsid w:val="00E1711F"/>
    <w:rsid w:val="00E1780B"/>
    <w:rsid w:val="00E21213"/>
    <w:rsid w:val="00E2191C"/>
    <w:rsid w:val="00E21DCE"/>
    <w:rsid w:val="00E22181"/>
    <w:rsid w:val="00E24163"/>
    <w:rsid w:val="00E260C6"/>
    <w:rsid w:val="00E271DB"/>
    <w:rsid w:val="00E273DE"/>
    <w:rsid w:val="00E3053B"/>
    <w:rsid w:val="00E308B6"/>
    <w:rsid w:val="00E30B9C"/>
    <w:rsid w:val="00E30C38"/>
    <w:rsid w:val="00E30D4C"/>
    <w:rsid w:val="00E31618"/>
    <w:rsid w:val="00E31C02"/>
    <w:rsid w:val="00E32DCE"/>
    <w:rsid w:val="00E33A75"/>
    <w:rsid w:val="00E34582"/>
    <w:rsid w:val="00E35DE3"/>
    <w:rsid w:val="00E3683E"/>
    <w:rsid w:val="00E36C52"/>
    <w:rsid w:val="00E36E9C"/>
    <w:rsid w:val="00E37B09"/>
    <w:rsid w:val="00E40BB5"/>
    <w:rsid w:val="00E41706"/>
    <w:rsid w:val="00E42785"/>
    <w:rsid w:val="00E42D1F"/>
    <w:rsid w:val="00E43017"/>
    <w:rsid w:val="00E431E8"/>
    <w:rsid w:val="00E45C4C"/>
    <w:rsid w:val="00E462F1"/>
    <w:rsid w:val="00E47561"/>
    <w:rsid w:val="00E475F2"/>
    <w:rsid w:val="00E47B32"/>
    <w:rsid w:val="00E501C7"/>
    <w:rsid w:val="00E50576"/>
    <w:rsid w:val="00E505B7"/>
    <w:rsid w:val="00E51793"/>
    <w:rsid w:val="00E519CA"/>
    <w:rsid w:val="00E535D7"/>
    <w:rsid w:val="00E53A18"/>
    <w:rsid w:val="00E53C6D"/>
    <w:rsid w:val="00E5440F"/>
    <w:rsid w:val="00E5513C"/>
    <w:rsid w:val="00E5528D"/>
    <w:rsid w:val="00E5561E"/>
    <w:rsid w:val="00E55C7E"/>
    <w:rsid w:val="00E579B7"/>
    <w:rsid w:val="00E57CA5"/>
    <w:rsid w:val="00E6018C"/>
    <w:rsid w:val="00E60AFD"/>
    <w:rsid w:val="00E610A2"/>
    <w:rsid w:val="00E616BE"/>
    <w:rsid w:val="00E6188D"/>
    <w:rsid w:val="00E622B2"/>
    <w:rsid w:val="00E630F5"/>
    <w:rsid w:val="00E63429"/>
    <w:rsid w:val="00E6473C"/>
    <w:rsid w:val="00E65DF3"/>
    <w:rsid w:val="00E6612C"/>
    <w:rsid w:val="00E662FB"/>
    <w:rsid w:val="00E66554"/>
    <w:rsid w:val="00E66589"/>
    <w:rsid w:val="00E66ACE"/>
    <w:rsid w:val="00E66E1A"/>
    <w:rsid w:val="00E67119"/>
    <w:rsid w:val="00E67423"/>
    <w:rsid w:val="00E6745B"/>
    <w:rsid w:val="00E675F9"/>
    <w:rsid w:val="00E67DBB"/>
    <w:rsid w:val="00E67FCD"/>
    <w:rsid w:val="00E70566"/>
    <w:rsid w:val="00E70BCF"/>
    <w:rsid w:val="00E72635"/>
    <w:rsid w:val="00E7269C"/>
    <w:rsid w:val="00E7357B"/>
    <w:rsid w:val="00E735D4"/>
    <w:rsid w:val="00E73FF1"/>
    <w:rsid w:val="00E741A8"/>
    <w:rsid w:val="00E748AB"/>
    <w:rsid w:val="00E74AC1"/>
    <w:rsid w:val="00E756D3"/>
    <w:rsid w:val="00E75D97"/>
    <w:rsid w:val="00E75F43"/>
    <w:rsid w:val="00E7619B"/>
    <w:rsid w:val="00E774FA"/>
    <w:rsid w:val="00E778EE"/>
    <w:rsid w:val="00E80A14"/>
    <w:rsid w:val="00E81257"/>
    <w:rsid w:val="00E81292"/>
    <w:rsid w:val="00E8199A"/>
    <w:rsid w:val="00E82895"/>
    <w:rsid w:val="00E9169D"/>
    <w:rsid w:val="00E91858"/>
    <w:rsid w:val="00E92DB8"/>
    <w:rsid w:val="00E92FAF"/>
    <w:rsid w:val="00E932BC"/>
    <w:rsid w:val="00E937F5"/>
    <w:rsid w:val="00E9389A"/>
    <w:rsid w:val="00E95B1B"/>
    <w:rsid w:val="00E964F2"/>
    <w:rsid w:val="00E96530"/>
    <w:rsid w:val="00E96DB6"/>
    <w:rsid w:val="00E97232"/>
    <w:rsid w:val="00EA0523"/>
    <w:rsid w:val="00EA06E8"/>
    <w:rsid w:val="00EA15B4"/>
    <w:rsid w:val="00EA15DD"/>
    <w:rsid w:val="00EA18D7"/>
    <w:rsid w:val="00EA21C2"/>
    <w:rsid w:val="00EA274E"/>
    <w:rsid w:val="00EA3098"/>
    <w:rsid w:val="00EA3CC9"/>
    <w:rsid w:val="00EA407B"/>
    <w:rsid w:val="00EA4CEF"/>
    <w:rsid w:val="00EA5628"/>
    <w:rsid w:val="00EB0515"/>
    <w:rsid w:val="00EB0CB5"/>
    <w:rsid w:val="00EB190D"/>
    <w:rsid w:val="00EB1AC7"/>
    <w:rsid w:val="00EB2B6C"/>
    <w:rsid w:val="00EB2F80"/>
    <w:rsid w:val="00EB3091"/>
    <w:rsid w:val="00EB3194"/>
    <w:rsid w:val="00EB3E85"/>
    <w:rsid w:val="00EB4A76"/>
    <w:rsid w:val="00EB5993"/>
    <w:rsid w:val="00EB64D9"/>
    <w:rsid w:val="00EB672A"/>
    <w:rsid w:val="00EB7C6F"/>
    <w:rsid w:val="00EB7CBA"/>
    <w:rsid w:val="00EC001D"/>
    <w:rsid w:val="00EC081A"/>
    <w:rsid w:val="00EC1511"/>
    <w:rsid w:val="00EC170F"/>
    <w:rsid w:val="00EC1A97"/>
    <w:rsid w:val="00EC1E30"/>
    <w:rsid w:val="00EC2996"/>
    <w:rsid w:val="00EC72CD"/>
    <w:rsid w:val="00EC72E3"/>
    <w:rsid w:val="00EC7A41"/>
    <w:rsid w:val="00ED0FAA"/>
    <w:rsid w:val="00ED109D"/>
    <w:rsid w:val="00ED1F99"/>
    <w:rsid w:val="00ED24D7"/>
    <w:rsid w:val="00ED2528"/>
    <w:rsid w:val="00ED27BC"/>
    <w:rsid w:val="00ED2ABB"/>
    <w:rsid w:val="00ED3504"/>
    <w:rsid w:val="00ED35DE"/>
    <w:rsid w:val="00ED368F"/>
    <w:rsid w:val="00ED5484"/>
    <w:rsid w:val="00ED5A78"/>
    <w:rsid w:val="00ED60A9"/>
    <w:rsid w:val="00ED619B"/>
    <w:rsid w:val="00ED6865"/>
    <w:rsid w:val="00ED6C48"/>
    <w:rsid w:val="00ED747D"/>
    <w:rsid w:val="00EE17A8"/>
    <w:rsid w:val="00EE1997"/>
    <w:rsid w:val="00EE1D15"/>
    <w:rsid w:val="00EE1DB7"/>
    <w:rsid w:val="00EE460A"/>
    <w:rsid w:val="00EE5846"/>
    <w:rsid w:val="00EE5C86"/>
    <w:rsid w:val="00EE6180"/>
    <w:rsid w:val="00EE6686"/>
    <w:rsid w:val="00EE6FDE"/>
    <w:rsid w:val="00EF030A"/>
    <w:rsid w:val="00EF040F"/>
    <w:rsid w:val="00EF09DC"/>
    <w:rsid w:val="00EF0C8E"/>
    <w:rsid w:val="00EF159B"/>
    <w:rsid w:val="00EF1859"/>
    <w:rsid w:val="00EF399F"/>
    <w:rsid w:val="00EF3BD5"/>
    <w:rsid w:val="00EF58C4"/>
    <w:rsid w:val="00EF6677"/>
    <w:rsid w:val="00EF70EB"/>
    <w:rsid w:val="00F0025D"/>
    <w:rsid w:val="00F00C3A"/>
    <w:rsid w:val="00F012A8"/>
    <w:rsid w:val="00F01466"/>
    <w:rsid w:val="00F01A21"/>
    <w:rsid w:val="00F03CB3"/>
    <w:rsid w:val="00F04312"/>
    <w:rsid w:val="00F0581F"/>
    <w:rsid w:val="00F06383"/>
    <w:rsid w:val="00F06478"/>
    <w:rsid w:val="00F06C52"/>
    <w:rsid w:val="00F06DCF"/>
    <w:rsid w:val="00F0744E"/>
    <w:rsid w:val="00F07571"/>
    <w:rsid w:val="00F0768F"/>
    <w:rsid w:val="00F0775C"/>
    <w:rsid w:val="00F07788"/>
    <w:rsid w:val="00F07F5F"/>
    <w:rsid w:val="00F106FC"/>
    <w:rsid w:val="00F11335"/>
    <w:rsid w:val="00F12BF4"/>
    <w:rsid w:val="00F140FB"/>
    <w:rsid w:val="00F14A44"/>
    <w:rsid w:val="00F14FBB"/>
    <w:rsid w:val="00F1518E"/>
    <w:rsid w:val="00F15A0E"/>
    <w:rsid w:val="00F16031"/>
    <w:rsid w:val="00F162BD"/>
    <w:rsid w:val="00F17488"/>
    <w:rsid w:val="00F178DB"/>
    <w:rsid w:val="00F20DB9"/>
    <w:rsid w:val="00F21776"/>
    <w:rsid w:val="00F21903"/>
    <w:rsid w:val="00F22DB5"/>
    <w:rsid w:val="00F3036A"/>
    <w:rsid w:val="00F3080C"/>
    <w:rsid w:val="00F316E4"/>
    <w:rsid w:val="00F31D18"/>
    <w:rsid w:val="00F32739"/>
    <w:rsid w:val="00F328DA"/>
    <w:rsid w:val="00F32AB6"/>
    <w:rsid w:val="00F32BE4"/>
    <w:rsid w:val="00F33215"/>
    <w:rsid w:val="00F3359C"/>
    <w:rsid w:val="00F33D04"/>
    <w:rsid w:val="00F33F84"/>
    <w:rsid w:val="00F34B9C"/>
    <w:rsid w:val="00F3526A"/>
    <w:rsid w:val="00F35FE6"/>
    <w:rsid w:val="00F36149"/>
    <w:rsid w:val="00F37C24"/>
    <w:rsid w:val="00F40972"/>
    <w:rsid w:val="00F42CB5"/>
    <w:rsid w:val="00F42E69"/>
    <w:rsid w:val="00F42ED3"/>
    <w:rsid w:val="00F436F2"/>
    <w:rsid w:val="00F442C7"/>
    <w:rsid w:val="00F4470E"/>
    <w:rsid w:val="00F451DC"/>
    <w:rsid w:val="00F454E4"/>
    <w:rsid w:val="00F45875"/>
    <w:rsid w:val="00F46C2D"/>
    <w:rsid w:val="00F50AFC"/>
    <w:rsid w:val="00F513E1"/>
    <w:rsid w:val="00F515B1"/>
    <w:rsid w:val="00F5171F"/>
    <w:rsid w:val="00F5323C"/>
    <w:rsid w:val="00F53292"/>
    <w:rsid w:val="00F53D4A"/>
    <w:rsid w:val="00F54731"/>
    <w:rsid w:val="00F5532B"/>
    <w:rsid w:val="00F559BA"/>
    <w:rsid w:val="00F61621"/>
    <w:rsid w:val="00F618CC"/>
    <w:rsid w:val="00F61E38"/>
    <w:rsid w:val="00F62532"/>
    <w:rsid w:val="00F62F0C"/>
    <w:rsid w:val="00F633E9"/>
    <w:rsid w:val="00F63774"/>
    <w:rsid w:val="00F65BCE"/>
    <w:rsid w:val="00F65CAD"/>
    <w:rsid w:val="00F66855"/>
    <w:rsid w:val="00F668A1"/>
    <w:rsid w:val="00F66A05"/>
    <w:rsid w:val="00F67F2B"/>
    <w:rsid w:val="00F718C2"/>
    <w:rsid w:val="00F73C0A"/>
    <w:rsid w:val="00F74615"/>
    <w:rsid w:val="00F748EE"/>
    <w:rsid w:val="00F7700E"/>
    <w:rsid w:val="00F7794D"/>
    <w:rsid w:val="00F80D95"/>
    <w:rsid w:val="00F81D9A"/>
    <w:rsid w:val="00F82E97"/>
    <w:rsid w:val="00F83850"/>
    <w:rsid w:val="00F844F5"/>
    <w:rsid w:val="00F84D4E"/>
    <w:rsid w:val="00F85889"/>
    <w:rsid w:val="00F85F87"/>
    <w:rsid w:val="00F868B2"/>
    <w:rsid w:val="00F869CB"/>
    <w:rsid w:val="00F86D1A"/>
    <w:rsid w:val="00F8715D"/>
    <w:rsid w:val="00F876CE"/>
    <w:rsid w:val="00F879CE"/>
    <w:rsid w:val="00F90430"/>
    <w:rsid w:val="00F90B17"/>
    <w:rsid w:val="00F91969"/>
    <w:rsid w:val="00F91E1A"/>
    <w:rsid w:val="00F92F2E"/>
    <w:rsid w:val="00F932C4"/>
    <w:rsid w:val="00F937CA"/>
    <w:rsid w:val="00F944A7"/>
    <w:rsid w:val="00F94716"/>
    <w:rsid w:val="00F9514C"/>
    <w:rsid w:val="00F95836"/>
    <w:rsid w:val="00F95B70"/>
    <w:rsid w:val="00F973F3"/>
    <w:rsid w:val="00F97B7E"/>
    <w:rsid w:val="00FA1D1F"/>
    <w:rsid w:val="00FA1F3A"/>
    <w:rsid w:val="00FA235A"/>
    <w:rsid w:val="00FA2CE1"/>
    <w:rsid w:val="00FA3E73"/>
    <w:rsid w:val="00FA48F2"/>
    <w:rsid w:val="00FA4942"/>
    <w:rsid w:val="00FA5336"/>
    <w:rsid w:val="00FA5CEB"/>
    <w:rsid w:val="00FA66B1"/>
    <w:rsid w:val="00FA704D"/>
    <w:rsid w:val="00FB0BE3"/>
    <w:rsid w:val="00FB1110"/>
    <w:rsid w:val="00FB11BC"/>
    <w:rsid w:val="00FB1C37"/>
    <w:rsid w:val="00FB24DC"/>
    <w:rsid w:val="00FB2B75"/>
    <w:rsid w:val="00FB2D17"/>
    <w:rsid w:val="00FB48A3"/>
    <w:rsid w:val="00FB6402"/>
    <w:rsid w:val="00FB64F4"/>
    <w:rsid w:val="00FB6519"/>
    <w:rsid w:val="00FB6D49"/>
    <w:rsid w:val="00FB73AD"/>
    <w:rsid w:val="00FC064F"/>
    <w:rsid w:val="00FC0EC3"/>
    <w:rsid w:val="00FC1CD1"/>
    <w:rsid w:val="00FC2494"/>
    <w:rsid w:val="00FC24B4"/>
    <w:rsid w:val="00FC2CB4"/>
    <w:rsid w:val="00FC344E"/>
    <w:rsid w:val="00FC3C67"/>
    <w:rsid w:val="00FC3F90"/>
    <w:rsid w:val="00FD04F0"/>
    <w:rsid w:val="00FD0E9B"/>
    <w:rsid w:val="00FD24C7"/>
    <w:rsid w:val="00FD3402"/>
    <w:rsid w:val="00FD3657"/>
    <w:rsid w:val="00FE0974"/>
    <w:rsid w:val="00FE2A52"/>
    <w:rsid w:val="00FE3588"/>
    <w:rsid w:val="00FE3590"/>
    <w:rsid w:val="00FE3777"/>
    <w:rsid w:val="00FE3B1A"/>
    <w:rsid w:val="00FE3E12"/>
    <w:rsid w:val="00FE4260"/>
    <w:rsid w:val="00FE4384"/>
    <w:rsid w:val="00FE5146"/>
    <w:rsid w:val="00FE627D"/>
    <w:rsid w:val="00FE66AB"/>
    <w:rsid w:val="00FE6E77"/>
    <w:rsid w:val="00FE7A02"/>
    <w:rsid w:val="00FF12CE"/>
    <w:rsid w:val="00FF2F00"/>
    <w:rsid w:val="00FF45B8"/>
    <w:rsid w:val="00FF5455"/>
    <w:rsid w:val="00FF61A9"/>
    <w:rsid w:val="00FF68FE"/>
    <w:rsid w:val="00FF6E5D"/>
    <w:rsid w:val="00FF7EFB"/>
    <w:rsid w:val="016C2C80"/>
    <w:rsid w:val="01836082"/>
    <w:rsid w:val="022543E1"/>
    <w:rsid w:val="026352FF"/>
    <w:rsid w:val="029D1478"/>
    <w:rsid w:val="0422572C"/>
    <w:rsid w:val="04AF0F37"/>
    <w:rsid w:val="050B20AC"/>
    <w:rsid w:val="05411A66"/>
    <w:rsid w:val="057B4A35"/>
    <w:rsid w:val="05A2371D"/>
    <w:rsid w:val="05A97C32"/>
    <w:rsid w:val="060A6B11"/>
    <w:rsid w:val="06192E70"/>
    <w:rsid w:val="0666542D"/>
    <w:rsid w:val="066C0609"/>
    <w:rsid w:val="06F44FA6"/>
    <w:rsid w:val="06FB6627"/>
    <w:rsid w:val="073C1C37"/>
    <w:rsid w:val="07631CF3"/>
    <w:rsid w:val="07995400"/>
    <w:rsid w:val="083352BC"/>
    <w:rsid w:val="08821592"/>
    <w:rsid w:val="08FA0D1B"/>
    <w:rsid w:val="090E6972"/>
    <w:rsid w:val="09417318"/>
    <w:rsid w:val="096376A9"/>
    <w:rsid w:val="099E3711"/>
    <w:rsid w:val="09F32507"/>
    <w:rsid w:val="0A6B2B30"/>
    <w:rsid w:val="0ADD3919"/>
    <w:rsid w:val="0B996540"/>
    <w:rsid w:val="0C545BCE"/>
    <w:rsid w:val="0CB36DB8"/>
    <w:rsid w:val="0D2865BB"/>
    <w:rsid w:val="0D7B3EF6"/>
    <w:rsid w:val="0E2437B9"/>
    <w:rsid w:val="0E3E4334"/>
    <w:rsid w:val="0E414363"/>
    <w:rsid w:val="0E536938"/>
    <w:rsid w:val="0E7236D5"/>
    <w:rsid w:val="0E920295"/>
    <w:rsid w:val="0EB67BBA"/>
    <w:rsid w:val="0EBC4BEA"/>
    <w:rsid w:val="0F366B85"/>
    <w:rsid w:val="0F896577"/>
    <w:rsid w:val="0F902E66"/>
    <w:rsid w:val="0FB0473E"/>
    <w:rsid w:val="10566922"/>
    <w:rsid w:val="10690A9D"/>
    <w:rsid w:val="107C2667"/>
    <w:rsid w:val="10B61F5A"/>
    <w:rsid w:val="10EC3BDB"/>
    <w:rsid w:val="113C081C"/>
    <w:rsid w:val="119F019B"/>
    <w:rsid w:val="11F92775"/>
    <w:rsid w:val="130E3A71"/>
    <w:rsid w:val="138A382B"/>
    <w:rsid w:val="139502A6"/>
    <w:rsid w:val="140F001F"/>
    <w:rsid w:val="146E6986"/>
    <w:rsid w:val="14BF0A96"/>
    <w:rsid w:val="14D77426"/>
    <w:rsid w:val="14FF42CB"/>
    <w:rsid w:val="155E49B7"/>
    <w:rsid w:val="15766727"/>
    <w:rsid w:val="15E9247F"/>
    <w:rsid w:val="15F51B05"/>
    <w:rsid w:val="164D19BE"/>
    <w:rsid w:val="16661417"/>
    <w:rsid w:val="16BF4F47"/>
    <w:rsid w:val="173373BB"/>
    <w:rsid w:val="174D02EF"/>
    <w:rsid w:val="175C0D22"/>
    <w:rsid w:val="176F027A"/>
    <w:rsid w:val="17B12ABC"/>
    <w:rsid w:val="17CC7320"/>
    <w:rsid w:val="18D04A6F"/>
    <w:rsid w:val="18E67BD0"/>
    <w:rsid w:val="18FE59C0"/>
    <w:rsid w:val="191B268A"/>
    <w:rsid w:val="196F1343"/>
    <w:rsid w:val="19EE5E7B"/>
    <w:rsid w:val="1A0341CF"/>
    <w:rsid w:val="1A6301E7"/>
    <w:rsid w:val="1AAF37AA"/>
    <w:rsid w:val="1B37238E"/>
    <w:rsid w:val="1B463D9C"/>
    <w:rsid w:val="1C1E572A"/>
    <w:rsid w:val="1C4000D8"/>
    <w:rsid w:val="1C4E64FA"/>
    <w:rsid w:val="1C501D3C"/>
    <w:rsid w:val="1C691570"/>
    <w:rsid w:val="1C843553"/>
    <w:rsid w:val="1CE71420"/>
    <w:rsid w:val="1CEA2872"/>
    <w:rsid w:val="1CEF7CDB"/>
    <w:rsid w:val="1D2D035C"/>
    <w:rsid w:val="1D6C4B36"/>
    <w:rsid w:val="1D833896"/>
    <w:rsid w:val="1DBA4AF6"/>
    <w:rsid w:val="1DCE0743"/>
    <w:rsid w:val="1DFC1EA5"/>
    <w:rsid w:val="1E0E056C"/>
    <w:rsid w:val="1E1E432E"/>
    <w:rsid w:val="1E2B7105"/>
    <w:rsid w:val="1E42178B"/>
    <w:rsid w:val="1E7A6A5C"/>
    <w:rsid w:val="1E841747"/>
    <w:rsid w:val="1EB97CF4"/>
    <w:rsid w:val="1EC21137"/>
    <w:rsid w:val="1EF621D0"/>
    <w:rsid w:val="208122A6"/>
    <w:rsid w:val="20EB4C2B"/>
    <w:rsid w:val="219D60B9"/>
    <w:rsid w:val="21DE43A9"/>
    <w:rsid w:val="21E42F15"/>
    <w:rsid w:val="22581416"/>
    <w:rsid w:val="22591BBC"/>
    <w:rsid w:val="22842ECC"/>
    <w:rsid w:val="22AF6C16"/>
    <w:rsid w:val="231C1323"/>
    <w:rsid w:val="23577E20"/>
    <w:rsid w:val="23A155F4"/>
    <w:rsid w:val="23BA0C31"/>
    <w:rsid w:val="24057477"/>
    <w:rsid w:val="240C5A82"/>
    <w:rsid w:val="244E2074"/>
    <w:rsid w:val="2458302A"/>
    <w:rsid w:val="24766AEA"/>
    <w:rsid w:val="2482379E"/>
    <w:rsid w:val="25135B61"/>
    <w:rsid w:val="25211B1E"/>
    <w:rsid w:val="256246EC"/>
    <w:rsid w:val="25815208"/>
    <w:rsid w:val="25A645C5"/>
    <w:rsid w:val="25BE5943"/>
    <w:rsid w:val="25FF5527"/>
    <w:rsid w:val="26576177"/>
    <w:rsid w:val="2662402D"/>
    <w:rsid w:val="26663667"/>
    <w:rsid w:val="266F3EA1"/>
    <w:rsid w:val="26D1395E"/>
    <w:rsid w:val="270E13FF"/>
    <w:rsid w:val="271972DE"/>
    <w:rsid w:val="271A22DF"/>
    <w:rsid w:val="2735148B"/>
    <w:rsid w:val="277F5379"/>
    <w:rsid w:val="27865231"/>
    <w:rsid w:val="27C776A5"/>
    <w:rsid w:val="27CE3E30"/>
    <w:rsid w:val="282F1EFF"/>
    <w:rsid w:val="289475DA"/>
    <w:rsid w:val="295D5FD1"/>
    <w:rsid w:val="29F6169E"/>
    <w:rsid w:val="2A4B3773"/>
    <w:rsid w:val="2AD96B6D"/>
    <w:rsid w:val="2B231329"/>
    <w:rsid w:val="2B3C17D4"/>
    <w:rsid w:val="2B57477C"/>
    <w:rsid w:val="2BB3169F"/>
    <w:rsid w:val="2BBF7E78"/>
    <w:rsid w:val="2BD426CB"/>
    <w:rsid w:val="2BD9748C"/>
    <w:rsid w:val="2BF65788"/>
    <w:rsid w:val="2C3D704D"/>
    <w:rsid w:val="2C9E347E"/>
    <w:rsid w:val="2CBA3809"/>
    <w:rsid w:val="2D0C2F21"/>
    <w:rsid w:val="2D2A1F96"/>
    <w:rsid w:val="2D5B37D2"/>
    <w:rsid w:val="2D6263F4"/>
    <w:rsid w:val="2D754E59"/>
    <w:rsid w:val="2DCD7D8C"/>
    <w:rsid w:val="2DDB5BD5"/>
    <w:rsid w:val="2E593F83"/>
    <w:rsid w:val="2E904057"/>
    <w:rsid w:val="2E9E3FDF"/>
    <w:rsid w:val="2F260509"/>
    <w:rsid w:val="2F326ACC"/>
    <w:rsid w:val="2FE74E54"/>
    <w:rsid w:val="300D55ED"/>
    <w:rsid w:val="30244BD9"/>
    <w:rsid w:val="303B761A"/>
    <w:rsid w:val="30E67858"/>
    <w:rsid w:val="30E76281"/>
    <w:rsid w:val="318B5FDE"/>
    <w:rsid w:val="318F34CE"/>
    <w:rsid w:val="319D64AB"/>
    <w:rsid w:val="328E25FA"/>
    <w:rsid w:val="32986212"/>
    <w:rsid w:val="32CF0B91"/>
    <w:rsid w:val="32D73BF7"/>
    <w:rsid w:val="33D400E9"/>
    <w:rsid w:val="33F263DC"/>
    <w:rsid w:val="34237CE4"/>
    <w:rsid w:val="3444089F"/>
    <w:rsid w:val="34883F20"/>
    <w:rsid w:val="34CC45A8"/>
    <w:rsid w:val="3519055A"/>
    <w:rsid w:val="35861850"/>
    <w:rsid w:val="359004E0"/>
    <w:rsid w:val="35D43F3F"/>
    <w:rsid w:val="35DB5E83"/>
    <w:rsid w:val="360151CA"/>
    <w:rsid w:val="36800AF8"/>
    <w:rsid w:val="368F71C0"/>
    <w:rsid w:val="36DC4ECC"/>
    <w:rsid w:val="36F03B27"/>
    <w:rsid w:val="37347065"/>
    <w:rsid w:val="37486789"/>
    <w:rsid w:val="37701A65"/>
    <w:rsid w:val="37DE5126"/>
    <w:rsid w:val="3812270A"/>
    <w:rsid w:val="38285A49"/>
    <w:rsid w:val="39523447"/>
    <w:rsid w:val="39D442EE"/>
    <w:rsid w:val="3A2865BC"/>
    <w:rsid w:val="3AC96E8B"/>
    <w:rsid w:val="3AE222C7"/>
    <w:rsid w:val="3AE975F7"/>
    <w:rsid w:val="3AF603C1"/>
    <w:rsid w:val="3B3E65FB"/>
    <w:rsid w:val="3BB47F5C"/>
    <w:rsid w:val="3BC04DED"/>
    <w:rsid w:val="3BCD77A2"/>
    <w:rsid w:val="3BFA3712"/>
    <w:rsid w:val="3D100A62"/>
    <w:rsid w:val="3D3E3DFF"/>
    <w:rsid w:val="3DEF1188"/>
    <w:rsid w:val="3E52056F"/>
    <w:rsid w:val="3E676885"/>
    <w:rsid w:val="3E6A79C9"/>
    <w:rsid w:val="3E792073"/>
    <w:rsid w:val="3E7D6DCB"/>
    <w:rsid w:val="3EE14D97"/>
    <w:rsid w:val="3F327FE5"/>
    <w:rsid w:val="40A65198"/>
    <w:rsid w:val="40B809F7"/>
    <w:rsid w:val="40BD093E"/>
    <w:rsid w:val="40D928FC"/>
    <w:rsid w:val="40FF3270"/>
    <w:rsid w:val="41584F88"/>
    <w:rsid w:val="416208C1"/>
    <w:rsid w:val="419F68C9"/>
    <w:rsid w:val="424339FD"/>
    <w:rsid w:val="427214ED"/>
    <w:rsid w:val="42925717"/>
    <w:rsid w:val="42A315B1"/>
    <w:rsid w:val="433F40DB"/>
    <w:rsid w:val="43541ABC"/>
    <w:rsid w:val="43664DF1"/>
    <w:rsid w:val="43837C7B"/>
    <w:rsid w:val="43966076"/>
    <w:rsid w:val="44276CF1"/>
    <w:rsid w:val="44AE4117"/>
    <w:rsid w:val="44DF767A"/>
    <w:rsid w:val="44FB64D6"/>
    <w:rsid w:val="45175DD3"/>
    <w:rsid w:val="45720514"/>
    <w:rsid w:val="45F65242"/>
    <w:rsid w:val="46006689"/>
    <w:rsid w:val="46312D61"/>
    <w:rsid w:val="46ED003F"/>
    <w:rsid w:val="47273FF5"/>
    <w:rsid w:val="47371FFF"/>
    <w:rsid w:val="47407DA5"/>
    <w:rsid w:val="47892D87"/>
    <w:rsid w:val="47A27EB9"/>
    <w:rsid w:val="48073FCE"/>
    <w:rsid w:val="48083DD9"/>
    <w:rsid w:val="48322C9B"/>
    <w:rsid w:val="48AB73D9"/>
    <w:rsid w:val="4986294D"/>
    <w:rsid w:val="49CD025F"/>
    <w:rsid w:val="4A220541"/>
    <w:rsid w:val="4A4739C5"/>
    <w:rsid w:val="4AA2102B"/>
    <w:rsid w:val="4AB1258E"/>
    <w:rsid w:val="4ADA5803"/>
    <w:rsid w:val="4B233BC3"/>
    <w:rsid w:val="4B5D1886"/>
    <w:rsid w:val="4B8F7C01"/>
    <w:rsid w:val="4C4B5AB0"/>
    <w:rsid w:val="4C5264FF"/>
    <w:rsid w:val="4C9330A2"/>
    <w:rsid w:val="4C964C3A"/>
    <w:rsid w:val="4CA044A1"/>
    <w:rsid w:val="4CCB6BAC"/>
    <w:rsid w:val="4D080496"/>
    <w:rsid w:val="4D774889"/>
    <w:rsid w:val="4D8A7E66"/>
    <w:rsid w:val="4E7F11CE"/>
    <w:rsid w:val="4FBE3E2F"/>
    <w:rsid w:val="50014977"/>
    <w:rsid w:val="50210B71"/>
    <w:rsid w:val="510E1E70"/>
    <w:rsid w:val="51DE1040"/>
    <w:rsid w:val="521266DD"/>
    <w:rsid w:val="52545573"/>
    <w:rsid w:val="528C3463"/>
    <w:rsid w:val="52A83936"/>
    <w:rsid w:val="52CD0782"/>
    <w:rsid w:val="52FF6F1F"/>
    <w:rsid w:val="537651D7"/>
    <w:rsid w:val="54247CF0"/>
    <w:rsid w:val="546A57EB"/>
    <w:rsid w:val="546C6642"/>
    <w:rsid w:val="54C47700"/>
    <w:rsid w:val="54CC1E41"/>
    <w:rsid w:val="560631D4"/>
    <w:rsid w:val="562E42CB"/>
    <w:rsid w:val="56661C65"/>
    <w:rsid w:val="56D50399"/>
    <w:rsid w:val="571A6FA8"/>
    <w:rsid w:val="576A6C0C"/>
    <w:rsid w:val="579565F2"/>
    <w:rsid w:val="57C36D81"/>
    <w:rsid w:val="58106386"/>
    <w:rsid w:val="58992F18"/>
    <w:rsid w:val="58AE17C9"/>
    <w:rsid w:val="58FD2CDB"/>
    <w:rsid w:val="59324302"/>
    <w:rsid w:val="59D578D8"/>
    <w:rsid w:val="5A276988"/>
    <w:rsid w:val="5A433D89"/>
    <w:rsid w:val="5A483C3E"/>
    <w:rsid w:val="5A761FD5"/>
    <w:rsid w:val="5A8661D2"/>
    <w:rsid w:val="5A967FDA"/>
    <w:rsid w:val="5AAB117E"/>
    <w:rsid w:val="5AB95F1F"/>
    <w:rsid w:val="5ABC09FD"/>
    <w:rsid w:val="5B760479"/>
    <w:rsid w:val="5BA0052D"/>
    <w:rsid w:val="5BFE7BBD"/>
    <w:rsid w:val="5C025F17"/>
    <w:rsid w:val="5C085962"/>
    <w:rsid w:val="5C417BE2"/>
    <w:rsid w:val="5CAF1ADA"/>
    <w:rsid w:val="5CBB4783"/>
    <w:rsid w:val="5D8C1687"/>
    <w:rsid w:val="5DAF4C86"/>
    <w:rsid w:val="5DC17E3D"/>
    <w:rsid w:val="5DC249DD"/>
    <w:rsid w:val="5DED6431"/>
    <w:rsid w:val="5E66337E"/>
    <w:rsid w:val="5EC510E8"/>
    <w:rsid w:val="5ED63017"/>
    <w:rsid w:val="5F613B9E"/>
    <w:rsid w:val="5FD65986"/>
    <w:rsid w:val="5FD81226"/>
    <w:rsid w:val="60192173"/>
    <w:rsid w:val="60387B57"/>
    <w:rsid w:val="608135A3"/>
    <w:rsid w:val="6099694B"/>
    <w:rsid w:val="60A15D34"/>
    <w:rsid w:val="60D3466B"/>
    <w:rsid w:val="60D86C2E"/>
    <w:rsid w:val="6136625D"/>
    <w:rsid w:val="615310C9"/>
    <w:rsid w:val="6172289F"/>
    <w:rsid w:val="61B564FF"/>
    <w:rsid w:val="61F36AC5"/>
    <w:rsid w:val="61F519E1"/>
    <w:rsid w:val="62016624"/>
    <w:rsid w:val="620F72B5"/>
    <w:rsid w:val="62467E63"/>
    <w:rsid w:val="62697BFB"/>
    <w:rsid w:val="62707713"/>
    <w:rsid w:val="62E0571D"/>
    <w:rsid w:val="63252EFD"/>
    <w:rsid w:val="634C1382"/>
    <w:rsid w:val="637439B9"/>
    <w:rsid w:val="63EB44F5"/>
    <w:rsid w:val="64024100"/>
    <w:rsid w:val="643C02DD"/>
    <w:rsid w:val="643F7B6E"/>
    <w:rsid w:val="64642F07"/>
    <w:rsid w:val="648F4401"/>
    <w:rsid w:val="64DB58BD"/>
    <w:rsid w:val="64DD230E"/>
    <w:rsid w:val="64E334DE"/>
    <w:rsid w:val="655D1838"/>
    <w:rsid w:val="65F0141F"/>
    <w:rsid w:val="66002373"/>
    <w:rsid w:val="66046B70"/>
    <w:rsid w:val="664B34AE"/>
    <w:rsid w:val="668D6FD3"/>
    <w:rsid w:val="668E4909"/>
    <w:rsid w:val="66D44679"/>
    <w:rsid w:val="66E93F99"/>
    <w:rsid w:val="66EE015D"/>
    <w:rsid w:val="676654E8"/>
    <w:rsid w:val="677F045A"/>
    <w:rsid w:val="67A040B8"/>
    <w:rsid w:val="68322F45"/>
    <w:rsid w:val="683C11C5"/>
    <w:rsid w:val="68737E15"/>
    <w:rsid w:val="6892496B"/>
    <w:rsid w:val="68BE58DC"/>
    <w:rsid w:val="696D6BC2"/>
    <w:rsid w:val="697877CE"/>
    <w:rsid w:val="69DA6FA5"/>
    <w:rsid w:val="6A0A687D"/>
    <w:rsid w:val="6A4E6E82"/>
    <w:rsid w:val="6A6138FA"/>
    <w:rsid w:val="6B5E7989"/>
    <w:rsid w:val="6C0078A4"/>
    <w:rsid w:val="6C9B4CDC"/>
    <w:rsid w:val="6CB9683A"/>
    <w:rsid w:val="6CFA475A"/>
    <w:rsid w:val="6CFF10D5"/>
    <w:rsid w:val="6D2E3177"/>
    <w:rsid w:val="6D8A305E"/>
    <w:rsid w:val="6D8C4944"/>
    <w:rsid w:val="6DB17FA9"/>
    <w:rsid w:val="6DBA4806"/>
    <w:rsid w:val="6DC101B6"/>
    <w:rsid w:val="6E2D1D2E"/>
    <w:rsid w:val="6E5017D6"/>
    <w:rsid w:val="6F1A0AA4"/>
    <w:rsid w:val="6F224701"/>
    <w:rsid w:val="6F252F18"/>
    <w:rsid w:val="6F6B422D"/>
    <w:rsid w:val="6F923AA3"/>
    <w:rsid w:val="6FA6352A"/>
    <w:rsid w:val="6FE912BC"/>
    <w:rsid w:val="6FEC0623"/>
    <w:rsid w:val="70357889"/>
    <w:rsid w:val="707B1805"/>
    <w:rsid w:val="70B75027"/>
    <w:rsid w:val="7113068E"/>
    <w:rsid w:val="715115C3"/>
    <w:rsid w:val="716B08D0"/>
    <w:rsid w:val="71732672"/>
    <w:rsid w:val="718A5A63"/>
    <w:rsid w:val="71CE6856"/>
    <w:rsid w:val="72DD522F"/>
    <w:rsid w:val="732117B3"/>
    <w:rsid w:val="740206A7"/>
    <w:rsid w:val="741E2CED"/>
    <w:rsid w:val="742C4F53"/>
    <w:rsid w:val="758A621B"/>
    <w:rsid w:val="75C01187"/>
    <w:rsid w:val="76466F51"/>
    <w:rsid w:val="76503C9C"/>
    <w:rsid w:val="76A87F06"/>
    <w:rsid w:val="76F00514"/>
    <w:rsid w:val="773C57D1"/>
    <w:rsid w:val="779A3945"/>
    <w:rsid w:val="779F159E"/>
    <w:rsid w:val="77F550D1"/>
    <w:rsid w:val="7800292B"/>
    <w:rsid w:val="78463893"/>
    <w:rsid w:val="79930E64"/>
    <w:rsid w:val="79A52E52"/>
    <w:rsid w:val="79C26192"/>
    <w:rsid w:val="79CE15F7"/>
    <w:rsid w:val="79D52FAC"/>
    <w:rsid w:val="79DF75C6"/>
    <w:rsid w:val="7A521369"/>
    <w:rsid w:val="7AB961D2"/>
    <w:rsid w:val="7ADC2400"/>
    <w:rsid w:val="7AF12C35"/>
    <w:rsid w:val="7AF815E6"/>
    <w:rsid w:val="7BFB7EC6"/>
    <w:rsid w:val="7C1B1AD6"/>
    <w:rsid w:val="7C5E3D24"/>
    <w:rsid w:val="7D045527"/>
    <w:rsid w:val="7D702BE3"/>
    <w:rsid w:val="7D8A165C"/>
    <w:rsid w:val="7E026C41"/>
    <w:rsid w:val="7E14785D"/>
    <w:rsid w:val="7E437E58"/>
    <w:rsid w:val="7E86347C"/>
    <w:rsid w:val="7ED20D8D"/>
    <w:rsid w:val="7EEA61BC"/>
    <w:rsid w:val="7EFB5A2C"/>
    <w:rsid w:val="7F1D5CFA"/>
    <w:rsid w:val="7F6F40E9"/>
    <w:rsid w:val="7F7E77BA"/>
    <w:rsid w:val="7F8F0E80"/>
    <w:rsid w:val="D67E8B65"/>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f" stroke="f">
      <v:fill on="f" focussize="0,0"/>
      <v:stroke on="f"/>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39" w:semiHidden="0" w:name="toc 1"/>
    <w:lsdException w:unhideWhenUsed="0" w:uiPriority="39"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name="annotation text"/>
    <w:lsdException w:unhideWhenUsed="0" w:uiPriority="99"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99" w:semiHidden="0" w:name="Hyperlink"/>
    <w:lsdException w:unhideWhenUsed="0" w:uiPriority="0" w:semiHidden="0" w:name="FollowedHyperlink"/>
    <w:lsdException w:qFormat="1" w:unhideWhenUsed="0" w:uiPriority="22"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99"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iPriority="99"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name="Balloon Text"/>
    <w:lsdException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kern w:val="2"/>
      <w:sz w:val="21"/>
      <w:lang w:val="en-US" w:eastAsia="zh-CN" w:bidi="ar-SA"/>
    </w:rPr>
  </w:style>
  <w:style w:type="paragraph" w:styleId="2">
    <w:name w:val="heading 1"/>
    <w:basedOn w:val="1"/>
    <w:next w:val="1"/>
    <w:link w:val="36"/>
    <w:qFormat/>
    <w:uiPriority w:val="0"/>
    <w:pPr>
      <w:keepNext/>
      <w:keepLines/>
      <w:spacing w:before="340" w:after="330" w:line="578" w:lineRule="auto"/>
      <w:outlineLvl w:val="0"/>
    </w:pPr>
    <w:rPr>
      <w:b/>
      <w:bCs/>
      <w:kern w:val="44"/>
      <w:sz w:val="44"/>
      <w:szCs w:val="44"/>
    </w:rPr>
  </w:style>
  <w:style w:type="paragraph" w:styleId="3">
    <w:name w:val="heading 2"/>
    <w:basedOn w:val="1"/>
    <w:next w:val="1"/>
    <w:qFormat/>
    <w:uiPriority w:val="0"/>
    <w:pPr>
      <w:keepNext/>
      <w:keepLines/>
      <w:spacing w:before="260" w:after="260" w:line="416" w:lineRule="auto"/>
      <w:outlineLvl w:val="1"/>
    </w:pPr>
    <w:rPr>
      <w:rFonts w:ascii="Arial" w:hAnsi="Arial" w:eastAsia="黑体"/>
      <w:b/>
      <w:bCs/>
      <w:sz w:val="32"/>
      <w:szCs w:val="32"/>
    </w:rPr>
  </w:style>
  <w:style w:type="paragraph" w:styleId="4">
    <w:name w:val="heading 3"/>
    <w:basedOn w:val="1"/>
    <w:next w:val="1"/>
    <w:qFormat/>
    <w:uiPriority w:val="0"/>
    <w:pPr>
      <w:spacing w:before="100" w:beforeAutospacing="1" w:after="100" w:afterAutospacing="1"/>
      <w:jc w:val="left"/>
      <w:outlineLvl w:val="2"/>
    </w:pPr>
    <w:rPr>
      <w:rFonts w:hint="eastAsia" w:ascii="宋体" w:hAnsi="宋体" w:eastAsia="宋体" w:cs="宋体"/>
      <w:b/>
      <w:bCs/>
      <w:kern w:val="0"/>
      <w:sz w:val="27"/>
      <w:szCs w:val="27"/>
      <w:lang w:val="en-US" w:eastAsia="zh-CN" w:bidi="ar"/>
    </w:rPr>
  </w:style>
  <w:style w:type="character" w:default="1" w:styleId="30">
    <w:name w:val="Default Paragraph Font"/>
    <w:semiHidden/>
    <w:uiPriority w:val="0"/>
  </w:style>
  <w:style w:type="table" w:default="1" w:styleId="28">
    <w:name w:val="Normal Table"/>
    <w:semiHidden/>
    <w:uiPriority w:val="0"/>
    <w:tblPr>
      <w:tblStyle w:val="28"/>
      <w:tblCellMar>
        <w:top w:w="0" w:type="dxa"/>
        <w:left w:w="108" w:type="dxa"/>
        <w:bottom w:w="0" w:type="dxa"/>
        <w:right w:w="108" w:type="dxa"/>
      </w:tblCellMar>
    </w:tblPr>
  </w:style>
  <w:style w:type="paragraph" w:styleId="5">
    <w:name w:val="toc 7"/>
    <w:basedOn w:val="1"/>
    <w:next w:val="1"/>
    <w:uiPriority w:val="0"/>
    <w:pPr>
      <w:ind w:left="1260"/>
      <w:jc w:val="left"/>
    </w:pPr>
    <w:rPr>
      <w:rFonts w:ascii="Calibri" w:hAnsi="Calibri" w:cs="Calibri"/>
      <w:sz w:val="18"/>
      <w:szCs w:val="18"/>
    </w:rPr>
  </w:style>
  <w:style w:type="paragraph" w:styleId="6">
    <w:name w:val="Document Map"/>
    <w:basedOn w:val="1"/>
    <w:link w:val="37"/>
    <w:uiPriority w:val="0"/>
    <w:rPr>
      <w:rFonts w:ascii="宋体"/>
      <w:sz w:val="18"/>
      <w:szCs w:val="18"/>
    </w:rPr>
  </w:style>
  <w:style w:type="paragraph" w:styleId="7">
    <w:name w:val="annotation text"/>
    <w:basedOn w:val="1"/>
    <w:semiHidden/>
    <w:uiPriority w:val="0"/>
    <w:pPr>
      <w:jc w:val="left"/>
    </w:pPr>
  </w:style>
  <w:style w:type="paragraph" w:styleId="8">
    <w:name w:val="Body Text"/>
    <w:basedOn w:val="1"/>
    <w:link w:val="38"/>
    <w:uiPriority w:val="0"/>
    <w:pPr>
      <w:spacing w:after="120"/>
    </w:pPr>
  </w:style>
  <w:style w:type="paragraph" w:styleId="9">
    <w:name w:val="Body Text Indent"/>
    <w:basedOn w:val="1"/>
    <w:uiPriority w:val="0"/>
    <w:pPr>
      <w:ind w:left="636"/>
    </w:pPr>
    <w:rPr>
      <w:rFonts w:ascii="仿宋_GB2312" w:eastAsia="仿宋_GB2312"/>
      <w:sz w:val="32"/>
    </w:rPr>
  </w:style>
  <w:style w:type="paragraph" w:styleId="10">
    <w:name w:val="Block Text"/>
    <w:basedOn w:val="1"/>
    <w:uiPriority w:val="0"/>
    <w:pPr>
      <w:spacing w:line="562" w:lineRule="exact"/>
      <w:ind w:left="-359" w:leftChars="-171" w:right="-540" w:rightChars="-257" w:firstLine="714" w:firstLineChars="238"/>
    </w:pPr>
    <w:rPr>
      <w:rFonts w:ascii="仿宋_GB2312" w:eastAsia="仿宋_GB2312"/>
      <w:sz w:val="30"/>
      <w:szCs w:val="30"/>
    </w:rPr>
  </w:style>
  <w:style w:type="paragraph" w:styleId="11">
    <w:name w:val="toc 5"/>
    <w:basedOn w:val="1"/>
    <w:next w:val="1"/>
    <w:uiPriority w:val="0"/>
    <w:pPr>
      <w:ind w:left="840"/>
      <w:jc w:val="left"/>
    </w:pPr>
    <w:rPr>
      <w:rFonts w:ascii="Calibri" w:hAnsi="Calibri" w:cs="Calibri"/>
      <w:sz w:val="18"/>
      <w:szCs w:val="18"/>
    </w:rPr>
  </w:style>
  <w:style w:type="paragraph" w:styleId="12">
    <w:name w:val="toc 3"/>
    <w:basedOn w:val="1"/>
    <w:next w:val="1"/>
    <w:uiPriority w:val="0"/>
    <w:pPr>
      <w:ind w:left="420"/>
      <w:jc w:val="left"/>
    </w:pPr>
    <w:rPr>
      <w:rFonts w:ascii="Calibri" w:hAnsi="Calibri" w:cs="Calibri"/>
      <w:i/>
      <w:iCs/>
      <w:sz w:val="20"/>
    </w:rPr>
  </w:style>
  <w:style w:type="paragraph" w:styleId="13">
    <w:name w:val="toc 8"/>
    <w:basedOn w:val="1"/>
    <w:next w:val="1"/>
    <w:uiPriority w:val="0"/>
    <w:pPr>
      <w:ind w:left="1470"/>
      <w:jc w:val="left"/>
    </w:pPr>
    <w:rPr>
      <w:rFonts w:ascii="Calibri" w:hAnsi="Calibri" w:cs="Calibri"/>
      <w:sz w:val="18"/>
      <w:szCs w:val="18"/>
    </w:rPr>
  </w:style>
  <w:style w:type="paragraph" w:styleId="14">
    <w:name w:val="Date"/>
    <w:basedOn w:val="1"/>
    <w:next w:val="1"/>
    <w:uiPriority w:val="0"/>
  </w:style>
  <w:style w:type="paragraph" w:styleId="15">
    <w:name w:val="Body Text Indent 2"/>
    <w:basedOn w:val="1"/>
    <w:uiPriority w:val="0"/>
    <w:pPr>
      <w:ind w:left="720" w:firstLine="555"/>
    </w:pPr>
    <w:rPr>
      <w:rFonts w:ascii="仿宋_GB2312" w:eastAsia="仿宋_GB2312"/>
      <w:sz w:val="32"/>
    </w:rPr>
  </w:style>
  <w:style w:type="paragraph" w:styleId="16">
    <w:name w:val="Balloon Text"/>
    <w:basedOn w:val="1"/>
    <w:semiHidden/>
    <w:uiPriority w:val="0"/>
    <w:rPr>
      <w:sz w:val="18"/>
      <w:szCs w:val="18"/>
    </w:rPr>
  </w:style>
  <w:style w:type="paragraph" w:styleId="17">
    <w:name w:val="footer"/>
    <w:basedOn w:val="1"/>
    <w:link w:val="39"/>
    <w:uiPriority w:val="0"/>
    <w:pPr>
      <w:tabs>
        <w:tab w:val="center" w:pos="4153"/>
        <w:tab w:val="right" w:pos="8306"/>
      </w:tabs>
      <w:snapToGrid w:val="0"/>
      <w:jc w:val="left"/>
    </w:pPr>
    <w:rPr>
      <w:sz w:val="18"/>
    </w:rPr>
  </w:style>
  <w:style w:type="paragraph" w:styleId="18">
    <w:name w:val="header"/>
    <w:basedOn w:val="1"/>
    <w:link w:val="40"/>
    <w:uiPriority w:val="99"/>
    <w:pPr>
      <w:pBdr>
        <w:bottom w:val="single" w:color="auto" w:sz="6" w:space="1"/>
      </w:pBdr>
      <w:tabs>
        <w:tab w:val="center" w:pos="4153"/>
        <w:tab w:val="right" w:pos="8306"/>
      </w:tabs>
      <w:snapToGrid w:val="0"/>
      <w:jc w:val="center"/>
    </w:pPr>
    <w:rPr>
      <w:sz w:val="18"/>
    </w:rPr>
  </w:style>
  <w:style w:type="paragraph" w:styleId="19">
    <w:name w:val="toc 1"/>
    <w:basedOn w:val="1"/>
    <w:next w:val="1"/>
    <w:uiPriority w:val="39"/>
    <w:pPr>
      <w:spacing w:before="120" w:after="120"/>
      <w:jc w:val="left"/>
    </w:pPr>
    <w:rPr>
      <w:rFonts w:ascii="Calibri" w:hAnsi="Calibri" w:cs="Calibri"/>
      <w:b/>
      <w:bCs/>
      <w:caps/>
      <w:sz w:val="20"/>
    </w:rPr>
  </w:style>
  <w:style w:type="paragraph" w:styleId="20">
    <w:name w:val="toc 4"/>
    <w:basedOn w:val="1"/>
    <w:next w:val="1"/>
    <w:uiPriority w:val="0"/>
    <w:pPr>
      <w:ind w:left="630"/>
      <w:jc w:val="left"/>
    </w:pPr>
    <w:rPr>
      <w:rFonts w:ascii="Calibri" w:hAnsi="Calibri" w:cs="Calibri"/>
      <w:sz w:val="18"/>
      <w:szCs w:val="18"/>
    </w:rPr>
  </w:style>
  <w:style w:type="paragraph" w:styleId="21">
    <w:name w:val="toc 6"/>
    <w:basedOn w:val="1"/>
    <w:next w:val="1"/>
    <w:uiPriority w:val="0"/>
    <w:pPr>
      <w:ind w:left="1050"/>
      <w:jc w:val="left"/>
    </w:pPr>
    <w:rPr>
      <w:rFonts w:ascii="Calibri" w:hAnsi="Calibri" w:cs="Calibri"/>
      <w:sz w:val="18"/>
      <w:szCs w:val="18"/>
    </w:rPr>
  </w:style>
  <w:style w:type="paragraph" w:styleId="22">
    <w:name w:val="Body Text Indent 3"/>
    <w:basedOn w:val="1"/>
    <w:uiPriority w:val="0"/>
    <w:pPr>
      <w:spacing w:after="120"/>
      <w:ind w:left="420" w:leftChars="200"/>
    </w:pPr>
    <w:rPr>
      <w:sz w:val="16"/>
      <w:szCs w:val="16"/>
    </w:rPr>
  </w:style>
  <w:style w:type="paragraph" w:styleId="23">
    <w:name w:val="toc 2"/>
    <w:basedOn w:val="1"/>
    <w:next w:val="1"/>
    <w:uiPriority w:val="39"/>
    <w:pPr>
      <w:ind w:left="210"/>
      <w:jc w:val="left"/>
    </w:pPr>
    <w:rPr>
      <w:rFonts w:ascii="Calibri" w:hAnsi="Calibri" w:cs="Calibri"/>
      <w:smallCaps/>
      <w:sz w:val="20"/>
    </w:rPr>
  </w:style>
  <w:style w:type="paragraph" w:styleId="24">
    <w:name w:val="toc 9"/>
    <w:basedOn w:val="1"/>
    <w:next w:val="1"/>
    <w:uiPriority w:val="0"/>
    <w:pPr>
      <w:ind w:left="1680"/>
      <w:jc w:val="left"/>
    </w:pPr>
    <w:rPr>
      <w:rFonts w:ascii="Calibri" w:hAnsi="Calibri" w:cs="Calibri"/>
      <w:sz w:val="18"/>
      <w:szCs w:val="18"/>
    </w:rPr>
  </w:style>
  <w:style w:type="paragraph" w:styleId="25">
    <w:name w:val="HTML Preformatted"/>
    <w:basedOn w:val="1"/>
    <w:link w:val="41"/>
    <w:unhideWhenUsed/>
    <w:uiPriority w:val="9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hAnsi="宋体" w:cs="宋体"/>
      <w:kern w:val="0"/>
      <w:sz w:val="24"/>
      <w:szCs w:val="24"/>
    </w:rPr>
  </w:style>
  <w:style w:type="paragraph" w:styleId="26">
    <w:name w:val="Normal (Web)"/>
    <w:basedOn w:val="1"/>
    <w:uiPriority w:val="99"/>
    <w:pPr>
      <w:widowControl/>
      <w:spacing w:before="100" w:beforeAutospacing="1" w:after="100" w:afterAutospacing="1"/>
      <w:jc w:val="left"/>
    </w:pPr>
    <w:rPr>
      <w:rFonts w:ascii="宋体" w:hAnsi="宋体" w:cs="宋体"/>
      <w:kern w:val="0"/>
      <w:sz w:val="24"/>
      <w:szCs w:val="24"/>
    </w:rPr>
  </w:style>
  <w:style w:type="paragraph" w:styleId="27">
    <w:name w:val="annotation subject"/>
    <w:basedOn w:val="7"/>
    <w:next w:val="7"/>
    <w:semiHidden/>
    <w:uiPriority w:val="0"/>
    <w:rPr>
      <w:b/>
      <w:bCs/>
    </w:rPr>
  </w:style>
  <w:style w:type="table" w:styleId="29">
    <w:name w:val="Table Grid"/>
    <w:basedOn w:val="28"/>
    <w:unhideWhenUsed/>
    <w:uiPriority w:val="0"/>
    <w:pPr>
      <w:widowControl w:val="0"/>
      <w:jc w:val="both"/>
    </w:pPr>
    <w:tblPr>
      <w:tblStyle w:val="28"/>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31">
    <w:name w:val="Strong"/>
    <w:qFormat/>
    <w:uiPriority w:val="22"/>
    <w:rPr>
      <w:b/>
    </w:rPr>
  </w:style>
  <w:style w:type="character" w:styleId="32">
    <w:name w:val="page number"/>
    <w:uiPriority w:val="0"/>
  </w:style>
  <w:style w:type="character" w:styleId="33">
    <w:name w:val="Emphasis"/>
    <w:qFormat/>
    <w:uiPriority w:val="0"/>
    <w:rPr>
      <w:color w:val="CC0000"/>
    </w:rPr>
  </w:style>
  <w:style w:type="character" w:styleId="34">
    <w:name w:val="Hyperlink"/>
    <w:uiPriority w:val="99"/>
    <w:rPr>
      <w:color w:val="0000FF"/>
      <w:u w:val="single"/>
    </w:rPr>
  </w:style>
  <w:style w:type="character" w:styleId="35">
    <w:name w:val="annotation reference"/>
    <w:semiHidden/>
    <w:uiPriority w:val="0"/>
    <w:rPr>
      <w:sz w:val="21"/>
      <w:szCs w:val="21"/>
    </w:rPr>
  </w:style>
  <w:style w:type="character" w:customStyle="1" w:styleId="36">
    <w:name w:val="标题 1 字符"/>
    <w:link w:val="2"/>
    <w:uiPriority w:val="0"/>
    <w:rPr>
      <w:b/>
      <w:bCs/>
      <w:kern w:val="44"/>
      <w:sz w:val="44"/>
      <w:szCs w:val="44"/>
    </w:rPr>
  </w:style>
  <w:style w:type="character" w:customStyle="1" w:styleId="37">
    <w:name w:val="文档结构图 字符"/>
    <w:link w:val="6"/>
    <w:uiPriority w:val="0"/>
    <w:rPr>
      <w:rFonts w:ascii="宋体"/>
      <w:kern w:val="2"/>
      <w:sz w:val="18"/>
      <w:szCs w:val="18"/>
    </w:rPr>
  </w:style>
  <w:style w:type="character" w:customStyle="1" w:styleId="38">
    <w:name w:val="正文文本 字符"/>
    <w:link w:val="8"/>
    <w:uiPriority w:val="0"/>
    <w:rPr>
      <w:kern w:val="2"/>
      <w:sz w:val="21"/>
    </w:rPr>
  </w:style>
  <w:style w:type="character" w:customStyle="1" w:styleId="39">
    <w:name w:val="页脚 字符"/>
    <w:link w:val="17"/>
    <w:uiPriority w:val="99"/>
    <w:rPr>
      <w:kern w:val="2"/>
      <w:sz w:val="18"/>
    </w:rPr>
  </w:style>
  <w:style w:type="character" w:customStyle="1" w:styleId="40">
    <w:name w:val="页眉 字符"/>
    <w:link w:val="18"/>
    <w:uiPriority w:val="99"/>
    <w:rPr>
      <w:kern w:val="2"/>
      <w:sz w:val="18"/>
    </w:rPr>
  </w:style>
  <w:style w:type="character" w:customStyle="1" w:styleId="41">
    <w:name w:val="HTML 预设格式 字符"/>
    <w:link w:val="25"/>
    <w:uiPriority w:val="99"/>
    <w:rPr>
      <w:rFonts w:ascii="宋体" w:hAnsi="宋体" w:cs="宋体"/>
      <w:sz w:val="24"/>
      <w:szCs w:val="24"/>
    </w:rPr>
  </w:style>
  <w:style w:type="character" w:customStyle="1" w:styleId="42">
    <w:name w:val="font31"/>
    <w:uiPriority w:val="0"/>
    <w:rPr>
      <w:rFonts w:hint="eastAsia" w:ascii="宋体" w:hAnsi="宋体" w:eastAsia="宋体" w:cs="宋体"/>
      <w:color w:val="000000"/>
      <w:sz w:val="24"/>
      <w:szCs w:val="24"/>
      <w:u w:val="none"/>
    </w:rPr>
  </w:style>
  <w:style w:type="character" w:customStyle="1" w:styleId="43">
    <w:name w:val="font11"/>
    <w:qFormat/>
    <w:uiPriority w:val="0"/>
    <w:rPr>
      <w:rFonts w:hint="eastAsia" w:ascii="宋体" w:hAnsi="宋体" w:eastAsia="宋体" w:cs="宋体"/>
      <w:color w:val="000000"/>
      <w:sz w:val="24"/>
      <w:szCs w:val="24"/>
      <w:u w:val="none"/>
    </w:rPr>
  </w:style>
  <w:style w:type="character" w:customStyle="1" w:styleId="44">
    <w:name w:val="hui141"/>
    <w:uiPriority w:val="0"/>
    <w:rPr>
      <w:color w:val="B3B2B2"/>
      <w:sz w:val="21"/>
      <w:szCs w:val="21"/>
    </w:rPr>
  </w:style>
  <w:style w:type="character" w:customStyle="1" w:styleId="45">
    <w:name w:val="apple-converted-space"/>
    <w:uiPriority w:val="0"/>
  </w:style>
  <w:style w:type="character" w:customStyle="1" w:styleId="46">
    <w:name w:val="font21"/>
    <w:uiPriority w:val="0"/>
    <w:rPr>
      <w:rFonts w:hint="eastAsia" w:ascii="宋体" w:hAnsi="宋体" w:eastAsia="宋体" w:cs="宋体"/>
      <w:color w:val="000000"/>
      <w:sz w:val="24"/>
      <w:szCs w:val="24"/>
      <w:u w:val="none"/>
    </w:rPr>
  </w:style>
  <w:style w:type="character" w:customStyle="1" w:styleId="47">
    <w:name w:val="font01"/>
    <w:uiPriority w:val="0"/>
    <w:rPr>
      <w:rFonts w:ascii="宋体" w:hAnsi="宋体" w:eastAsia="宋体" w:cs="宋体"/>
      <w:color w:val="000000"/>
      <w:sz w:val="24"/>
      <w:szCs w:val="24"/>
      <w:u w:val="none"/>
    </w:rPr>
  </w:style>
  <w:style w:type="paragraph" w:customStyle="1" w:styleId="48">
    <w:name w:val="默认段落字体 Para Char Char Char Char Char Char Char"/>
    <w:basedOn w:val="1"/>
    <w:uiPriority w:val="0"/>
    <w:rPr>
      <w:rFonts w:ascii="Tahoma" w:hAnsi="Tahoma" w:cs="Tahoma"/>
      <w:sz w:val="24"/>
      <w:szCs w:val="24"/>
    </w:rPr>
  </w:style>
  <w:style w:type="paragraph" w:customStyle="1" w:styleId="49">
    <w:name w:val="f_center"/>
    <w:basedOn w:val="1"/>
    <w:uiPriority w:val="0"/>
    <w:pPr>
      <w:widowControl/>
      <w:spacing w:before="100" w:beforeAutospacing="1" w:after="100" w:afterAutospacing="1"/>
      <w:jc w:val="left"/>
    </w:pPr>
    <w:rPr>
      <w:rFonts w:ascii="宋体" w:hAnsi="宋体" w:cs="宋体"/>
      <w:kern w:val="0"/>
      <w:sz w:val="24"/>
      <w:szCs w:val="24"/>
    </w:rPr>
  </w:style>
  <w:style w:type="paragraph" w:customStyle="1" w:styleId="50">
    <w:name w:val="text"/>
    <w:basedOn w:val="1"/>
    <w:uiPriority w:val="0"/>
    <w:pPr>
      <w:widowControl/>
      <w:spacing w:before="100" w:beforeAutospacing="1" w:after="100" w:afterAutospacing="1"/>
      <w:jc w:val="left"/>
    </w:pPr>
    <w:rPr>
      <w:rFonts w:ascii="宋体" w:hAnsi="宋体" w:cs="宋体"/>
      <w:kern w:val="0"/>
      <w:sz w:val="24"/>
      <w:szCs w:val="24"/>
    </w:rPr>
  </w:style>
  <w:style w:type="paragraph" w:customStyle="1" w:styleId="51">
    <w:name w:val="报告正文"/>
    <w:basedOn w:val="1"/>
    <w:qFormat/>
    <w:uiPriority w:val="0"/>
    <w:pPr>
      <w:spacing w:line="500" w:lineRule="atLeast"/>
      <w:ind w:firstLine="567"/>
    </w:pPr>
    <w:rPr>
      <w:rFonts w:hint="eastAsia" w:ascii="仿宋_GB2312" w:hAnsi="Courier New" w:eastAsia="仿宋_GB2312"/>
      <w:color w:val="000000"/>
      <w:kern w:val="0"/>
      <w:sz w:val="28"/>
    </w:rPr>
  </w:style>
  <w:style w:type="paragraph" w:styleId="52">
    <w:name w:val=""/>
    <w:basedOn w:val="2"/>
    <w:next w:val="1"/>
    <w:qFormat/>
    <w:uiPriority w:val="39"/>
    <w:pPr>
      <w:widowControl/>
      <w:spacing w:before="480" w:after="0" w:line="276" w:lineRule="auto"/>
      <w:jc w:val="left"/>
      <w:outlineLvl w:val="9"/>
    </w:pPr>
    <w:rPr>
      <w:rFonts w:ascii="Cambria" w:hAnsi="Cambria" w:eastAsia="宋体" w:cs="Times New Roman"/>
      <w:color w:val="365F91"/>
      <w:kern w:val="0"/>
      <w:sz w:val="28"/>
      <w:szCs w:val="28"/>
    </w:rPr>
  </w:style>
  <w:style w:type="paragraph" w:customStyle="1" w:styleId="53">
    <w:name w:val="表格文字"/>
    <w:basedOn w:val="1"/>
    <w:next w:val="8"/>
    <w:qFormat/>
    <w:uiPriority w:val="0"/>
    <w:rPr>
      <w:sz w:val="18"/>
      <w:szCs w:val="24"/>
    </w:rPr>
  </w:style>
</w:styles>
</file>

<file path=word/_rels/document.xml.rels><?xml version="1.0" encoding="UTF-8" standalone="yes"?>
<Relationships xmlns="http://schemas.openxmlformats.org/package/2006/relationships"><Relationship Id="rId8" Type="http://schemas.openxmlformats.org/officeDocument/2006/relationships/theme" Target="theme/theme1.xml"/><Relationship Id="rId7" Type="http://schemas.openxmlformats.org/officeDocument/2006/relationships/footer" Target="footer4.xml"/><Relationship Id="rId6" Type="http://schemas.openxmlformats.org/officeDocument/2006/relationships/footer" Target="footer3.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3" Type="http://schemas.openxmlformats.org/officeDocument/2006/relationships/fontTable" Target="fontTable.xml"/><Relationship Id="rId22" Type="http://schemas.openxmlformats.org/officeDocument/2006/relationships/customXml" Target="../customXml/item1.xml"/><Relationship Id="rId2" Type="http://schemas.openxmlformats.org/officeDocument/2006/relationships/settings" Target="settings.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ops>
  <customShpExts>
    <customShpInfo spid="_x0000_s1026"/>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22</Pages>
  <Words>3798</Words>
  <Characters>3963</Characters>
  <Lines>90</Lines>
  <Paragraphs>25</Paragraphs>
  <TotalTime>10</TotalTime>
  <ScaleCrop>false</ScaleCrop>
  <LinksUpToDate>false</LinksUpToDate>
  <CharactersWithSpaces>4032</CharactersWithSpaces>
  <Application>WPS Office_12.1.23540.23540_F1E327BC-269C-435d-A152-05C5408002CA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2014-05-05T14:49:00Z</dcterms:created>
  <dc:creator>Administrator</dc:creator>
  <cp:lastModifiedBy>gresham</cp:lastModifiedBy>
  <cp:lastPrinted>2025-11-14T15:13:00Z</cp:lastPrinted>
  <dcterms:modified xsi:type="dcterms:W3CDTF">2026-07-15T15:25:36Z</dcterms:modified>
  <cp:revision>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2052-12.1.23540.23540</vt:lpwstr>
  </property>
  <property fmtid="{D5CDD505-2E9C-101B-9397-08002B2CF9AE}" pid="3" name="KSOTemplateDocerSaveRecord">
    <vt:lpwstr>eyJoZGlkIjoiZTQ4NzZiOTkyNGIxZjE0MTc2MjJhMzA3N2RmYTlmMTMiLCJ1c2VySWQiOiIxNTkxMTE2NDU5In0=</vt:lpwstr>
  </property>
  <property fmtid="{D5CDD505-2E9C-101B-9397-08002B2CF9AE}" pid="4" name="ICV">
    <vt:lpwstr>5316F059AF9FA8EDF035576AA1017DCF_43</vt:lpwstr>
  </property>
</Properties>
</file>