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 issue_date_cn }}</w:t>
      </w:r>
      <w:r>
        <w:rPr>
          <w:rFonts w:hint="eastAsia" w:ascii="楷体" w:hAnsi="楷体" w:eastAsia="楷体"/>
          <w:kern w:val="2"/>
          <w:sz w:val="32"/>
          <w:szCs w:val="32"/>
          <w:lang w:val="en-US" w:eastAsia="zh-CN" w:bidi="ar-SA"/>
        </w:rPr>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}}的土地。估价对象未取得《不动产权证》，根据《委托评估协议书》记载估价对象基本情况如下：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 value_date_cn }}（实地查勘之日）。</w:t>
      </w:r>
      <w:r>
        <w:rPr>
          <w:rFonts w:hint="eastAsia" w:ascii="楷体" w:hAnsi="楷体" w:eastAsia="楷体" w:cs="宋体"/>
          <w:kern w:val="2"/>
          <w:sz w:val="28"/>
          <w:szCs w:val="28"/>
          <w:lang w:val="en-US" w:eastAsia="zh-CN" w:bidi="ar-SA"/>
        </w:rPr>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issue_date_cn }}至{{ validity_end_cn }}止），若未满足上述条件，需重新估价。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issue_date_cn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 surveyor }}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 scale }}，设定出租用途为{{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 surveyor }}记录，如与实际需估价范围有出入，应以书面告知，估价结果也做相应调整。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 client_address }}</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 legal_rep }}</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r>
              <w:rPr>
                <w:rFonts w:hint="eastAsia" w:ascii="楷体" w:hAnsi="楷体" w:eastAsia="楷体" w:cs="楷体"/>
                <w:color w:val="000000"/>
                <w:kern w:val="0"/>
                <w:sz w:val="20"/>
                <w:lang w:val="en-US" w:eastAsia="zh-CN" w:bidi="ar"/>
              </w:rPr>
              <w:t>{%tr for f in 区位因素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6A9F1ACA">
        <w:trPr>
          <w:trHeight w:val="499" w:hRule="atLeast"/>
        </w:trPr>
        <w:tc>
          <w:tcPr>
            <w:tcW w:w="708" w:type="dxa"/>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vMerge w:val="{% if loop.first %}restart{% else %}continue{% endif %}"/>
          </w:tcPr>
          <w:p w14:paraId="42995554">
            <w:pPr>
              <w:keepNext w:val="0"/>
              <w:keepLines w:val="0"/>
              <w:widowControl/>
              <w:suppressLineNumbers w:val="0"/>
              <w:jc w:val="center"/>
              <w:textAlignment w:val="center"/>
            </w:pPr>
            <w:r>
              <w:t>{% if loop.first %}</w:t>
            </w:r>
            <w:bookmarkStart w:id="65" w:name="_Toc484941666"/>
            <w:bookmarkStart w:id="66" w:name="_Toc505087758"/>
            <w:r>
              <w:t>{% endif %}</w:t>
            </w:r>
            <w:r>
              <w:rPr>
                <w:rFonts w:hint="eastAsia" w:ascii="楷体" w:hAnsi="楷体" w:eastAsia="楷体" w:cs="楷体"/>
                <w:color w:val="000000"/>
                <w:kern w:val="0"/>
                <w:sz w:val="20"/>
                <w:lang w:val="en-US" w:eastAsia="zh-CN" w:bidi="ar"/>
              </w:rPr>
              <w:t>{% if loop.first %}区位状况{% endif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f.description }}</w:t>
            </w:r>
          </w:p>
        </w:tc>
      </w:tr>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r>
              <w:rPr>
                <w:rFonts w:hint="eastAsia" w:ascii="楷体" w:hAnsi="楷体" w:eastAsia="楷体" w:cs="楷体"/>
                <w:color w:val="000000"/>
                <w:kern w:val="0"/>
                <w:sz w:val="20"/>
                <w:lang w:val="en-US" w:eastAsia="zh-CN" w:bidi="ar"/>
              </w:rPr>
              <w:t>{%tr endfor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f in 实物因素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 total_area }}亩。</w:t>
            </w:r>
          </w:p>
        </w:tc>
      </w:tr>
      <w:tr w14:paraId="3FF80347">
        <w:trPr>
          <w:trHeight w:val="499" w:hRule="atLeast"/>
        </w:trPr>
        <w:tc>
          <w:tcPr>
            <w:tcW w:w="725" w:type="dxa"/>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vMerge w:val="{% if loop.first %}restart{% else %}continue{% endif %}"/>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loop.first %}实物状况{% endif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f.name == "面积大小" %}出租面积为{{ total_area }}亩。{% else %}{{ f.description }}{% endif %}</w:t>
            </w:r>
          </w:p>
        </w:tc>
      </w:tr>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 total_area }}亩。</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scale }}</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f in 权益因素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39A4E356">
        <w:trPr>
          <w:trHeight w:val="499" w:hRule="atLeast"/>
        </w:trPr>
        <w:tc>
          <w:tcPr>
            <w:tcW w:w="726" w:type="dxa"/>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vMerge w:val="{% if loop.first %}restart{% else %}continue{% endif %}"/>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loop.first %}权益状况{% endif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f.description }}</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 value_date_cn }}。</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 value_date_cn }}作为价值时点。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 surveyor }}</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 value_date_cn }}。</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 work_period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p>
      <w:r>
        <w:t>本报告由系统按结构渲染生成，未经逐段金样校验；交付前须执业估价师终审用词与格式。</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