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20B7B">
      <w:pPr>
        <w:jc w:val="center"/>
        <w:rPr>
          <w:rFonts w:hint="eastAsia" w:ascii="楷体" w:hAnsi="楷体" w:eastAsia="楷体"/>
          <w:b/>
          <w:sz w:val="72"/>
          <w:szCs w:val="72"/>
        </w:rPr>
      </w:pPr>
      <w:bookmarkStart w:id="110" w:name="_GoBack"/>
      <w:bookmarkEnd w:id="110"/>
    </w:p>
    <w:p w14:paraId="0B079658">
      <w:pPr>
        <w:jc w:val="center"/>
        <w:rPr>
          <w:rFonts w:hint="eastAsia" w:ascii="楷体" w:hAnsi="楷体" w:eastAsia="楷体"/>
          <w:b/>
          <w:sz w:val="72"/>
          <w:szCs w:val="72"/>
        </w:rPr>
      </w:pPr>
    </w:p>
    <w:p w14:paraId="6FAD7A3C">
      <w:pPr>
        <w:spacing w:line="600" w:lineRule="exact"/>
        <w:jc w:val="center"/>
        <w:rPr>
          <w:rFonts w:hint="eastAsia" w:ascii="楷体" w:hAnsi="楷体" w:eastAsia="楷体"/>
          <w:kern w:val="2"/>
          <w:sz w:val="32"/>
          <w:szCs w:val="32"/>
          <w:lang w:val="en-US" w:eastAsia="zh-CN" w:bidi="ar-SA"/>
        </w:rPr>
      </w:pPr>
      <w:bookmarkStart w:id="0" w:name="OLE_LINK6"/>
      <w:bookmarkStart w:id="1" w:name="OLE_LINK5_ai"/>
      <w:r>
        <w:rPr>
          <w:rFonts w:hint="eastAsia" w:ascii="楷体" w:hAnsi="楷体" w:eastAsia="楷体"/>
          <w:kern w:val="2"/>
          <w:sz w:val="32"/>
          <w:szCs w:val="32"/>
          <w:lang w:val="en-US" w:eastAsia="zh-CN" w:bidi="ar-SA"/>
        </w:rPr>
        <w:t xml:space="preserve">{{ owner }}     </w:t>
      </w:r>
    </w:p>
    <w:bookmarkEnd w:id="0"/>
    <w:bookmarkEnd w:id="1"/>
    <w:p w14:paraId="655F6AA5">
      <w:pPr>
        <w:spacing w:line="600" w:lineRule="exact"/>
        <w:jc w:val="center"/>
      </w:pPr>
      <w:r>
        <w:rPr>
          <w:rFonts w:hint="eastAsia" w:ascii="楷体" w:hAnsi="楷体" w:eastAsia="楷体"/>
          <w:kern w:val="2"/>
          <w:sz w:val="32"/>
          <w:szCs w:val="32"/>
          <w:lang w:val="en-US" w:eastAsia="zh-CN" w:bidi="ar-SA"/>
        </w:rPr>
        <w:t>位于</w:t>
      </w:r>
      <w:bookmarkStart w:id="2" w:name="OLE_LINK6_ai_ai"/>
      <w:bookmarkEnd w:id="2"/>
      <w:bookmarkStart w:id="3" w:name="OLE_LINK6_ai"/>
      <w:bookmarkEnd w:id="3"/>
      <w:bookmarkStart w:id="4" w:name="OLE_LINK5_ai_ai"/>
      <w:bookmarkEnd w:id="4"/>
      <w:r>
        <w:rPr>
          <w:rFonts w:hint="eastAsia" w:ascii="楷体" w:hAnsi="楷体" w:eastAsia="楷体"/>
          <w:kern w:val="2"/>
          <w:sz w:val="32"/>
          <w:szCs w:val="32"/>
          <w:lang w:val="en-US" w:eastAsia="zh-CN" w:bidi="ar-SA"/>
        </w:rPr>
        <w:t>{{ address }}</w:t>
      </w:r>
    </w:p>
    <w:p w14:paraId="05FFA1EF">
      <w:pPr>
        <w:spacing w:line="600" w:lineRule="exact"/>
        <w:jc w:val="center"/>
      </w:pPr>
      <w:r>
        <w:rPr>
          <w:rFonts w:hint="eastAsia" w:ascii="楷体" w:hAnsi="楷体" w:eastAsia="楷体"/>
          <w:kern w:val="2"/>
          <w:sz w:val="32"/>
          <w:szCs w:val="32"/>
          <w:lang w:val="en-US" w:eastAsia="zh-CN" w:bidi="ar-SA"/>
        </w:rPr>
        <w:t>的商业用房租赁价值评估项目</w:t>
      </w:r>
    </w:p>
    <w:p w14:paraId="7BAF15D9">
      <w:pPr>
        <w:spacing w:line="1000" w:lineRule="exact"/>
        <w:jc w:val="center"/>
        <w:rPr>
          <w:rFonts w:hint="eastAsia" w:ascii="楷体" w:hAnsi="楷体" w:eastAsia="楷体"/>
          <w:b/>
          <w:sz w:val="52"/>
          <w:szCs w:val="52"/>
        </w:rPr>
      </w:pPr>
      <w:r>
        <w:rPr>
          <w:rFonts w:hint="eastAsia" w:ascii="楷体" w:hAnsi="楷体" w:eastAsia="楷体"/>
          <w:b/>
          <w:sz w:val="52"/>
          <w:szCs w:val="52"/>
        </w:rPr>
        <w:t>房地产估价报告</w:t>
      </w:r>
    </w:p>
    <w:p w14:paraId="191D2A9C">
      <w:pPr>
        <w:spacing w:line="500" w:lineRule="exact"/>
        <w:jc w:val="center"/>
      </w:pPr>
      <w:r>
        <w:rPr>
          <w:rFonts w:hint="eastAsia" w:ascii="楷体" w:hAnsi="楷体" w:eastAsia="楷体"/>
          <w:b/>
          <w:kern w:val="2"/>
          <w:sz w:val="24"/>
          <w:szCs w:val="24"/>
          <w:lang w:val="en-US" w:eastAsia="zh-CN" w:bidi="ar-SA"/>
        </w:rPr>
        <w:t>{{ report_no }}</w:t>
      </w:r>
    </w:p>
    <w:p w14:paraId="0C967990">
      <w:pPr>
        <w:spacing w:line="500" w:lineRule="exact"/>
        <w:jc w:val="center"/>
        <w:rPr>
          <w:rFonts w:hint="eastAsia" w:ascii="楷体" w:hAnsi="楷体" w:eastAsia="楷体"/>
          <w:b/>
          <w:sz w:val="52"/>
          <w:szCs w:val="52"/>
        </w:rPr>
      </w:pPr>
    </w:p>
    <w:p w14:paraId="003BC82A">
      <w:pPr>
        <w:spacing w:line="500" w:lineRule="exact"/>
        <w:jc w:val="center"/>
        <w:rPr>
          <w:rFonts w:hint="eastAsia" w:ascii="楷体" w:hAnsi="楷体" w:eastAsia="楷体"/>
          <w:b/>
          <w:sz w:val="52"/>
          <w:szCs w:val="52"/>
        </w:rPr>
      </w:pPr>
    </w:p>
    <w:p w14:paraId="7B9C6D43">
      <w:pPr>
        <w:tabs>
          <w:tab w:val="right" w:pos="9000"/>
        </w:tabs>
        <w:spacing w:line="1000" w:lineRule="exact"/>
        <w:rPr>
          <w:rFonts w:hint="eastAsia" w:ascii="楷体" w:hAnsi="楷体" w:eastAsia="楷体"/>
          <w:b/>
          <w:kern w:val="0"/>
          <w:sz w:val="32"/>
          <w:szCs w:val="32"/>
        </w:rPr>
      </w:pPr>
    </w:p>
    <w:p w14:paraId="31016FEB">
      <w:pPr>
        <w:spacing w:line="1000" w:lineRule="exact"/>
      </w:pPr>
      <w:r>
        <w:rPr>
          <w:rFonts w:hint="eastAsia" w:ascii="楷体" w:hAnsi="楷体" w:eastAsia="楷体"/>
          <w:b/>
          <w:kern w:val="2"/>
          <w:sz w:val="32"/>
          <w:szCs w:val="32"/>
          <w:lang w:val="en-US" w:eastAsia="zh-CN" w:bidi="ar-SA"/>
        </w:rPr>
        <w:t>估 价 委 托 人：</w:t>
      </w:r>
      <w:r>
        <w:rPr>
          <w:rFonts w:hint="eastAsia" w:ascii="楷体" w:hAnsi="楷体" w:eastAsia="楷体"/>
          <w:kern w:val="2"/>
          <w:sz w:val="32"/>
          <w:szCs w:val="32"/>
          <w:lang w:val="en-US" w:eastAsia="zh-CN" w:bidi="ar-SA"/>
        </w:rPr>
        <w:t>{{ owner }}</w:t>
      </w:r>
    </w:p>
    <w:p w14:paraId="7046EE34">
      <w:pPr>
        <w:spacing w:line="1000" w:lineRule="exact"/>
        <w:rPr>
          <w:rFonts w:hint="eastAsia" w:ascii="楷体" w:hAnsi="楷体" w:eastAsia="楷体"/>
          <w:b/>
          <w:sz w:val="32"/>
          <w:szCs w:val="32"/>
        </w:rPr>
      </w:pPr>
      <w:r>
        <w:rPr>
          <w:rFonts w:hint="eastAsia" w:ascii="楷体" w:hAnsi="楷体" w:eastAsia="楷体"/>
          <w:b/>
          <w:spacing w:val="160"/>
          <w:kern w:val="0"/>
          <w:sz w:val="32"/>
          <w:szCs w:val="32"/>
          <w:fitText w:val="2240" w:id="907555445"/>
        </w:rPr>
        <w:t>估价机</w:t>
      </w:r>
      <w:r>
        <w:rPr>
          <w:rFonts w:hint="eastAsia" w:ascii="楷体" w:hAnsi="楷体" w:eastAsia="楷体"/>
          <w:b/>
          <w:spacing w:val="0"/>
          <w:kern w:val="0"/>
          <w:sz w:val="32"/>
          <w:szCs w:val="32"/>
          <w:fitText w:val="2240" w:id="907555445"/>
        </w:rPr>
        <w:t>构</w:t>
      </w:r>
      <w:r>
        <w:rPr>
          <w:rFonts w:hint="eastAsia" w:ascii="楷体" w:hAnsi="楷体" w:eastAsia="楷体"/>
          <w:b/>
          <w:sz w:val="32"/>
          <w:szCs w:val="32"/>
        </w:rPr>
        <w:t>：</w:t>
      </w:r>
      <w:r>
        <w:rPr>
          <w:rFonts w:hint="eastAsia" w:ascii="楷体" w:hAnsi="楷体" w:eastAsia="楷体"/>
          <w:w w:val="98"/>
          <w:kern w:val="32"/>
          <w:sz w:val="32"/>
          <w:szCs w:val="32"/>
        </w:rPr>
        <w:t>浙江正恒房地产土地资产评估咨询有限公司</w:t>
      </w:r>
    </w:p>
    <w:p w14:paraId="7348A85B">
      <w:pPr>
        <w:spacing w:line="1000" w:lineRule="exact"/>
        <w:rPr>
          <w:rFonts w:hint="eastAsia" w:ascii="楷体" w:hAnsi="楷体" w:eastAsia="楷体"/>
          <w:sz w:val="32"/>
          <w:szCs w:val="32"/>
        </w:rPr>
      </w:pPr>
      <w:r>
        <w:rPr>
          <w:rFonts w:hint="eastAsia" w:ascii="楷体" w:hAnsi="楷体" w:eastAsia="楷体"/>
          <w:b/>
          <w:spacing w:val="0"/>
          <w:w w:val="86"/>
          <w:kern w:val="0"/>
          <w:sz w:val="32"/>
          <w:szCs w:val="32"/>
          <w:fitText w:val="2202" w:id="1411546570"/>
        </w:rPr>
        <w:t>注册房地产估价师</w:t>
      </w:r>
      <w:r>
        <w:rPr>
          <w:rFonts w:hint="eastAsia" w:ascii="楷体" w:hAnsi="楷体" w:eastAsia="楷体"/>
          <w:b/>
          <w:sz w:val="32"/>
          <w:szCs w:val="32"/>
        </w:rPr>
        <w:t>：</w:t>
      </w:r>
      <w:r>
        <w:rPr>
          <w:rFonts w:hint="eastAsia" w:ascii="楷体" w:hAnsi="楷体" w:eastAsia="楷体"/>
          <w:sz w:val="32"/>
          <w:szCs w:val="32"/>
        </w:rPr>
        <w:t>韩  伟   注册号</w:t>
      </w:r>
      <w:r>
        <w:rPr>
          <w:rFonts w:hint="eastAsia" w:ascii="楷体" w:hAnsi="楷体" w:eastAsia="楷体"/>
          <w:sz w:val="32"/>
          <w:szCs w:val="32"/>
          <w:lang w:eastAsia="zh-CN"/>
        </w:rPr>
        <w:t>：</w:t>
      </w:r>
      <w:r>
        <w:rPr>
          <w:rFonts w:hint="eastAsia" w:ascii="楷体" w:hAnsi="楷体" w:eastAsia="楷体"/>
          <w:sz w:val="32"/>
          <w:szCs w:val="32"/>
        </w:rPr>
        <w:t>3320130071</w:t>
      </w:r>
    </w:p>
    <w:p w14:paraId="276B1104">
      <w:pPr>
        <w:spacing w:line="1000" w:lineRule="exact"/>
        <w:ind w:firstLine="2560" w:firstLineChars="800"/>
        <w:rPr>
          <w:rFonts w:hint="eastAsia" w:ascii="楷体" w:hAnsi="楷体" w:eastAsia="楷体"/>
          <w:b/>
          <w:sz w:val="32"/>
          <w:szCs w:val="32"/>
        </w:rPr>
      </w:pPr>
      <w:r>
        <w:rPr>
          <w:rFonts w:hint="eastAsia" w:ascii="楷体" w:hAnsi="楷体" w:eastAsia="楷体"/>
          <w:sz w:val="32"/>
          <w:szCs w:val="32"/>
        </w:rPr>
        <w:t>胡  柯   注册号</w:t>
      </w:r>
      <w:r>
        <w:rPr>
          <w:rFonts w:hint="eastAsia" w:ascii="楷体" w:hAnsi="楷体" w:eastAsia="楷体"/>
          <w:sz w:val="32"/>
          <w:szCs w:val="32"/>
          <w:lang w:eastAsia="zh-CN"/>
        </w:rPr>
        <w:t>：</w:t>
      </w:r>
      <w:r>
        <w:rPr>
          <w:rFonts w:ascii="楷体" w:hAnsi="楷体" w:eastAsia="楷体"/>
          <w:sz w:val="32"/>
          <w:szCs w:val="32"/>
        </w:rPr>
        <w:t>3320190174</w:t>
      </w:r>
    </w:p>
    <w:p w14:paraId="3E3EB27A">
      <w:pPr>
        <w:spacing w:line="1000" w:lineRule="exact"/>
      </w:pPr>
      <w:r>
        <w:rPr>
          <w:rFonts w:hint="eastAsia" w:ascii="楷体" w:hAnsi="楷体" w:eastAsia="楷体"/>
          <w:b/>
          <w:kern w:val="2"/>
          <w:sz w:val="32"/>
          <w:szCs w:val="32"/>
          <w:lang w:val="en-US" w:eastAsia="zh-CN" w:bidi="ar-SA"/>
        </w:rPr>
        <w:t>估价报告出具日期：</w:t>
      </w:r>
      <w:r>
        <w:rPr>
          <w:rFonts w:hint="eastAsia" w:ascii="楷体" w:hAnsi="楷体" w:eastAsia="楷体"/>
          <w:kern w:val="2"/>
          <w:sz w:val="32"/>
          <w:szCs w:val="32"/>
          <w:lang w:val="en-US" w:eastAsia="zh-CN" w:bidi="ar-SA"/>
        </w:rPr>
        <w:t>{{ issue_date }}</w:t>
      </w:r>
    </w:p>
    <w:p w14:paraId="5B2B277D">
      <w:pPr>
        <w:jc w:val="center"/>
        <w:rPr>
          <w:rFonts w:hint="eastAsia" w:ascii="楷体" w:hAnsi="楷体" w:eastAsia="楷体"/>
          <w:b/>
          <w:sz w:val="44"/>
          <w:szCs w:val="44"/>
        </w:rPr>
        <w:sectPr>
          <w:headerReference r:id="rId3" w:type="default"/>
          <w:footerReference r:id="rId4" w:type="default"/>
          <w:type w:val="continuous"/>
          <w:pgSz w:w="11906" w:h="16838"/>
          <w:pgMar w:top="1418" w:right="1134" w:bottom="1134" w:left="1418" w:header="850" w:footer="851" w:gutter="284"/>
          <w:pgNumType w:chapStyle="1"/>
          <w:cols w:space="720" w:num="1"/>
          <w:docGrid w:type="lines" w:linePitch="312" w:charSpace="0"/>
        </w:sectPr>
      </w:pPr>
    </w:p>
    <w:p w14:paraId="21B0D5DB">
      <w:pPr>
        <w:spacing w:before="312" w:beforeLines="100"/>
        <w:jc w:val="center"/>
        <w:rPr>
          <w:rFonts w:hint="eastAsia" w:ascii="楷体" w:hAnsi="楷体" w:eastAsia="楷体"/>
          <w:b/>
          <w:sz w:val="44"/>
          <w:szCs w:val="44"/>
        </w:rPr>
      </w:pPr>
      <w:r>
        <w:rPr>
          <w:rFonts w:hint="eastAsia" w:ascii="楷体" w:hAnsi="楷体" w:eastAsia="楷体"/>
          <w:b/>
          <w:sz w:val="44"/>
          <w:szCs w:val="44"/>
        </w:rPr>
        <w:t>致估价委托人函</w:t>
      </w:r>
    </w:p>
    <w:p w14:paraId="20E9D601">
      <w:pPr>
        <w:spacing w:before="156" w:beforeLines="50" w:line="510" w:lineRule="exact"/>
        <w:jc w:val="left"/>
        <w:outlineLvl w:val="1"/>
      </w:pPr>
      <w:bookmarkStart w:id="5" w:name="_Toc221710846_ai"/>
      <w:bookmarkStart w:id="6" w:name="_Toc221711012_ai"/>
      <w:r>
        <w:rPr>
          <w:rFonts w:hint="eastAsia" w:ascii="楷体" w:hAnsi="楷体" w:eastAsia="楷体"/>
          <w:b/>
          <w:kern w:val="2"/>
          <w:sz w:val="28"/>
          <w:szCs w:val="28"/>
          <w:lang w:val="en-US" w:eastAsia="zh-CN" w:bidi="ar-SA"/>
        </w:rPr>
        <w:t>{{ owner }}：</w:t>
      </w:r>
      <w:bookmarkEnd w:id="5"/>
      <w:bookmarkEnd w:id="6"/>
    </w:p>
    <w:p w14:paraId="2377049A">
      <w:pPr>
        <w:spacing w:line="500" w:lineRule="exact"/>
        <w:ind w:firstLine="560" w:firstLineChars="2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受贵方的委托，我公司对{{ owner }}位于{{ address }}商业用房的房地产进行了租赁价值评估。现综述如下：</w:t>
      </w:r>
    </w:p>
    <w:p w14:paraId="6BDA375B">
      <w:pPr>
        <w:snapToGrid w:val="0"/>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估价目的</w:t>
      </w:r>
      <w:r>
        <w:rPr>
          <w:rFonts w:hint="eastAsia" w:ascii="楷体" w:hAnsi="楷体" w:eastAsia="楷体" w:cs="仿宋"/>
          <w:sz w:val="28"/>
          <w:szCs w:val="28"/>
        </w:rPr>
        <w:t>：为委托人确定拟出租房地产市场租金提供价格参考，而评估房地产租赁价值。</w:t>
      </w:r>
    </w:p>
    <w:p w14:paraId="441BB174">
      <w:pPr>
        <w:spacing w:line="500" w:lineRule="exact"/>
        <w:ind w:right="97" w:rightChars="46" w:firstLine="561" w:firstLineChars="200"/>
      </w:pPr>
      <w:bookmarkStart w:id="7" w:name="OLE_LINK4"/>
      <w:r>
        <w:rPr>
          <w:rFonts w:hint="eastAsia" w:ascii="楷体" w:hAnsi="楷体" w:eastAsia="楷体"/>
          <w:b/>
          <w:kern w:val="2"/>
          <w:sz w:val="28"/>
          <w:szCs w:val="28"/>
          <w:lang w:val="en-US" w:eastAsia="zh-CN" w:bidi="ar-SA"/>
        </w:rPr>
        <w:t>估价对象：{{ owner }}位于{{ address }}的商业用房。估价对象未取得《不动产权证》，根据《委托评估协议书》复印件记载估价对象基本情况如下：</w:t>
      </w:r>
      <w:r>
        <w:rPr>
          <w:rFonts w:hint="eastAsia" w:ascii="楷体" w:hAnsi="楷体" w:eastAsia="楷体" w:cs="宋体"/>
          <w:kern w:val="2"/>
          <w:sz w:val="28"/>
          <w:szCs w:val="28"/>
          <w:lang w:val="en-US" w:eastAsia="zh-CN" w:bidi="ar-SA"/>
        </w:rPr>
        <w:t/>
      </w:r>
      <w:bookmarkStart w:id="8" w:name="OLE_LINK1_ai_ai"/>
      <w:r>
        <w:rPr>
          <w:rFonts w:hint="eastAsia" w:ascii="楷体" w:hAnsi="楷体" w:eastAsia="楷体" w:cs="宋体"/>
          <w:kern w:val="2"/>
          <w:sz w:val="28"/>
          <w:szCs w:val="28"/>
          <w:lang w:val="en-US" w:eastAsia="zh-CN" w:bidi="ar-SA"/>
        </w:rPr>
        <w:t/>
      </w:r>
      <w:bookmarkEnd w:id="8"/>
      <w:r>
        <w:rPr>
          <w:rFonts w:hint="eastAsia" w:ascii="楷体" w:hAnsi="楷体" w:eastAsia="楷体" w:cs="宋体"/>
          <w:kern w:val="2"/>
          <w:sz w:val="28"/>
          <w:szCs w:val="28"/>
          <w:lang w:val="en-US" w:eastAsia="zh-CN" w:bidi="ar-SA"/>
        </w:rPr>
        <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2578"/>
        <w:gridCol w:w="2463"/>
        <w:gridCol w:w="1521"/>
        <w:gridCol w:w="1987"/>
      </w:tblGrid>
      <w:tr w14:paraId="38CB3032">
        <w:trPr>
          <w:trHeight w:val="720" w:hRule="atLeast"/>
          <w:jc w:val="center"/>
        </w:trPr>
        <w:tc>
          <w:tcPr>
            <w:tcW w:w="397"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1C43E6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7BE174A8">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权利人</w:t>
            </w:r>
          </w:p>
        </w:tc>
        <w:tc>
          <w:tcPr>
            <w:tcW w:w="1326"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B07357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地址</w:t>
            </w:r>
          </w:p>
        </w:tc>
        <w:tc>
          <w:tcPr>
            <w:tcW w:w="819"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6D5F75DF">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设定出租用途</w:t>
            </w:r>
          </w:p>
        </w:tc>
        <w:tc>
          <w:tcPr>
            <w:tcW w:w="1070"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6D01E3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房屋建筑面积（㎡）</w:t>
            </w:r>
          </w:p>
        </w:tc>
      </w:tr>
      <w:tr w14:paraId="1C83FDF6">
        <w:trPr>
          <w:trHeight w:val="285" w:hRule="atLeast"/>
          <w:jc w:val="center"/>
        </w:trPr>
        <w:tc>
          <w:tcPr>
            <w:tcW w:w="39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0978C8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1</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BE18E4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E86AEF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81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79D368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1070"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ED5C7C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r>
      <w:tr w14:paraId="07C65E95">
        <w:trPr>
          <w:trHeight w:val="285" w:hRule="atLeast"/>
          <w:jc w:val="center"/>
        </w:trPr>
        <w:tc>
          <w:tcPr>
            <w:tcW w:w="39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423F91F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2</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D715DAB">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203681D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钱塘区义蓬街道义蓬中路487号</w:t>
            </w:r>
          </w:p>
        </w:tc>
        <w:tc>
          <w:tcPr>
            <w:tcW w:w="81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575C0E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1070"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25ADE068">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70</w:t>
            </w:r>
          </w:p>
        </w:tc>
      </w:tr>
    </w:tbl>
    <w:p w14:paraId="5AC207D5"/>
    <w:bookmarkEnd w:id="7"/>
    <w:p w14:paraId="034DA786">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本次估价范围包含房屋及其分摊建设用地使用权，不包含水电费、网费、物业费、债权债务、特许经营权等其他权利。</w:t>
      </w:r>
      <w:bookmarkStart w:id="9" w:name="OLE_LINK4_ai"/>
      <w:bookmarkEnd w:id="9"/>
    </w:p>
    <w:p w14:paraId="5128F5E4">
      <w:pPr>
        <w:spacing w:line="500" w:lineRule="exact"/>
        <w:ind w:right="97" w:rightChars="46" w:firstLine="561" w:firstLineChars="200"/>
        <w:rPr>
          <w:rFonts w:hint="eastAsia" w:ascii="楷体" w:hAnsi="楷体" w:eastAsia="楷体" w:cs="仿宋"/>
          <w:kern w:val="2"/>
          <w:sz w:val="28"/>
          <w:szCs w:val="28"/>
          <w:lang w:val="en-US" w:eastAsia="zh-CN" w:bidi="ar-SA"/>
        </w:rPr>
      </w:pPr>
      <w:r>
        <w:rPr>
          <w:rFonts w:hint="eastAsia" w:ascii="楷体" w:hAnsi="楷体" w:eastAsia="楷体"/>
          <w:b/>
          <w:kern w:val="2"/>
          <w:sz w:val="28"/>
          <w:szCs w:val="28"/>
          <w:lang w:val="en-US" w:eastAsia="zh-CN" w:bidi="ar-SA"/>
        </w:rPr>
        <w:t>价值时点</w:t>
      </w:r>
      <w:r>
        <w:rPr>
          <w:rFonts w:hint="eastAsia" w:ascii="楷体" w:hAnsi="楷体" w:eastAsia="楷体" w:cs="宋体"/>
          <w:kern w:val="2"/>
          <w:sz w:val="28"/>
          <w:szCs w:val="28"/>
          <w:lang w:val="en-US" w:eastAsia="zh-CN" w:bidi="ar-SA"/>
        </w:rPr>
        <w:t>：2026年3月25日（实地查勘之日）。</w:t>
      </w:r>
    </w:p>
    <w:p w14:paraId="45AB6E24">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价值类型</w:t>
      </w:r>
      <w:r>
        <w:rPr>
          <w:rFonts w:hint="eastAsia" w:ascii="楷体" w:hAnsi="楷体" w:eastAsia="楷体" w:cs="仿宋"/>
          <w:sz w:val="28"/>
          <w:szCs w:val="28"/>
        </w:rPr>
        <w:t>：市场租赁价值。</w:t>
      </w:r>
    </w:p>
    <w:p w14:paraId="65DC56EB">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估价方法</w:t>
      </w:r>
      <w:r>
        <w:rPr>
          <w:rFonts w:hint="eastAsia" w:ascii="楷体" w:hAnsi="楷体" w:eastAsia="楷体" w:cs="仿宋"/>
          <w:sz w:val="28"/>
          <w:szCs w:val="28"/>
        </w:rPr>
        <w:t>：比较法。</w:t>
      </w:r>
    </w:p>
    <w:p w14:paraId="1B2F7FE1">
      <w:pPr>
        <w:snapToGrid w:val="0"/>
        <w:spacing w:line="500" w:lineRule="exact"/>
        <w:ind w:left="71" w:leftChars="0" w:firstLine="493" w:firstLineChars="176"/>
        <w:jc w:val="left"/>
        <w:rPr>
          <w:rFonts w:hint="eastAsia" w:ascii="楷体" w:hAnsi="楷体" w:eastAsia="楷体"/>
          <w:b/>
          <w:kern w:val="2"/>
          <w:sz w:val="28"/>
          <w:szCs w:val="28"/>
          <w:lang w:val="en-US" w:eastAsia="zh-CN" w:bidi="ar-SA"/>
        </w:rPr>
      </w:pPr>
      <w:r>
        <w:rPr>
          <w:rFonts w:hint="eastAsia" w:ascii="楷体" w:hAnsi="楷体" w:eastAsia="楷体"/>
          <w:b/>
          <w:kern w:val="2"/>
          <w:sz w:val="28"/>
          <w:szCs w:val="28"/>
          <w:lang w:val="en-US" w:eastAsia="zh-CN" w:bidi="ar-SA"/>
        </w:rPr>
        <w:t>估价结果</w:t>
      </w:r>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在满足所有估价假设和限制条件下，</w:t>
      </w:r>
      <w:r>
        <w:rPr>
          <w:rFonts w:hint="eastAsia" w:ascii="楷体" w:hAnsi="楷体" w:eastAsia="楷体"/>
          <w:b/>
          <w:kern w:val="2"/>
          <w:sz w:val="28"/>
          <w:szCs w:val="28"/>
          <w:lang w:val="en-US" w:eastAsia="zh-CN" w:bidi="ar-SA"/>
        </w:rPr>
        <w:t>确定估价对象的年租赁价值为157534元，大写：人民币壹拾伍万柒仟伍佰叁拾肆元整，详见下表。</w:t>
      </w:r>
    </w:p>
    <w:p w14:paraId="6F9EBAC7">
      <w:pPr>
        <w:snapToGrid w:val="0"/>
        <w:spacing w:line="500" w:lineRule="exact"/>
        <w:ind w:left="71" w:leftChars="0" w:firstLine="493" w:firstLineChars="176"/>
        <w:jc w:val="left"/>
        <w:rPr>
          <w:rFonts w:hint="eastAsia" w:ascii="楷体" w:hAnsi="楷体" w:eastAsia="楷体"/>
          <w:b/>
          <w:kern w:val="2"/>
          <w:sz w:val="28"/>
          <w:szCs w:val="28"/>
          <w:lang w:val="en-US" w:eastAsia="zh-CN" w:bidi="ar-SA"/>
        </w:rPr>
      </w:pPr>
    </w:p>
    <w:p w14:paraId="3BCB456A">
      <w:pPr>
        <w:snapToGrid w:val="0"/>
        <w:spacing w:line="500" w:lineRule="exact"/>
        <w:ind w:left="71" w:leftChars="0" w:firstLine="493" w:firstLineChars="176"/>
        <w:jc w:val="left"/>
        <w:rPr>
          <w:rFonts w:hint="eastAsia" w:ascii="楷体" w:hAnsi="楷体" w:eastAsia="楷体"/>
          <w:b/>
          <w:kern w:val="2"/>
          <w:sz w:val="28"/>
          <w:szCs w:val="28"/>
          <w:lang w:val="en-US" w:eastAsia="zh-CN" w:bidi="ar-SA"/>
        </w:rPr>
      </w:pP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
        <w:gridCol w:w="2146"/>
        <w:gridCol w:w="1818"/>
        <w:gridCol w:w="1013"/>
        <w:gridCol w:w="1294"/>
        <w:gridCol w:w="1387"/>
        <w:gridCol w:w="1279"/>
      </w:tblGrid>
      <w:tr w14:paraId="05E5FD0C">
        <w:trPr>
          <w:trHeight w:val="720" w:hRule="atLeast"/>
          <w:jc w:val="center"/>
        </w:trPr>
        <w:tc>
          <w:tcPr>
            <w:tcW w:w="187"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4DDCEB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序号</w:t>
            </w:r>
          </w:p>
        </w:tc>
        <w:tc>
          <w:tcPr>
            <w:tcW w:w="1155"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30AE25B">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权利人</w:t>
            </w:r>
          </w:p>
        </w:tc>
        <w:tc>
          <w:tcPr>
            <w:tcW w:w="97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6D7E214D">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地址</w:t>
            </w:r>
          </w:p>
        </w:tc>
        <w:tc>
          <w:tcPr>
            <w:tcW w:w="545"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B3583A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设定出租用途</w:t>
            </w:r>
          </w:p>
        </w:tc>
        <w:tc>
          <w:tcPr>
            <w:tcW w:w="6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93DAE2F">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房屋建筑面积（㎡）</w:t>
            </w:r>
          </w:p>
        </w:tc>
        <w:tc>
          <w:tcPr>
            <w:tcW w:w="74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1F0F1483">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单价       （元/㎡/天）</w:t>
            </w: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EDA44AD">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年租赁价值（元）</w:t>
            </w:r>
          </w:p>
        </w:tc>
      </w:tr>
      <w:tr w14:paraId="011AA61A">
        <w:trPr>
          <w:trHeight w:val="285" w:hRule="atLeast"/>
          <w:jc w:val="center"/>
        </w:trPr>
        <w:tc>
          <w:tcPr>
            <w:tcW w:w="18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5EBBAF6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1</w:t>
            </w:r>
          </w:p>
        </w:tc>
        <w:tc>
          <w:tcPr>
            <w:tcW w:w="1155"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6BC8D2C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97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1938D1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545"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CECA6E9">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696"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8BA48A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c>
          <w:tcPr>
            <w:tcW w:w="746"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734E0F9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3.32</w:t>
            </w: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756E07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72708</w:t>
            </w:r>
          </w:p>
        </w:tc>
      </w:tr>
      <w:tr w14:paraId="4395CBD4">
        <w:trPr>
          <w:trHeight w:val="285" w:hRule="atLeast"/>
          <w:jc w:val="center"/>
        </w:trPr>
        <w:tc>
          <w:tcPr>
            <w:tcW w:w="18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3317B616">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2</w:t>
            </w:r>
          </w:p>
        </w:tc>
        <w:tc>
          <w:tcPr>
            <w:tcW w:w="1155"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123B32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97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91C817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钱塘区义蓬街道义蓬中路487号</w:t>
            </w:r>
          </w:p>
        </w:tc>
        <w:tc>
          <w:tcPr>
            <w:tcW w:w="545"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3BE49F0">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696"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22E9B4EF">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70</w:t>
            </w:r>
          </w:p>
        </w:tc>
        <w:tc>
          <w:tcPr>
            <w:tcW w:w="746"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0FFD1D26">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3.32</w:t>
            </w: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2A24A48">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84826</w:t>
            </w:r>
          </w:p>
        </w:tc>
      </w:tr>
      <w:tr w14:paraId="47F6AD71">
        <w:trPr>
          <w:trHeight w:val="552" w:hRule="atLeast"/>
          <w:jc w:val="center"/>
        </w:trPr>
        <w:tc>
          <w:tcPr>
            <w:tcW w:w="18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A2DA9D6">
            <w:pPr>
              <w:widowControl/>
              <w:jc w:val="center"/>
              <w:textAlignment w:val="center"/>
              <w:rPr>
                <w:rFonts w:hint="eastAsia" w:ascii="楷体" w:hAnsi="楷体" w:eastAsia="楷体" w:cs="楷体"/>
                <w:color w:val="000000"/>
                <w:kern w:val="0"/>
                <w:sz w:val="20"/>
                <w:lang w:val="en-US" w:eastAsia="zh-CN" w:bidi="ar"/>
              </w:rPr>
            </w:pPr>
          </w:p>
        </w:tc>
        <w:tc>
          <w:tcPr>
            <w:tcW w:w="1155"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C50FF73">
            <w:pPr>
              <w:widowControl/>
              <w:jc w:val="center"/>
              <w:textAlignment w:val="center"/>
              <w:rPr>
                <w:rFonts w:hint="default" w:ascii="楷体" w:hAnsi="楷体" w:eastAsia="楷体" w:cs="楷体"/>
                <w:color w:val="000000"/>
                <w:kern w:val="0"/>
                <w:sz w:val="20"/>
                <w:lang w:val="en-US" w:eastAsia="zh-CN" w:bidi="ar"/>
              </w:rPr>
            </w:pPr>
            <w:r>
              <w:rPr>
                <w:rFonts w:hint="eastAsia" w:ascii="楷体" w:hAnsi="楷体" w:eastAsia="楷体" w:cs="楷体"/>
                <w:color w:val="000000"/>
                <w:kern w:val="0"/>
                <w:sz w:val="20"/>
                <w:lang w:val="en-US" w:eastAsia="zh-CN" w:bidi="ar"/>
              </w:rPr>
              <w:t>合计</w:t>
            </w:r>
          </w:p>
        </w:tc>
        <w:tc>
          <w:tcPr>
            <w:tcW w:w="97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CA1D86B">
            <w:pPr>
              <w:widowControl/>
              <w:jc w:val="center"/>
              <w:textAlignment w:val="center"/>
              <w:rPr>
                <w:rFonts w:hint="eastAsia" w:ascii="楷体" w:hAnsi="楷体" w:eastAsia="楷体" w:cs="楷体"/>
                <w:color w:val="000000"/>
                <w:kern w:val="0"/>
                <w:sz w:val="20"/>
                <w:lang w:val="en-US" w:eastAsia="zh-CN" w:bidi="ar"/>
              </w:rPr>
            </w:pPr>
          </w:p>
        </w:tc>
        <w:tc>
          <w:tcPr>
            <w:tcW w:w="545"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C88997A">
            <w:pPr>
              <w:widowControl/>
              <w:jc w:val="center"/>
              <w:textAlignment w:val="center"/>
              <w:rPr>
                <w:rFonts w:hint="eastAsia" w:ascii="楷体" w:hAnsi="楷体" w:eastAsia="楷体" w:cs="楷体"/>
                <w:color w:val="000000"/>
                <w:kern w:val="0"/>
                <w:sz w:val="20"/>
                <w:lang w:val="en-US" w:eastAsia="zh-CN" w:bidi="ar"/>
              </w:rPr>
            </w:pPr>
          </w:p>
        </w:tc>
        <w:tc>
          <w:tcPr>
            <w:tcW w:w="696"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E78A546">
            <w:pPr>
              <w:widowControl/>
              <w:jc w:val="center"/>
              <w:textAlignment w:val="center"/>
              <w:rPr>
                <w:rFonts w:hint="eastAsia" w:ascii="楷体" w:hAnsi="楷体" w:eastAsia="楷体" w:cs="楷体"/>
                <w:color w:val="000000"/>
                <w:kern w:val="0"/>
                <w:sz w:val="20"/>
                <w:lang w:val="en-US" w:eastAsia="zh-CN" w:bidi="ar"/>
              </w:rPr>
            </w:pPr>
          </w:p>
        </w:tc>
        <w:tc>
          <w:tcPr>
            <w:tcW w:w="746"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5E873C37">
            <w:pPr>
              <w:widowControl/>
              <w:jc w:val="center"/>
              <w:textAlignment w:val="center"/>
              <w:rPr>
                <w:rFonts w:hint="eastAsia" w:ascii="楷体" w:hAnsi="楷体" w:eastAsia="楷体" w:cs="楷体"/>
                <w:color w:val="000000"/>
                <w:kern w:val="0"/>
                <w:sz w:val="20"/>
                <w:lang w:val="en-US" w:eastAsia="zh-CN" w:bidi="ar"/>
              </w:rPr>
            </w:pP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3B8C62A">
            <w:pPr>
              <w:widowControl/>
              <w:jc w:val="center"/>
              <w:textAlignment w:val="center"/>
              <w:rPr>
                <w:rFonts w:hint="default" w:ascii="楷体" w:hAnsi="楷体" w:eastAsia="楷体" w:cs="楷体"/>
                <w:color w:val="000000"/>
                <w:kern w:val="0"/>
                <w:sz w:val="20"/>
                <w:lang w:val="en-US" w:eastAsia="zh-CN" w:bidi="ar"/>
              </w:rPr>
            </w:pPr>
            <w:r>
              <w:rPr>
                <w:rFonts w:hint="eastAsia" w:ascii="楷体" w:hAnsi="楷体" w:eastAsia="楷体" w:cs="楷体"/>
                <w:color w:val="000000"/>
                <w:kern w:val="0"/>
                <w:sz w:val="20"/>
                <w:lang w:val="en-US" w:eastAsia="zh-CN" w:bidi="ar"/>
              </w:rPr>
              <w:t>157534</w:t>
            </w:r>
          </w:p>
        </w:tc>
      </w:tr>
    </w:tbl>
    <w:p w14:paraId="48BA2B24"/>
    <w:p w14:paraId="6A896219">
      <w:pPr>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特别提示：</w:t>
      </w:r>
    </w:p>
    <w:p w14:paraId="7C065744">
      <w:pPr>
        <w:spacing w:line="500" w:lineRule="exact"/>
        <w:ind w:firstLine="560" w:firstLineChars="200"/>
        <w:rPr>
          <w:rFonts w:hint="eastAsia" w:ascii="楷体" w:hAnsi="楷体" w:eastAsia="楷体"/>
          <w:sz w:val="28"/>
        </w:rPr>
      </w:pPr>
      <w:bookmarkStart w:id="10" w:name="_Toc221710847"/>
      <w:bookmarkStart w:id="11" w:name="_Toc221711013"/>
      <w:r>
        <w:rPr>
          <w:rFonts w:hint="eastAsia" w:ascii="楷体" w:hAnsi="楷体" w:eastAsia="楷体" w:cs="宋体"/>
          <w:kern w:val="2"/>
          <w:sz w:val="28"/>
          <w:szCs w:val="28"/>
          <w:lang w:val="en-US" w:eastAsia="zh-CN" w:bidi="ar-SA"/>
        </w:rPr>
        <w:t>（1）本估价结果使用有效期限为从本报告出具之日起一年（{{ issue_date }}至2027年3月31日止），若未满足上述条件，需重新估价。</w:t>
      </w:r>
      <w:bookmarkEnd w:id="10"/>
      <w:bookmarkEnd w:id="11"/>
    </w:p>
    <w:p w14:paraId="0D852D06">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w:t>
      </w:r>
      <w:r>
        <w:rPr>
          <w:rFonts w:hint="eastAsia" w:ascii="楷体" w:hAnsi="楷体" w:eastAsia="楷体" w:cs="仿宋"/>
          <w:sz w:val="28"/>
          <w:szCs w:val="28"/>
          <w:lang w:val="en-US" w:eastAsia="zh-CN"/>
        </w:rPr>
        <w:t>2</w:t>
      </w:r>
      <w:r>
        <w:rPr>
          <w:rFonts w:hint="eastAsia" w:ascii="楷体" w:hAnsi="楷体" w:eastAsia="楷体" w:cs="仿宋"/>
          <w:sz w:val="28"/>
          <w:szCs w:val="28"/>
        </w:rPr>
        <w:t>）年租赁价值按一年365天计。</w:t>
      </w:r>
    </w:p>
    <w:p w14:paraId="51545A9C">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w:t>
      </w:r>
      <w:r>
        <w:rPr>
          <w:rFonts w:hint="eastAsia" w:ascii="楷体" w:hAnsi="楷体" w:eastAsia="楷体" w:cs="仿宋"/>
          <w:sz w:val="28"/>
          <w:szCs w:val="28"/>
          <w:lang w:val="en-US" w:eastAsia="zh-CN"/>
        </w:rPr>
        <w:t>3</w:t>
      </w:r>
      <w:r>
        <w:rPr>
          <w:rFonts w:hint="eastAsia" w:ascii="楷体" w:hAnsi="楷体" w:eastAsia="楷体" w:cs="仿宋"/>
          <w:sz w:val="28"/>
          <w:szCs w:val="28"/>
        </w:rPr>
        <w:t>）本次估价对象未取得《不动产权证》，使用无证房屋存在一定风险，提请委托人及报告使用者注意。</w:t>
      </w:r>
    </w:p>
    <w:p w14:paraId="73B27F2B">
      <w:pPr>
        <w:spacing w:line="500" w:lineRule="exact"/>
        <w:ind w:firstLine="560" w:firstLineChars="200"/>
        <w:jc w:val="left"/>
        <w:rPr>
          <w:rFonts w:hint="eastAsia" w:ascii="楷体" w:hAnsi="楷体" w:eastAsia="楷体"/>
          <w:sz w:val="28"/>
        </w:rPr>
      </w:pPr>
      <w:r>
        <w:rPr>
          <w:rFonts w:hint="eastAsia" w:ascii="楷体" w:hAnsi="楷体" w:eastAsia="楷体"/>
          <w:sz w:val="28"/>
        </w:rPr>
        <w:t>（</w:t>
      </w:r>
      <w:r>
        <w:rPr>
          <w:rFonts w:hint="eastAsia" w:ascii="楷体" w:hAnsi="楷体" w:eastAsia="楷体"/>
          <w:sz w:val="28"/>
          <w:lang w:val="en-US" w:eastAsia="zh-CN"/>
        </w:rPr>
        <w:t>4</w:t>
      </w:r>
      <w:r>
        <w:rPr>
          <w:rFonts w:hint="eastAsia" w:ascii="楷体" w:hAnsi="楷体" w:eastAsia="楷体"/>
          <w:sz w:val="28"/>
        </w:rPr>
        <w:t>）本函仅为估价报告的内容摘要，请估价委托人和估价报告使用者全面仔细地阅读估价报告全文。</w:t>
      </w:r>
    </w:p>
    <w:p w14:paraId="0B727B77">
      <w:pPr>
        <w:spacing w:line="500" w:lineRule="exact"/>
        <w:ind w:firstLine="560" w:firstLineChars="200"/>
        <w:jc w:val="left"/>
        <w:rPr>
          <w:rFonts w:hint="eastAsia" w:ascii="楷体" w:hAnsi="楷体" w:eastAsia="楷体"/>
          <w:sz w:val="28"/>
        </w:rPr>
      </w:pPr>
    </w:p>
    <w:p w14:paraId="44469CC6">
      <w:pPr>
        <w:spacing w:line="500" w:lineRule="exact"/>
        <w:ind w:left="420" w:leftChars="200" w:firstLine="3080" w:firstLineChars="1100"/>
        <w:rPr>
          <w:rFonts w:hint="eastAsia" w:ascii="楷体" w:hAnsi="楷体" w:eastAsia="楷体" w:cs="仿宋"/>
          <w:sz w:val="28"/>
          <w:szCs w:val="28"/>
        </w:rPr>
      </w:pPr>
      <w:r>
        <w:rPr>
          <w:rFonts w:hint="eastAsia" w:ascii="楷体" w:hAnsi="楷体" w:eastAsia="楷体" w:cs="仿宋"/>
          <w:sz w:val="28"/>
          <w:szCs w:val="28"/>
        </w:rPr>
        <w:t>浙江正恒房地产土地资产评估咨询有限公司</w:t>
      </w:r>
    </w:p>
    <w:p w14:paraId="5D135952">
      <w:pPr>
        <w:spacing w:line="500" w:lineRule="exact"/>
        <w:ind w:left="420" w:leftChars="200" w:firstLine="4760" w:firstLineChars="1700"/>
        <w:rPr>
          <w:rFonts w:hint="eastAsia" w:ascii="楷体" w:hAnsi="楷体" w:eastAsia="楷体" w:cs="仿宋"/>
          <w:sz w:val="28"/>
          <w:szCs w:val="28"/>
        </w:rPr>
      </w:pPr>
      <w:r>
        <w:rPr>
          <w:rFonts w:hint="eastAsia" w:ascii="楷体" w:hAnsi="楷体" w:eastAsia="楷体" w:cs="仿宋"/>
          <w:sz w:val="28"/>
          <w:szCs w:val="28"/>
        </w:rPr>
        <w:t>法人代表：韩伟</w:t>
      </w:r>
    </w:p>
    <w:p w14:paraId="5906112D">
      <w:pPr>
        <w:spacing w:line="500" w:lineRule="exact"/>
        <w:ind w:firstLine="5040" w:firstLineChars="18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issue_date }}</w:t>
      </w:r>
    </w:p>
    <w:p w14:paraId="38430596">
      <w:pPr>
        <w:spacing w:line="400" w:lineRule="exact"/>
        <w:rPr>
          <w:rFonts w:hint="eastAsia" w:ascii="楷体" w:hAnsi="楷体" w:eastAsia="楷体" w:cs="仿宋"/>
          <w:bCs/>
          <w:sz w:val="28"/>
          <w:szCs w:val="28"/>
        </w:rPr>
        <w:sectPr>
          <w:footerReference r:id="rId5" w:type="default"/>
          <w:pgSz w:w="11906" w:h="16838"/>
          <w:pgMar w:top="1418" w:right="1134" w:bottom="1134" w:left="1418" w:header="850" w:footer="851" w:gutter="284"/>
          <w:pgNumType w:start="1" w:chapStyle="1"/>
          <w:cols w:space="720" w:num="1"/>
          <w:docGrid w:type="lines" w:linePitch="312" w:charSpace="0"/>
        </w:sectPr>
      </w:pPr>
    </w:p>
    <w:p w14:paraId="4A76F243">
      <w:pPr>
        <w:spacing w:before="312" w:beforeLines="100" w:line="480" w:lineRule="auto"/>
        <w:jc w:val="center"/>
        <w:rPr>
          <w:rFonts w:ascii="楷体" w:hAnsi="楷体" w:eastAsia="楷体"/>
          <w:b/>
          <w:sz w:val="52"/>
          <w:szCs w:val="52"/>
        </w:rPr>
      </w:pPr>
      <w:r>
        <w:rPr>
          <w:rFonts w:hint="eastAsia" w:ascii="楷体" w:hAnsi="楷体" w:eastAsia="楷体"/>
          <w:b/>
          <w:sz w:val="52"/>
          <w:szCs w:val="52"/>
        </w:rPr>
        <w:t>目 录</w:t>
      </w:r>
    </w:p>
    <w:p w14:paraId="1BC6BBD4">
      <w:pPr>
        <w:pStyle w:val="23"/>
        <w:tabs>
          <w:tab w:val="right" w:leader="dot" w:pos="9060"/>
        </w:tabs>
        <w:spacing w:line="500" w:lineRule="exact"/>
        <w:ind w:left="0"/>
        <w:rPr>
          <w:rFonts w:ascii="楷体" w:hAnsi="楷体" w:eastAsia="楷体" w:cs="Times New Roman"/>
          <w:sz w:val="28"/>
          <w:szCs w:val="28"/>
          <w:lang/>
        </w:rPr>
      </w:pPr>
      <w:r>
        <w:fldChar w:fldCharType="begin"/>
      </w:r>
      <w:r>
        <w:instrText xml:space="preserve"> TOC \o "1-3" \h \z \u </w:instrText>
      </w:r>
      <w:r>
        <w:fldChar w:fldCharType="separate"/>
      </w: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"_Toc221711014"</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b/>
          <w:bCs/>
          <w:sz w:val="28"/>
          <w:szCs w:val="28"/>
          <w:lang/>
        </w:rPr>
        <w:t>估价师声明</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_Toc221711014 \h </w:instrText>
      </w:r>
      <w:r>
        <w:rPr>
          <w:rFonts w:ascii="楷体" w:hAnsi="楷体" w:eastAsia="楷体"/>
          <w:sz w:val="28"/>
          <w:szCs w:val="28"/>
          <w:lang/>
        </w:rPr>
        <w:fldChar w:fldCharType="separate"/>
      </w:r>
      <w:r>
        <w:rPr>
          <w:rFonts w:ascii="楷体" w:hAnsi="楷体" w:eastAsia="楷体"/>
          <w:sz w:val="28"/>
          <w:szCs w:val="28"/>
          <w:lang/>
        </w:rPr>
        <w:t>1</w:t>
      </w:r>
      <w:r>
        <w:rPr>
          <w:rFonts w:ascii="楷体" w:hAnsi="楷体" w:eastAsia="楷体"/>
          <w:sz w:val="28"/>
          <w:szCs w:val="28"/>
          <w:lang/>
        </w:rPr>
        <w:fldChar w:fldCharType="end"/>
      </w:r>
      <w:r>
        <w:rPr>
          <w:rStyle w:val="34"/>
          <w:rFonts w:ascii="楷体" w:hAnsi="楷体" w:eastAsia="楷体"/>
          <w:sz w:val="28"/>
          <w:szCs w:val="28"/>
          <w:lang/>
        </w:rPr>
        <w:fldChar w:fldCharType="end"/>
      </w:r>
    </w:p>
    <w:p w14:paraId="1960B301">
      <w:pPr>
        <w:pStyle w:val="19"/>
        <w:tabs>
          <w:tab w:val="right" w:leader="dot" w:pos="9060"/>
        </w:tabs>
        <w:spacing w:line="500" w:lineRule="exact"/>
        <w:rPr>
          <w:rFonts w:ascii="楷体" w:hAnsi="楷体" w:eastAsia="楷体" w:cs="Times New Roman"/>
          <w:b w:val="0"/>
          <w:bCs w:val="0"/>
          <w: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"_Toc221711015"</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估价假设和限制条件</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_Toc221711015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2724DC3A">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"_Toc221711016"</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一、一般性假设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_Toc221711016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5985164C">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"_Toc221711017"</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二、未定事项假设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_Toc221711017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4854EF4D">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"_Toc221711018"</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三、背离事实假设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_Toc221711018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67C4C6E2">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"_Toc221711019"</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四、不相一致假设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_Toc221711019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51325A7F">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"_Toc221711020"</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五、依据不足假设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_Toc221711020 \h </w:instrText>
      </w:r>
      <w:r>
        <w:rPr>
          <w:rFonts w:ascii="楷体" w:hAnsi="楷体" w:eastAsia="楷体"/>
          <w:sz w:val="28"/>
          <w:szCs w:val="28"/>
          <w:lang/>
        </w:rPr>
        <w:fldChar w:fldCharType="separate"/>
      </w:r>
      <w:r>
        <w:rPr>
          <w:rFonts w:ascii="楷体" w:hAnsi="楷体" w:eastAsia="楷体"/>
          <w:sz w:val="28"/>
          <w:szCs w:val="28"/>
          <w:lang/>
        </w:rPr>
        <w:t>3</w:t>
      </w:r>
      <w:r>
        <w:rPr>
          <w:rFonts w:ascii="楷体" w:hAnsi="楷体" w:eastAsia="楷体"/>
          <w:sz w:val="28"/>
          <w:szCs w:val="28"/>
          <w:lang/>
        </w:rPr>
        <w:fldChar w:fldCharType="end"/>
      </w:r>
      <w:r>
        <w:rPr>
          <w:rStyle w:val="34"/>
          <w:rFonts w:ascii="楷体" w:hAnsi="楷体" w:eastAsia="楷体"/>
          <w:sz w:val="28"/>
          <w:szCs w:val="28"/>
          <w:lang/>
        </w:rPr>
        <w:fldChar w:fldCharType="end"/>
      </w:r>
    </w:p>
    <w:p w14:paraId="389F0F84">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"_Toc221711021"</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六、报告使用限制条件</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_Toc221711021 \h </w:instrText>
      </w:r>
      <w:r>
        <w:rPr>
          <w:rFonts w:ascii="楷体" w:hAnsi="楷体" w:eastAsia="楷体"/>
          <w:sz w:val="28"/>
          <w:szCs w:val="28"/>
          <w:lang/>
        </w:rPr>
        <w:fldChar w:fldCharType="separate"/>
      </w:r>
      <w:r>
        <w:rPr>
          <w:rFonts w:ascii="楷体" w:hAnsi="楷体" w:eastAsia="楷体"/>
          <w:sz w:val="28"/>
          <w:szCs w:val="28"/>
          <w:lang/>
        </w:rPr>
        <w:t>3</w:t>
      </w:r>
      <w:r>
        <w:rPr>
          <w:rFonts w:ascii="楷体" w:hAnsi="楷体" w:eastAsia="楷体"/>
          <w:sz w:val="28"/>
          <w:szCs w:val="28"/>
          <w:lang/>
        </w:rPr>
        <w:fldChar w:fldCharType="end"/>
      </w:r>
      <w:r>
        <w:rPr>
          <w:rStyle w:val="34"/>
          <w:rFonts w:ascii="楷体" w:hAnsi="楷体" w:eastAsia="楷体"/>
          <w:sz w:val="28"/>
          <w:szCs w:val="28"/>
          <w:lang/>
        </w:rPr>
        <w:fldChar w:fldCharType="end"/>
      </w:r>
    </w:p>
    <w:p w14:paraId="5B552D66">
      <w:pPr>
        <w:pStyle w:val="19"/>
        <w:tabs>
          <w:tab w:val="right" w:leader="dot" w:pos="9060"/>
        </w:tabs>
        <w:spacing w:line="500" w:lineRule="exact"/>
        <w:rPr>
          <w:rFonts w:ascii="楷体" w:hAnsi="楷体" w:eastAsia="楷体" w:cs="Times New Roman"/>
          <w: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"_Toc221711022"</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估价结果报告</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_Toc221711022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5A86D88F">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"_Toc221711023"</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一、估价委托人</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_Toc221711023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31D19EB6">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"_Toc221711024"</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二、房地产估价机构</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_Toc221711024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35FB3954">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"_Toc221711025"</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三、估价目的</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_Toc221711025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4CDA6F2E">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"_Toc221711026"</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四、估价对象</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_Toc221711026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5C360FD3">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"_Toc221711027"</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五、价值时点</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_Toc221711027 \h </w:instrText>
      </w:r>
      <w:r>
        <w:rPr>
          <w:rFonts w:ascii="楷体" w:hAnsi="楷体" w:eastAsia="楷体"/>
          <w:sz w:val="28"/>
          <w:szCs w:val="28"/>
          <w:lang/>
        </w:rPr>
        <w:fldChar w:fldCharType="separate"/>
      </w:r>
      <w:r>
        <w:rPr>
          <w:rFonts w:ascii="楷体" w:hAnsi="楷体" w:eastAsia="楷体"/>
          <w:sz w:val="28"/>
          <w:szCs w:val="28"/>
          <w:lang/>
        </w:rPr>
        <w:t>7</w:t>
      </w:r>
      <w:r>
        <w:rPr>
          <w:rFonts w:ascii="楷体" w:hAnsi="楷体" w:eastAsia="楷体"/>
          <w:sz w:val="28"/>
          <w:szCs w:val="28"/>
          <w:lang/>
        </w:rPr>
        <w:fldChar w:fldCharType="end"/>
      </w:r>
      <w:r>
        <w:rPr>
          <w:rStyle w:val="34"/>
          <w:rFonts w:ascii="楷体" w:hAnsi="楷体" w:eastAsia="楷体"/>
          <w:sz w:val="28"/>
          <w:szCs w:val="28"/>
          <w:lang/>
        </w:rPr>
        <w:fldChar w:fldCharType="end"/>
      </w:r>
    </w:p>
    <w:p w14:paraId="07958C93">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"_Toc221711028"</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六、价值类型</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_Toc221711028 \h </w:instrText>
      </w:r>
      <w:r>
        <w:rPr>
          <w:rFonts w:ascii="楷体" w:hAnsi="楷体" w:eastAsia="楷体"/>
          <w:sz w:val="28"/>
          <w:szCs w:val="28"/>
          <w:lang/>
        </w:rPr>
        <w:fldChar w:fldCharType="separate"/>
      </w:r>
      <w:r>
        <w:rPr>
          <w:rFonts w:ascii="楷体" w:hAnsi="楷体" w:eastAsia="楷体"/>
          <w:sz w:val="28"/>
          <w:szCs w:val="28"/>
          <w:lang/>
        </w:rPr>
        <w:t>7</w:t>
      </w:r>
      <w:r>
        <w:rPr>
          <w:rFonts w:ascii="楷体" w:hAnsi="楷体" w:eastAsia="楷体"/>
          <w:sz w:val="28"/>
          <w:szCs w:val="28"/>
          <w:lang/>
        </w:rPr>
        <w:fldChar w:fldCharType="end"/>
      </w:r>
      <w:r>
        <w:rPr>
          <w:rStyle w:val="34"/>
          <w:rFonts w:ascii="楷体" w:hAnsi="楷体" w:eastAsia="楷体"/>
          <w:sz w:val="28"/>
          <w:szCs w:val="28"/>
          <w:lang/>
        </w:rPr>
        <w:fldChar w:fldCharType="end"/>
      </w:r>
    </w:p>
    <w:p w14:paraId="3D241E74">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"_Toc221711029"</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七、估价原则</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_Toc221711029 \h </w:instrText>
      </w:r>
      <w:r>
        <w:rPr>
          <w:rFonts w:ascii="楷体" w:hAnsi="楷体" w:eastAsia="楷体"/>
          <w:sz w:val="28"/>
          <w:szCs w:val="28"/>
          <w:lang/>
        </w:rPr>
        <w:fldChar w:fldCharType="separate"/>
      </w:r>
      <w:r>
        <w:rPr>
          <w:rFonts w:ascii="楷体" w:hAnsi="楷体" w:eastAsia="楷体"/>
          <w:sz w:val="28"/>
          <w:szCs w:val="28"/>
          <w:lang/>
        </w:rPr>
        <w:t>8</w:t>
      </w:r>
      <w:r>
        <w:rPr>
          <w:rFonts w:ascii="楷体" w:hAnsi="楷体" w:eastAsia="楷体"/>
          <w:sz w:val="28"/>
          <w:szCs w:val="28"/>
          <w:lang/>
        </w:rPr>
        <w:fldChar w:fldCharType="end"/>
      </w:r>
      <w:r>
        <w:rPr>
          <w:rStyle w:val="34"/>
          <w:rFonts w:ascii="楷体" w:hAnsi="楷体" w:eastAsia="楷体"/>
          <w:sz w:val="28"/>
          <w:szCs w:val="28"/>
          <w:lang/>
        </w:rPr>
        <w:fldChar w:fldCharType="end"/>
      </w:r>
    </w:p>
    <w:p w14:paraId="1A062C4E">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"_Toc221711030"</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八、估价依据</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_Toc221711030 \h </w:instrText>
      </w:r>
      <w:r>
        <w:rPr>
          <w:rFonts w:ascii="楷体" w:hAnsi="楷体" w:eastAsia="楷体"/>
          <w:sz w:val="28"/>
          <w:szCs w:val="28"/>
          <w:lang/>
        </w:rPr>
        <w:fldChar w:fldCharType="separate"/>
      </w:r>
      <w:r>
        <w:rPr>
          <w:rFonts w:ascii="楷体" w:hAnsi="楷体" w:eastAsia="楷体"/>
          <w:sz w:val="28"/>
          <w:szCs w:val="28"/>
          <w:lang/>
        </w:rPr>
        <w:t>8</w:t>
      </w:r>
      <w:r>
        <w:rPr>
          <w:rFonts w:ascii="楷体" w:hAnsi="楷体" w:eastAsia="楷体"/>
          <w:sz w:val="28"/>
          <w:szCs w:val="28"/>
          <w:lang/>
        </w:rPr>
        <w:fldChar w:fldCharType="end"/>
      </w:r>
      <w:r>
        <w:rPr>
          <w:rStyle w:val="34"/>
          <w:rFonts w:ascii="楷体" w:hAnsi="楷体" w:eastAsia="楷体"/>
          <w:sz w:val="28"/>
          <w:szCs w:val="28"/>
          <w:lang/>
        </w:rPr>
        <w:fldChar w:fldCharType="end"/>
      </w:r>
    </w:p>
    <w:p w14:paraId="417E8769">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"_Toc221711031"</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九、估价方法</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_Toc221711031 \h </w:instrText>
      </w:r>
      <w:r>
        <w:rPr>
          <w:rFonts w:ascii="楷体" w:hAnsi="楷体" w:eastAsia="楷体"/>
          <w:sz w:val="28"/>
          <w:szCs w:val="28"/>
          <w:lang/>
        </w:rPr>
        <w:fldChar w:fldCharType="separate"/>
      </w:r>
      <w:r>
        <w:rPr>
          <w:rFonts w:ascii="楷体" w:hAnsi="楷体" w:eastAsia="楷体"/>
          <w:sz w:val="28"/>
          <w:szCs w:val="28"/>
          <w:lang/>
        </w:rPr>
        <w:t>9</w:t>
      </w:r>
      <w:r>
        <w:rPr>
          <w:rFonts w:ascii="楷体" w:hAnsi="楷体" w:eastAsia="楷体"/>
          <w:sz w:val="28"/>
          <w:szCs w:val="28"/>
          <w:lang/>
        </w:rPr>
        <w:fldChar w:fldCharType="end"/>
      </w:r>
      <w:r>
        <w:rPr>
          <w:rStyle w:val="34"/>
          <w:rFonts w:ascii="楷体" w:hAnsi="楷体" w:eastAsia="楷体"/>
          <w:sz w:val="28"/>
          <w:szCs w:val="28"/>
          <w:lang/>
        </w:rPr>
        <w:fldChar w:fldCharType="end"/>
      </w:r>
    </w:p>
    <w:p w14:paraId="67E0EE0F">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"_Toc221711032"</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十、估价结果</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_Toc221711032 \h </w:instrText>
      </w:r>
      <w:r>
        <w:rPr>
          <w:rFonts w:ascii="楷体" w:hAnsi="楷体" w:eastAsia="楷体"/>
          <w:sz w:val="28"/>
          <w:szCs w:val="28"/>
          <w:lang/>
        </w:rPr>
        <w:fldChar w:fldCharType="separate"/>
      </w:r>
      <w:r>
        <w:rPr>
          <w:rFonts w:ascii="楷体" w:hAnsi="楷体" w:eastAsia="楷体"/>
          <w:sz w:val="28"/>
          <w:szCs w:val="28"/>
          <w:lang/>
        </w:rPr>
        <w:t>10</w:t>
      </w:r>
      <w:r>
        <w:rPr>
          <w:rFonts w:ascii="楷体" w:hAnsi="楷体" w:eastAsia="楷体"/>
          <w:sz w:val="28"/>
          <w:szCs w:val="28"/>
          <w:lang/>
        </w:rPr>
        <w:fldChar w:fldCharType="end"/>
      </w:r>
      <w:r>
        <w:rPr>
          <w:rStyle w:val="34"/>
          <w:rFonts w:ascii="楷体" w:hAnsi="楷体" w:eastAsia="楷体"/>
          <w:sz w:val="28"/>
          <w:szCs w:val="28"/>
          <w:lang/>
        </w:rPr>
        <w:fldChar w:fldCharType="end"/>
      </w:r>
    </w:p>
    <w:p w14:paraId="4B999EB0">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"_Toc221711033"</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十一、注册房地产估价师</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_Toc221711033 \h </w:instrText>
      </w:r>
      <w:r>
        <w:rPr>
          <w:rFonts w:ascii="楷体" w:hAnsi="楷体" w:eastAsia="楷体"/>
          <w:sz w:val="28"/>
          <w:szCs w:val="28"/>
          <w:lang/>
        </w:rPr>
        <w:fldChar w:fldCharType="separate"/>
      </w:r>
      <w:r>
        <w:rPr>
          <w:rFonts w:ascii="楷体" w:hAnsi="楷体" w:eastAsia="楷体"/>
          <w:sz w:val="28"/>
          <w:szCs w:val="28"/>
          <w:lang/>
        </w:rPr>
        <w:t>10</w:t>
      </w:r>
      <w:r>
        <w:rPr>
          <w:rFonts w:ascii="楷体" w:hAnsi="楷体" w:eastAsia="楷体"/>
          <w:sz w:val="28"/>
          <w:szCs w:val="28"/>
          <w:lang/>
        </w:rPr>
        <w:fldChar w:fldCharType="end"/>
      </w:r>
      <w:r>
        <w:rPr>
          <w:rStyle w:val="34"/>
          <w:rFonts w:ascii="楷体" w:hAnsi="楷体" w:eastAsia="楷体"/>
          <w:sz w:val="28"/>
          <w:szCs w:val="28"/>
          <w:lang/>
        </w:rPr>
        <w:fldChar w:fldCharType="end"/>
      </w:r>
    </w:p>
    <w:p w14:paraId="338C4B6F">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"_Toc221711034"</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十二、实地查勘期</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_Toc221711034 \h </w:instrText>
      </w:r>
      <w:r>
        <w:rPr>
          <w:rFonts w:ascii="楷体" w:hAnsi="楷体" w:eastAsia="楷体"/>
          <w:sz w:val="28"/>
          <w:szCs w:val="28"/>
          <w:lang/>
        </w:rPr>
        <w:fldChar w:fldCharType="separate"/>
      </w:r>
      <w:r>
        <w:rPr>
          <w:rFonts w:ascii="楷体" w:hAnsi="楷体" w:eastAsia="楷体"/>
          <w:sz w:val="28"/>
          <w:szCs w:val="28"/>
          <w:lang/>
        </w:rPr>
        <w:t>10</w:t>
      </w:r>
      <w:r>
        <w:rPr>
          <w:rFonts w:ascii="楷体" w:hAnsi="楷体" w:eastAsia="楷体"/>
          <w:sz w:val="28"/>
          <w:szCs w:val="28"/>
          <w:lang/>
        </w:rPr>
        <w:fldChar w:fldCharType="end"/>
      </w:r>
      <w:r>
        <w:rPr>
          <w:rStyle w:val="34"/>
          <w:rFonts w:ascii="楷体" w:hAnsi="楷体" w:eastAsia="楷体"/>
          <w:sz w:val="28"/>
          <w:szCs w:val="28"/>
          <w:lang/>
        </w:rPr>
        <w:fldChar w:fldCharType="end"/>
      </w:r>
    </w:p>
    <w:p w14:paraId="302C2E31">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"_Toc221711035"</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十三、估价作业期</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_Toc221711035 \h </w:instrText>
      </w:r>
      <w:r>
        <w:rPr>
          <w:rFonts w:ascii="楷体" w:hAnsi="楷体" w:eastAsia="楷体"/>
          <w:sz w:val="28"/>
          <w:szCs w:val="28"/>
          <w:lang/>
        </w:rPr>
        <w:fldChar w:fldCharType="separate"/>
      </w:r>
      <w:r>
        <w:rPr>
          <w:rFonts w:ascii="楷体" w:hAnsi="楷体" w:eastAsia="楷体"/>
          <w:sz w:val="28"/>
          <w:szCs w:val="28"/>
          <w:lang/>
        </w:rPr>
        <w:t>10</w:t>
      </w:r>
      <w:r>
        <w:rPr>
          <w:rFonts w:ascii="楷体" w:hAnsi="楷体" w:eastAsia="楷体"/>
          <w:sz w:val="28"/>
          <w:szCs w:val="28"/>
          <w:lang/>
        </w:rPr>
        <w:fldChar w:fldCharType="end"/>
      </w:r>
      <w:r>
        <w:rPr>
          <w:rStyle w:val="34"/>
          <w:rFonts w:ascii="楷体" w:hAnsi="楷体" w:eastAsia="楷体"/>
          <w:sz w:val="28"/>
          <w:szCs w:val="28"/>
          <w:lang/>
        </w:rPr>
        <w:fldChar w:fldCharType="end"/>
      </w:r>
    </w:p>
    <w:p w14:paraId="415468E0">
      <w:pPr>
        <w:pStyle w:val="19"/>
        <w:tabs>
          <w:tab w:val="right" w:leader="dot" w:pos="9060"/>
        </w:tabs>
        <w:spacing w:line="500" w:lineRule="exact"/>
        <w:rPr>
          <w:rFonts w:ascii="楷体" w:hAnsi="楷体" w:eastAsia="楷体" w:cs="Times New Roman"/>
          <w: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"_Toc221711036"</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附 件</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_Toc221711036 \h </w:instrText>
      </w:r>
      <w:r>
        <w:rPr>
          <w:rFonts w:ascii="楷体" w:hAnsi="楷体" w:eastAsia="楷体"/>
          <w:sz w:val="28"/>
          <w:szCs w:val="28"/>
          <w:lang/>
        </w:rPr>
        <w:fldChar w:fldCharType="separate"/>
      </w:r>
      <w:r>
        <w:rPr>
          <w:rFonts w:ascii="楷体" w:hAnsi="楷体" w:eastAsia="楷体"/>
          <w:sz w:val="28"/>
          <w:szCs w:val="28"/>
          <w:lang/>
        </w:rPr>
        <w:t>1</w:t>
      </w:r>
      <w:r>
        <w:rPr>
          <w:rFonts w:hint="eastAsia" w:ascii="楷体" w:hAnsi="楷体" w:eastAsia="楷体"/>
          <w:sz w:val="28"/>
          <w:szCs w:val="28"/>
          <w:lang w:val="en-US" w:eastAsia="zh-CN"/>
        </w:rPr>
        <w:t>1</w:t>
      </w:r>
      <w:r>
        <w:rPr>
          <w:rFonts w:ascii="楷体" w:hAnsi="楷体" w:eastAsia="楷体"/>
          <w:sz w:val="28"/>
          <w:szCs w:val="28"/>
          <w:lang/>
        </w:rPr>
        <w:fldChar w:fldCharType="end"/>
      </w:r>
      <w:r>
        <w:rPr>
          <w:rStyle w:val="34"/>
          <w:rFonts w:ascii="楷体" w:hAnsi="楷体" w:eastAsia="楷体"/>
          <w:sz w:val="28"/>
          <w:szCs w:val="28"/>
          <w:lang/>
        </w:rPr>
        <w:fldChar w:fldCharType="end"/>
      </w:r>
    </w:p>
    <w:p w14:paraId="43A03DE3">
      <w:r>
        <w:rPr>
          <w:b/>
          <w:bCs/>
          <w:lang w:val="zh-CN"/>
        </w:rPr>
        <w:fldChar w:fldCharType="end"/>
      </w:r>
    </w:p>
    <w:p w14:paraId="41A298CE"/>
    <w:p w14:paraId="2672F6AC">
      <w:pPr>
        <w:rPr>
          <w:rFonts w:ascii="楷体" w:hAnsi="楷体" w:eastAsia="楷体"/>
          <w:bCs/>
          <w:sz w:val="44"/>
          <w:szCs w:val="44"/>
        </w:rPr>
        <w:sectPr>
          <w:footerReference r:id="rId6" w:type="default"/>
          <w:pgSz w:w="11906" w:h="16838"/>
          <w:pgMar w:top="1418" w:right="1134" w:bottom="1134" w:left="1418" w:header="851" w:footer="851" w:gutter="284"/>
          <w:pgNumType w:start="1" w:chapStyle="1"/>
          <w:cols w:space="720" w:num="1"/>
          <w:docGrid w:type="lines" w:linePitch="312" w:charSpace="0"/>
        </w:sectPr>
      </w:pPr>
    </w:p>
    <w:p w14:paraId="383CF756">
      <w:pPr>
        <w:spacing w:before="312" w:beforeLines="100" w:after="156" w:afterLines="50" w:line="360" w:lineRule="auto"/>
        <w:jc w:val="center"/>
        <w:outlineLvl w:val="0"/>
        <w:rPr>
          <w:rFonts w:hint="eastAsia" w:ascii="楷体" w:hAnsi="楷体" w:eastAsia="楷体"/>
          <w:bCs/>
          <w:sz w:val="28"/>
          <w:szCs w:val="28"/>
        </w:rPr>
      </w:pPr>
      <w:bookmarkStart w:id="12" w:name="_Toc505087745"/>
      <w:bookmarkStart w:id="13" w:name="_Toc484941653"/>
      <w:bookmarkStart w:id="14" w:name="_Toc221710848"/>
      <w:bookmarkStart w:id="15" w:name="_Toc221711014"/>
      <w:r>
        <w:rPr>
          <w:rFonts w:hint="eastAsia" w:ascii="楷体" w:hAnsi="楷体" w:eastAsia="楷体"/>
          <w:b/>
          <w:bCs/>
          <w:sz w:val="48"/>
          <w:szCs w:val="48"/>
        </w:rPr>
        <w:t>估价师声明</w:t>
      </w:r>
      <w:bookmarkEnd w:id="12"/>
      <w:bookmarkEnd w:id="13"/>
      <w:bookmarkEnd w:id="14"/>
      <w:bookmarkEnd w:id="15"/>
    </w:p>
    <w:p w14:paraId="2A81D1AD">
      <w:pPr>
        <w:spacing w:line="500" w:lineRule="exact"/>
        <w:jc w:val="left"/>
        <w:rPr>
          <w:rFonts w:hint="eastAsia" w:ascii="楷体" w:hAnsi="楷体" w:eastAsia="楷体"/>
          <w:bCs/>
          <w:sz w:val="28"/>
          <w:szCs w:val="28"/>
        </w:rPr>
      </w:pPr>
      <w:r>
        <w:rPr>
          <w:rFonts w:hint="eastAsia" w:ascii="楷体" w:hAnsi="楷体" w:eastAsia="楷体"/>
          <w:bCs/>
          <w:sz w:val="28"/>
          <w:szCs w:val="28"/>
        </w:rPr>
        <w:t>估价师郑重声明：</w:t>
      </w:r>
    </w:p>
    <w:p w14:paraId="56B16D52">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1.注册房地产估价师在本估价报告中陈述的事实是真实和准确的，没有虚假记载、误导性陈述和重大遗漏。</w:t>
      </w:r>
    </w:p>
    <w:p w14:paraId="5A870D28">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2.本估价报告中的分析、意见和结论是注册房地产估价师独立、客观、公正的专业分析、意见和结论，在估价中做到勤勉尽责，但受到本估价报告中已说明的估价假设和限制条件的限制。</w:t>
      </w:r>
    </w:p>
    <w:p w14:paraId="77FEECFA">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3.注册房地产估价师与估价报告中的估价委托人没有利害关系，与估价报告中的估价对象及有关当事人也没有个人利害关系或偏见。</w:t>
      </w:r>
    </w:p>
    <w:p w14:paraId="014FE70A">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4.注册房地产估价师依照中华人民共和国国家标准《房地产估价规范》（GB/T50291-2015）、《房地产估价基本术语标准》（GB/T50899-2013）进行分析，形成意见和结论，撰写本估价报告。</w:t>
      </w:r>
    </w:p>
    <w:p w14:paraId="5BA0EC10">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注册房地产估价师及现场查勘记录人员郑伟娜已对本报告中的估价对象进行了实地查勘。但仅限于对估价对象的外观和使用状况。注册房地产估价师不承担对估价对象建筑结构、质量进行调查的责任，也不承担其他被遮盖未暴露及难以接触到的部分进行查勘的责任。报告中对估价对象权属情况的披露不能作为对其权属确认的依据，估价对象权属界定以有关管理部门认定为准。</w:t>
      </w:r>
      <w:r>
        <w:rPr>
          <w:rFonts w:hint="eastAsia" w:ascii="楷体" w:hAnsi="楷体" w:eastAsia="楷体"/>
          <w:sz w:val="28"/>
          <w:szCs w:val="28"/>
          <w:lang w:val="en-US" w:eastAsia="zh-CN"/>
        </w:rPr>
        <w:t/>
      </w:r>
      <w:r>
        <w:rPr>
          <w:rFonts w:hint="eastAsia" w:ascii="楷体" w:hAnsi="楷体" w:eastAsia="楷体"/>
          <w:bCs/>
          <w:sz w:val="28"/>
          <w:szCs w:val="28"/>
        </w:rPr>
        <w:t/>
      </w:r>
      <w:r>
        <w:rPr>
          <w:rFonts w:hint="eastAsia" w:ascii="楷体" w:hAnsi="楷体" w:eastAsia="楷体"/>
          <w:sz w:val="28"/>
          <w:szCs w:val="28"/>
        </w:rPr>
        <w:t/>
      </w:r>
      <w:r>
        <w:rPr>
          <w:rFonts w:hint="eastAsia" w:ascii="楷体" w:hAnsi="楷体" w:eastAsia="楷体"/>
          <w:bCs/>
          <w:sz w:val="28"/>
          <w:szCs w:val="28"/>
        </w:rPr>
        <w:t/>
      </w:r>
    </w:p>
    <w:tbl>
      <w:tblPr>
        <w:tblStyle w:val="28"/>
        <w:tblW w:w="908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283"/>
      </w:tblGrid>
      <w:tr w14:paraId="2B2ACA0C">
        <w:trPr>
          <w:wBefore w:w="0" w:type="auto"/>
          <w:wAfter w:w="0" w:type="auto"/>
          <w:trHeight w:val="611" w:hRule="exact"/>
        </w:trPr>
        <w:tc>
          <w:tcPr>
            <w:tcW w:w="1640" w:type="dxa"/>
            <w:noWrap w:val="0"/>
            <w:vAlign w:val="center"/>
          </w:tcPr>
          <w:p w14:paraId="33EB474D">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r>
              <w:rPr>
                <w:rFonts w:hint="eastAsia" w:ascii="楷体" w:hAnsi="楷体" w:eastAsia="楷体" w:cs="宋体"/>
                <w:sz w:val="28"/>
                <w:szCs w:val="28"/>
              </w:rPr>
              <w:t>姓 名</w:t>
            </w:r>
          </w:p>
        </w:tc>
        <w:tc>
          <w:tcPr>
            <w:tcW w:w="2092" w:type="dxa"/>
            <w:noWrap w:val="0"/>
            <w:vAlign w:val="center"/>
          </w:tcPr>
          <w:p w14:paraId="24DAF4F5">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4701D25F">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283" w:type="dxa"/>
            <w:noWrap w:val="0"/>
            <w:vAlign w:val="center"/>
          </w:tcPr>
          <w:p w14:paraId="1AF5894D">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1EC9A2B2">
        <w:trPr>
          <w:wBefore w:w="0" w:type="auto"/>
          <w:wAfter w:w="0" w:type="auto"/>
          <w:trHeight w:val="1259" w:hRule="exact"/>
        </w:trPr>
        <w:tc>
          <w:tcPr>
            <w:tcW w:w="1640" w:type="dxa"/>
            <w:noWrap w:val="0"/>
            <w:vAlign w:val="center"/>
          </w:tcPr>
          <w:p w14:paraId="65FE49BC">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52C2FD73">
            <w:pPr>
              <w:tabs>
                <w:tab w:val="left" w:pos="8931"/>
                <w:tab w:val="left" w:pos="9214"/>
                <w:tab w:val="left" w:pos="9240"/>
              </w:tabs>
              <w:spacing w:line="440" w:lineRule="exact"/>
              <w:ind w:left="105" w:leftChars="50" w:right="168" w:rightChars="80"/>
              <w:rPr>
                <w:rFonts w:hint="eastAsia"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53997559">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15E6813A">
            <w:pPr>
              <w:tabs>
                <w:tab w:val="left" w:pos="8931"/>
                <w:tab w:val="left" w:pos="9214"/>
                <w:tab w:val="left" w:pos="9240"/>
              </w:tabs>
              <w:spacing w:line="440" w:lineRule="exact"/>
              <w:ind w:left="105" w:leftChars="50" w:right="168" w:rightChars="80"/>
              <w:rPr>
                <w:rFonts w:ascii="楷体" w:hAnsi="楷体" w:eastAsia="楷体"/>
                <w:sz w:val="28"/>
              </w:rPr>
            </w:pPr>
          </w:p>
        </w:tc>
      </w:tr>
      <w:tr w14:paraId="4C8716D0">
        <w:trPr>
          <w:wBefore w:w="0" w:type="auto"/>
          <w:wAfter w:w="0" w:type="auto"/>
          <w:trHeight w:val="1406" w:hRule="exact"/>
        </w:trPr>
        <w:tc>
          <w:tcPr>
            <w:tcW w:w="1640" w:type="dxa"/>
            <w:noWrap w:val="0"/>
            <w:vAlign w:val="center"/>
          </w:tcPr>
          <w:p w14:paraId="1F561FB6">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4469459A">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31427809">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3DC03BEE">
            <w:pPr>
              <w:tabs>
                <w:tab w:val="left" w:pos="8931"/>
                <w:tab w:val="left" w:pos="9214"/>
                <w:tab w:val="left" w:pos="9240"/>
              </w:tabs>
              <w:spacing w:line="440" w:lineRule="exact"/>
              <w:ind w:left="105" w:leftChars="50" w:right="168" w:rightChars="80"/>
              <w:rPr>
                <w:rFonts w:ascii="楷体" w:hAnsi="楷体" w:eastAsia="楷体"/>
                <w:sz w:val="28"/>
              </w:rPr>
            </w:pPr>
          </w:p>
        </w:tc>
      </w:tr>
    </w:tbl>
    <w:p w14:paraId="1D404685">
      <w:pPr>
        <w:spacing w:before="312" w:beforeLines="100" w:after="156" w:afterLines="50" w:line="240" w:lineRule="exact"/>
        <w:outlineLvl w:val="0"/>
        <w:rPr>
          <w:rFonts w:hint="eastAsia" w:ascii="楷体" w:hAnsi="楷体" w:eastAsia="楷体"/>
          <w:b/>
          <w:bCs/>
          <w:sz w:val="48"/>
          <w:szCs w:val="48"/>
        </w:rPr>
      </w:pPr>
      <w:bookmarkStart w:id="16" w:name="_Toc505087746"/>
      <w:bookmarkStart w:id="17" w:name="_Toc484941654"/>
    </w:p>
    <w:p w14:paraId="4AF36CC7">
      <w:pPr>
        <w:spacing w:after="156" w:afterLines="50" w:line="360" w:lineRule="auto"/>
        <w:ind w:firstLine="2402" w:firstLineChars="500"/>
        <w:outlineLvl w:val="0"/>
        <w:rPr>
          <w:rFonts w:ascii="楷体" w:hAnsi="楷体" w:eastAsia="楷体"/>
          <w:b/>
          <w:bCs/>
          <w:sz w:val="48"/>
          <w:szCs w:val="48"/>
        </w:rPr>
        <w:sectPr>
          <w:footerReference r:id="rId7" w:type="default"/>
          <w:pgSz w:w="11906" w:h="16838"/>
          <w:pgMar w:top="1418" w:right="1134" w:bottom="1134" w:left="1418" w:header="851" w:footer="851" w:gutter="284"/>
          <w:pgNumType w:start="1" w:chapStyle="1"/>
          <w:cols w:space="720" w:num="1"/>
          <w:docGrid w:type="lines" w:linePitch="312" w:charSpace="0"/>
        </w:sectPr>
      </w:pPr>
    </w:p>
    <w:p w14:paraId="6D8C159C">
      <w:pPr>
        <w:spacing w:before="468" w:beforeLines="150" w:line="480" w:lineRule="auto"/>
        <w:ind w:firstLine="2402" w:firstLineChars="500"/>
        <w:outlineLvl w:val="0"/>
        <w:rPr>
          <w:rFonts w:hint="eastAsia" w:ascii="楷体" w:hAnsi="楷体" w:eastAsia="楷体"/>
          <w:b/>
          <w:bCs/>
          <w:sz w:val="48"/>
          <w:szCs w:val="48"/>
        </w:rPr>
      </w:pPr>
      <w:bookmarkStart w:id="18" w:name="_Toc221711015"/>
      <w:bookmarkStart w:id="19" w:name="_Toc221710849"/>
      <w:r>
        <w:rPr>
          <w:rFonts w:hint="eastAsia" w:ascii="楷体" w:hAnsi="楷体" w:eastAsia="楷体"/>
          <w:b/>
          <w:bCs/>
          <w:sz w:val="48"/>
          <w:szCs w:val="48"/>
        </w:rPr>
        <w:t>估价假设和限制条件</w:t>
      </w:r>
      <w:bookmarkEnd w:id="16"/>
      <w:bookmarkEnd w:id="17"/>
      <w:bookmarkEnd w:id="18"/>
      <w:bookmarkEnd w:id="19"/>
    </w:p>
    <w:p w14:paraId="52FCF395">
      <w:pPr>
        <w:spacing w:before="156" w:beforeLines="50" w:line="510" w:lineRule="exact"/>
        <w:jc w:val="left"/>
        <w:outlineLvl w:val="1"/>
        <w:rPr>
          <w:rFonts w:hint="eastAsia" w:ascii="楷体" w:hAnsi="楷体" w:eastAsia="楷体"/>
          <w:b/>
          <w:bCs/>
          <w:sz w:val="28"/>
          <w:szCs w:val="28"/>
        </w:rPr>
      </w:pPr>
      <w:bookmarkStart w:id="20" w:name="_Toc484941655"/>
      <w:bookmarkStart w:id="21" w:name="_Toc221711016"/>
      <w:bookmarkStart w:id="22" w:name="_Toc505087747"/>
      <w:bookmarkStart w:id="23" w:name="_Toc221710850"/>
      <w:r>
        <w:rPr>
          <w:rFonts w:hint="eastAsia" w:ascii="楷体" w:hAnsi="楷体" w:eastAsia="楷体"/>
          <w:b/>
          <w:bCs/>
          <w:sz w:val="28"/>
          <w:szCs w:val="28"/>
        </w:rPr>
        <w:t>一、一般性假设</w:t>
      </w:r>
      <w:bookmarkEnd w:id="20"/>
      <w:bookmarkEnd w:id="21"/>
      <w:bookmarkEnd w:id="22"/>
      <w:bookmarkEnd w:id="23"/>
    </w:p>
    <w:p w14:paraId="709BDDBC">
      <w:pPr>
        <w:spacing w:line="51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估价委托人提供了估价对象的《委托评估协议书》复印件及其有关资料，我们在无理由怀疑其合法性、真实性、准确性和完整性的情况下，假定估价委托人提供的资料合法、真实、准确、完整，因不实造成的影响本公司不承担任何责任。</w:t>
      </w:r>
    </w:p>
    <w:p w14:paraId="46293E81">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2.注册房地产估价师已对房屋安全、环境污染等影响估价对象价值的重大因素给予了关注，在无理由怀疑估价对象存在安全隐患且无相应的专业机构进行鉴定、检测的情况下，假定估价对象能正常安全使用。</w:t>
      </w:r>
    </w:p>
    <w:p w14:paraId="2A7C9F10">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3.估价对象在价值时点的房地产市场为公开、平等、自愿的交易市场，即能满足以下条件：</w:t>
      </w:r>
    </w:p>
    <w:p w14:paraId="37E60C82">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（1）交易双方自愿地进行交易；</w:t>
      </w:r>
    </w:p>
    <w:p w14:paraId="2E290532">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（2）交易双方精明、谨慎行事，并了解交易对象、知晓市场行情；</w:t>
      </w:r>
    </w:p>
    <w:p w14:paraId="65C4EDEE">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（3）交易双方有较充裕的时间进行交易；</w:t>
      </w:r>
    </w:p>
    <w:p w14:paraId="4701F6AE">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（4）不存在买方因特殊兴趣而给予附加出价。</w:t>
      </w:r>
    </w:p>
    <w:p w14:paraId="39B4256D">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4</w:t>
      </w:r>
      <w:r>
        <w:rPr>
          <w:rFonts w:hint="eastAsia" w:ascii="楷体" w:hAnsi="楷体" w:eastAsia="楷体"/>
          <w:bCs/>
          <w:sz w:val="28"/>
          <w:szCs w:val="28"/>
        </w:rPr>
        <w:t>.估价时未考虑估价对象抵押、租赁、债务等对估价结果的影响。</w:t>
      </w:r>
      <w:bookmarkStart w:id="24" w:name="_Toc505087748"/>
      <w:bookmarkStart w:id="25" w:name="_Toc484941656"/>
    </w:p>
    <w:p w14:paraId="1A9D02CE">
      <w:pPr>
        <w:spacing w:line="510" w:lineRule="exact"/>
        <w:ind w:firstLine="560" w:firstLineChars="200"/>
        <w:jc w:val="left"/>
        <w:rPr>
          <w:rFonts w:ascii="楷体" w:hAnsi="楷体" w:eastAsia="楷体"/>
          <w:sz w:val="28"/>
          <w:szCs w:val="24"/>
        </w:rPr>
      </w:pPr>
      <w:r>
        <w:rPr>
          <w:rFonts w:hint="eastAsia" w:ascii="楷体" w:hAnsi="楷体" w:eastAsia="楷体"/>
          <w:sz w:val="28"/>
          <w:szCs w:val="24"/>
          <w:lang w:val="en-US" w:eastAsia="zh-CN"/>
        </w:rPr>
        <w:t>5</w:t>
      </w:r>
      <w:r>
        <w:rPr>
          <w:rFonts w:hint="eastAsia" w:ascii="楷体" w:hAnsi="楷体" w:eastAsia="楷体"/>
          <w:sz w:val="28"/>
          <w:szCs w:val="24"/>
        </w:rPr>
        <w:t>.本估价报告中估价对象在价值时点</w:t>
      </w:r>
      <w:r>
        <w:rPr>
          <w:rFonts w:hint="eastAsia" w:ascii="楷体" w:hAnsi="楷体" w:eastAsia="楷体"/>
          <w:sz w:val="28"/>
          <w:szCs w:val="24"/>
          <w:lang w:eastAsia="zh-CN"/>
        </w:rPr>
        <w:t>的状况</w:t>
      </w:r>
      <w:r>
        <w:rPr>
          <w:rFonts w:hint="eastAsia" w:ascii="楷体" w:hAnsi="楷体" w:eastAsia="楷体"/>
          <w:sz w:val="28"/>
          <w:szCs w:val="24"/>
        </w:rPr>
        <w:t>与完成实地勘查之日一致。</w:t>
      </w:r>
    </w:p>
    <w:p w14:paraId="5D763FBC">
      <w:pPr>
        <w:spacing w:before="156" w:beforeLines="50" w:line="510" w:lineRule="exact"/>
        <w:jc w:val="left"/>
        <w:outlineLvl w:val="1"/>
        <w:rPr>
          <w:rFonts w:hint="eastAsia" w:ascii="楷体" w:hAnsi="楷体" w:eastAsia="楷体"/>
          <w:b/>
          <w:bCs/>
          <w:sz w:val="28"/>
          <w:szCs w:val="28"/>
        </w:rPr>
      </w:pPr>
      <w:bookmarkStart w:id="26" w:name="_Toc221710851"/>
      <w:bookmarkStart w:id="27" w:name="_Toc221711017"/>
      <w:r>
        <w:rPr>
          <w:rFonts w:hint="eastAsia" w:ascii="楷体" w:hAnsi="楷体" w:eastAsia="楷体"/>
          <w:b/>
          <w:bCs/>
          <w:sz w:val="28"/>
          <w:szCs w:val="28"/>
        </w:rPr>
        <w:t>二、未定事项假设</w:t>
      </w:r>
      <w:bookmarkEnd w:id="24"/>
      <w:bookmarkEnd w:id="25"/>
      <w:bookmarkEnd w:id="26"/>
      <w:bookmarkEnd w:id="27"/>
    </w:p>
    <w:p w14:paraId="708AC462">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未定事项假设指对估价所必需的尚未明确或不够明确的土地用途、容积率等事项所做的合理的、最可能的假定。本次估价无未定事项假设。</w:t>
      </w:r>
    </w:p>
    <w:p w14:paraId="5B984810">
      <w:pPr>
        <w:spacing w:before="156" w:beforeLines="50" w:line="510" w:lineRule="exact"/>
        <w:jc w:val="left"/>
        <w:outlineLvl w:val="1"/>
        <w:rPr>
          <w:rFonts w:hint="eastAsia" w:ascii="楷体" w:hAnsi="楷体" w:eastAsia="楷体"/>
          <w:b/>
          <w:bCs/>
          <w:sz w:val="28"/>
          <w:szCs w:val="28"/>
        </w:rPr>
      </w:pPr>
      <w:bookmarkStart w:id="28" w:name="_Toc505087749"/>
      <w:bookmarkStart w:id="29" w:name="_Toc221710852"/>
      <w:bookmarkStart w:id="30" w:name="_Toc484941657"/>
      <w:bookmarkStart w:id="31" w:name="_Toc221711018"/>
      <w:r>
        <w:rPr>
          <w:rFonts w:hint="eastAsia" w:ascii="楷体" w:hAnsi="楷体" w:eastAsia="楷体"/>
          <w:b/>
          <w:bCs/>
          <w:sz w:val="28"/>
          <w:szCs w:val="28"/>
        </w:rPr>
        <w:t>三、背离事实假设</w:t>
      </w:r>
      <w:bookmarkEnd w:id="28"/>
      <w:bookmarkEnd w:id="29"/>
      <w:bookmarkEnd w:id="30"/>
      <w:bookmarkEnd w:id="31"/>
    </w:p>
    <w:p w14:paraId="609881B8">
      <w:pPr>
        <w:spacing w:line="510" w:lineRule="exact"/>
        <w:ind w:firstLine="560" w:firstLineChars="200"/>
        <w:jc w:val="left"/>
        <w:rPr>
          <w:rFonts w:hint="eastAsia" w:ascii="楷体" w:hAnsi="楷体" w:eastAsia="楷体"/>
          <w:bCs/>
          <w:kern w:val="2"/>
          <w:sz w:val="28"/>
          <w:szCs w:val="28"/>
          <w:lang w:val="en-US" w:eastAsia="zh-CN" w:bidi="ar-SA"/>
        </w:rPr>
      </w:pPr>
      <w:bookmarkStart w:id="32" w:name="_Toc484941658"/>
      <w:bookmarkStart w:id="33" w:name="_Toc221710853"/>
      <w:bookmarkStart w:id="34" w:name="_Toc221711019"/>
      <w:bookmarkStart w:id="35" w:name="_Toc505087750"/>
      <w:r>
        <w:rPr>
          <w:rFonts w:hint="eastAsia" w:ascii="楷体" w:hAnsi="楷体" w:eastAsia="楷体" w:cs="宋体"/>
          <w:kern w:val="2"/>
          <w:sz w:val="28"/>
          <w:szCs w:val="28"/>
          <w:lang w:val="en-US" w:eastAsia="zh-CN" w:bidi="ar-SA"/>
        </w:rPr>
        <w:t>背离事实假设是指因估价目的的特殊需要、交易条件设定或约定，对估价对象状况所做的与估价对象在价值时点的状况不一致的合理假定。本次估价无背离事实假设。</w:t>
      </w:r>
    </w:p>
    <w:p w14:paraId="05610553">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四、不相一致假设</w:t>
      </w:r>
      <w:bookmarkEnd w:id="32"/>
      <w:bookmarkEnd w:id="33"/>
      <w:bookmarkEnd w:id="34"/>
      <w:bookmarkEnd w:id="35"/>
    </w:p>
    <w:p w14:paraId="77E78524">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不相一致假设是指在估价对象的实际用途、房屋登记用途、土地登记用途、规划用途等用途之间不一致，或房屋权属证明、土地权属证明等的权利人之间不一致，估价对象的名称不一致等情况下，对估价所依据的用途或权利人、名称等的合理假定。</w:t>
      </w:r>
      <w:bookmarkStart w:id="36" w:name="OLE_LINK11"/>
      <w:r>
        <w:rPr>
          <w:rFonts w:hint="eastAsia" w:ascii="楷体" w:hAnsi="楷体" w:eastAsia="楷体"/>
          <w:bCs/>
          <w:sz w:val="28"/>
          <w:szCs w:val="28"/>
        </w:rPr>
        <w:t>本次估价无不</w:t>
      </w:r>
      <w:bookmarkEnd w:id="36"/>
      <w:r>
        <w:rPr>
          <w:rFonts w:hint="eastAsia" w:ascii="楷体" w:hAnsi="楷体" w:eastAsia="楷体"/>
          <w:bCs/>
          <w:sz w:val="28"/>
          <w:szCs w:val="28"/>
        </w:rPr>
        <w:t>相一致假设。</w:t>
      </w:r>
    </w:p>
    <w:p w14:paraId="721325F8">
      <w:pPr>
        <w:spacing w:before="156" w:beforeLines="50" w:line="510" w:lineRule="exact"/>
        <w:jc w:val="left"/>
        <w:outlineLvl w:val="1"/>
        <w:rPr>
          <w:rFonts w:hint="eastAsia" w:ascii="楷体" w:hAnsi="楷体" w:eastAsia="楷体"/>
          <w:b/>
          <w:bCs/>
          <w:sz w:val="28"/>
          <w:szCs w:val="28"/>
        </w:rPr>
      </w:pPr>
      <w:bookmarkStart w:id="37" w:name="_Toc505087751"/>
      <w:bookmarkStart w:id="38" w:name="_Toc221710854"/>
      <w:bookmarkStart w:id="39" w:name="_Toc221711020"/>
      <w:bookmarkStart w:id="40" w:name="_Toc484941659"/>
      <w:r>
        <w:rPr>
          <w:rFonts w:hint="eastAsia" w:ascii="楷体" w:hAnsi="楷体" w:eastAsia="楷体"/>
          <w:b/>
          <w:bCs/>
          <w:sz w:val="28"/>
          <w:szCs w:val="28"/>
        </w:rPr>
        <w:t>五、依据不足假设</w:t>
      </w:r>
      <w:bookmarkEnd w:id="37"/>
      <w:bookmarkEnd w:id="38"/>
      <w:bookmarkEnd w:id="39"/>
      <w:bookmarkEnd w:id="40"/>
    </w:p>
    <w:p w14:paraId="3F20A2DB">
      <w:pPr>
        <w:spacing w:line="510" w:lineRule="exact"/>
        <w:ind w:firstLine="560" w:firstLineChars="200"/>
        <w:jc w:val="left"/>
      </w:pPr>
      <w:bookmarkStart w:id="41" w:name="_Toc221711021"/>
      <w:bookmarkStart w:id="42" w:name="_Toc221710855"/>
      <w:bookmarkStart w:id="43" w:name="_Toc505087752"/>
      <w:bookmarkStart w:id="44" w:name="_Toc484941660"/>
      <w:r>
        <w:rPr>
          <w:rFonts w:hint="eastAsia" w:ascii="楷体" w:hAnsi="楷体" w:eastAsia="楷体" w:cs="宋体"/>
          <w:kern w:val="2"/>
          <w:sz w:val="28"/>
          <w:szCs w:val="28"/>
          <w:lang w:val="en-US" w:eastAsia="zh-CN" w:bidi="ar-SA"/>
        </w:rPr>
        <w:t>依据不足假设是指在估价委托人无法提供估价所必需的反映估价对象状况的资料以及注册房地产估价师进行了尽职调查仍然难以取得该资料的情况下，对缺少该资料及对相应的估价对象状况的合理假定。本次估价对象建筑面积按《委托评估协议书》复印件为准，委托人确认房屋建筑面积为130平方米（其中义蓬中路477号房屋建筑面积60平方米、487号房屋建筑面积70平方米），用途为商业。</w:t>
      </w:r>
    </w:p>
    <w:p w14:paraId="3EB45F68">
      <w:pPr>
        <w:spacing w:line="50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bCs/>
          <w:color w:val="auto"/>
          <w:sz w:val="28"/>
          <w:szCs w:val="28"/>
        </w:rPr>
        <w:t>若离开上述前提，本次估价结果应作相应调整乃至重新评估。</w:t>
      </w:r>
    </w:p>
    <w:p w14:paraId="1F578206">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六、报告使用限制条件</w:t>
      </w:r>
      <w:bookmarkEnd w:id="41"/>
      <w:bookmarkEnd w:id="42"/>
      <w:bookmarkEnd w:id="43"/>
      <w:bookmarkEnd w:id="44"/>
    </w:p>
    <w:p w14:paraId="00570488">
      <w:pPr>
        <w:spacing w:line="510" w:lineRule="exact"/>
        <w:ind w:firstLine="560" w:firstLineChars="200"/>
        <w:jc w:val="left"/>
        <w:rPr>
          <w:rFonts w:ascii="楷体" w:hAnsi="楷体" w:eastAsia="楷体"/>
          <w:b/>
          <w:bCs/>
          <w:sz w:val="28"/>
          <w:szCs w:val="28"/>
        </w:rPr>
      </w:pPr>
      <w:r>
        <w:rPr>
          <w:rFonts w:hint="eastAsia" w:ascii="楷体" w:hAnsi="楷体" w:eastAsia="楷体"/>
          <w:sz w:val="28"/>
          <w:szCs w:val="24"/>
        </w:rPr>
        <w:t>1.本估价机构的估价范围由委托人指认</w:t>
      </w:r>
      <w:r>
        <w:rPr>
          <w:rFonts w:hint="eastAsia" w:ascii="楷体" w:hAnsi="楷体" w:eastAsia="楷体"/>
          <w:sz w:val="28"/>
          <w:szCs w:val="24"/>
          <w:lang w:eastAsia="zh-CN"/>
        </w:rPr>
        <w:t>，</w:t>
      </w:r>
      <w:r>
        <w:rPr>
          <w:rFonts w:hint="eastAsia" w:ascii="楷体" w:hAnsi="楷体" w:eastAsia="楷体"/>
          <w:sz w:val="28"/>
          <w:szCs w:val="24"/>
          <w:lang w:val="en-US" w:eastAsia="zh-CN"/>
        </w:rPr>
        <w:t>并由</w:t>
      </w:r>
      <w:r>
        <w:rPr>
          <w:rFonts w:hint="eastAsia" w:ascii="楷体" w:hAnsi="楷体" w:eastAsia="楷体"/>
          <w:sz w:val="28"/>
          <w:szCs w:val="28"/>
          <w:lang w:val="en-US" w:eastAsia="zh-CN"/>
        </w:rPr>
        <w:t>现场查勘记录人员郑伟娜记录</w:t>
      </w:r>
      <w:r>
        <w:rPr>
          <w:rFonts w:hint="eastAsia" w:ascii="楷体" w:hAnsi="楷体" w:eastAsia="楷体"/>
          <w:sz w:val="28"/>
          <w:szCs w:val="24"/>
        </w:rPr>
        <w:t>，如与实际需估价范围有出入，应以</w:t>
      </w:r>
      <w:r>
        <w:rPr>
          <w:rFonts w:hint="eastAsia" w:ascii="楷体" w:hAnsi="楷体" w:eastAsia="楷体"/>
          <w:sz w:val="28"/>
          <w:szCs w:val="24"/>
          <w:lang w:eastAsia="zh-CN"/>
        </w:rPr>
        <w:t>书面形式</w:t>
      </w:r>
      <w:r>
        <w:rPr>
          <w:rFonts w:hint="eastAsia" w:ascii="楷体" w:hAnsi="楷体" w:eastAsia="楷体"/>
          <w:sz w:val="28"/>
          <w:szCs w:val="24"/>
        </w:rPr>
        <w:t>告知，估价结果也做相应调整。</w:t>
      </w:r>
    </w:p>
    <w:p w14:paraId="43EBAC8D">
      <w:pPr>
        <w:spacing w:line="500" w:lineRule="exact"/>
        <w:ind w:right="97" w:rightChars="46"/>
        <w:rPr>
          <w:rFonts w:hint="eastAsia" w:ascii="楷体" w:hAnsi="楷体" w:eastAsia="楷体"/>
          <w:sz w:val="28"/>
          <w:szCs w:val="24"/>
        </w:rPr>
      </w:pPr>
      <w:r>
        <w:rPr>
          <w:rFonts w:hint="eastAsia" w:ascii="楷体" w:hAnsi="楷体" w:eastAsia="楷体"/>
          <w:sz w:val="28"/>
          <w:szCs w:val="24"/>
        </w:rPr>
        <w:t xml:space="preserve">    2.本估价报告依据了估价委托人提供的相关资料。估价委托人应对资料的真实性、合法性、准确性和完整性负责，如以隐瞒、欺骗等不正当手段，致使估价人员在报告中选用了错误的数据和内容，相应责任由估价委托人承担。</w:t>
      </w:r>
    </w:p>
    <w:p w14:paraId="0958F463">
      <w:pPr>
        <w:spacing w:line="500" w:lineRule="exact"/>
        <w:ind w:right="97" w:rightChars="46" w:firstLine="560" w:firstLineChars="200"/>
        <w:rPr>
          <w:rFonts w:hint="eastAsia" w:ascii="楷体" w:hAnsi="楷体" w:eastAsia="楷体"/>
          <w:sz w:val="28"/>
          <w:szCs w:val="24"/>
        </w:rPr>
      </w:pPr>
      <w:r>
        <w:rPr>
          <w:rFonts w:hint="eastAsia" w:ascii="楷体" w:hAnsi="楷体" w:eastAsia="楷体"/>
          <w:sz w:val="28"/>
          <w:szCs w:val="24"/>
        </w:rPr>
        <w:t>3.本估价报告的估价结果为满足全部假设与限制条件下的价值。</w:t>
      </w:r>
    </w:p>
    <w:p w14:paraId="2FA24918">
      <w:pPr>
        <w:spacing w:line="560" w:lineRule="exact"/>
        <w:ind w:firstLine="560"/>
        <w:rPr>
          <w:rFonts w:hint="eastAsia" w:ascii="楷体" w:hAnsi="楷体" w:eastAsia="楷体"/>
          <w:sz w:val="28"/>
          <w:szCs w:val="24"/>
        </w:rPr>
      </w:pPr>
      <w:r>
        <w:rPr>
          <w:rFonts w:hint="eastAsia" w:ascii="楷体" w:hAnsi="楷体" w:eastAsia="楷体"/>
          <w:sz w:val="28"/>
          <w:szCs w:val="24"/>
        </w:rPr>
        <w:t>4.本次估价结果仅</w:t>
      </w:r>
      <w:r>
        <w:rPr>
          <w:rFonts w:hint="eastAsia" w:ascii="楷体" w:hAnsi="楷体" w:eastAsia="楷体" w:cs="仿宋"/>
          <w:sz w:val="28"/>
          <w:szCs w:val="28"/>
        </w:rPr>
        <w:t>为委托人确定拟出租房地产市场租金提供价格参考</w:t>
      </w:r>
      <w:r>
        <w:rPr>
          <w:rFonts w:hint="eastAsia" w:ascii="楷体" w:hAnsi="楷体" w:eastAsia="楷体" w:cs="宋体"/>
          <w:sz w:val="28"/>
          <w:szCs w:val="28"/>
        </w:rPr>
        <w:t>，</w:t>
      </w:r>
      <w:r>
        <w:rPr>
          <w:rFonts w:hint="eastAsia" w:ascii="楷体" w:hAnsi="楷体" w:eastAsia="楷体"/>
          <w:sz w:val="28"/>
          <w:szCs w:val="24"/>
        </w:rPr>
        <w:t>超出此使用范围无效，本评估机构不负法律责任。</w:t>
      </w:r>
    </w:p>
    <w:p w14:paraId="7D3FDD31">
      <w:pPr>
        <w:spacing w:line="560" w:lineRule="exact"/>
        <w:ind w:firstLine="560"/>
        <w:rPr>
          <w:rFonts w:hint="eastAsia" w:ascii="楷体" w:hAnsi="楷体" w:eastAsia="楷体"/>
          <w:sz w:val="28"/>
          <w:szCs w:val="24"/>
        </w:rPr>
      </w:pPr>
      <w:r>
        <w:rPr>
          <w:rFonts w:hint="eastAsia" w:ascii="楷体" w:hAnsi="楷体" w:eastAsia="楷体"/>
          <w:sz w:val="28"/>
          <w:szCs w:val="24"/>
        </w:rPr>
        <w:t>5.估价委托人及相关使用者应当完整地使用本报告，对仅使用报告中的部分内容或片面使用导致的有关损失，估价机构不承担责任。</w:t>
      </w:r>
    </w:p>
    <w:p w14:paraId="40D1EA85">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6.如发现本估价报告文字或数字因校对或类似原因出现差错，请及时通知本公司进行更正，如因明知正常失误而不及时通知更正而对估价结果应用造成影响和损失的，本公司不承担责任。</w:t>
      </w:r>
    </w:p>
    <w:p w14:paraId="48716BC0">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7.本估价报告须经注册房地产估价师签名盖章并加盖房地产估价机构公章作为一个整体时方为有效，估价报告的全部或部分复印件均无效。</w:t>
      </w:r>
    </w:p>
    <w:p w14:paraId="2C689792">
      <w:pPr>
        <w:spacing w:line="560" w:lineRule="exact"/>
        <w:ind w:firstLine="560"/>
        <w:rPr>
          <w:rFonts w:hint="eastAsia" w:ascii="楷体" w:hAnsi="楷体" w:eastAsia="楷体"/>
          <w:sz w:val="28"/>
          <w:szCs w:val="24"/>
        </w:rPr>
      </w:pPr>
      <w:r>
        <w:rPr>
          <w:rFonts w:hint="eastAsia" w:ascii="楷体" w:hAnsi="楷体" w:eastAsia="楷体"/>
          <w:sz w:val="28"/>
          <w:szCs w:val="24"/>
        </w:rPr>
        <w:t>8.未经委托人和本公司书面同意，本估价报告不得向估价委托人、估价目的的有关方和估价报告审核部门外的单位和个人提供，不得将本估价报告的全部或部分内容提供给其他各方，也不得</w:t>
      </w:r>
      <w:r>
        <w:rPr>
          <w:rFonts w:hint="eastAsia" w:ascii="楷体" w:hAnsi="楷体" w:eastAsia="楷体"/>
          <w:sz w:val="28"/>
          <w:szCs w:val="24"/>
          <w:lang w:eastAsia="zh-CN"/>
        </w:rPr>
        <w:t>见诸</w:t>
      </w:r>
      <w:r>
        <w:rPr>
          <w:rFonts w:hint="eastAsia" w:ascii="楷体" w:hAnsi="楷体" w:eastAsia="楷体"/>
          <w:sz w:val="28"/>
          <w:szCs w:val="24"/>
        </w:rPr>
        <w:t>任何公开的媒体。若本估价报告被用于其他场合，本公司不负任何法律责任。</w:t>
      </w:r>
    </w:p>
    <w:p w14:paraId="7B18C375">
      <w:pPr>
        <w:spacing w:line="560" w:lineRule="exact"/>
        <w:ind w:firstLine="560"/>
        <w:rPr>
          <w:rFonts w:hint="eastAsia" w:ascii="楷体" w:hAnsi="楷体" w:eastAsia="楷体"/>
          <w:sz w:val="28"/>
          <w:szCs w:val="24"/>
        </w:rPr>
      </w:pPr>
      <w:r>
        <w:rPr>
          <w:rFonts w:hint="eastAsia" w:ascii="楷体" w:hAnsi="楷体" w:eastAsia="楷体"/>
          <w:sz w:val="28"/>
          <w:szCs w:val="24"/>
        </w:rPr>
        <w:t>9.本估价报告使用期限一年，请报告使用人在报告使用期内使用，否则，本估价结果无效。随着时间的推移和房地产市场的变动，国家法律政策的调整等，估价结果应作相应调整。</w:t>
      </w:r>
    </w:p>
    <w:p w14:paraId="191A5C34">
      <w:pPr>
        <w:spacing w:line="510" w:lineRule="exact"/>
        <w:ind w:firstLine="560" w:firstLineChars="200"/>
        <w:jc w:val="left"/>
        <w:rPr>
          <w:rFonts w:hint="eastAsia" w:ascii="楷体" w:hAnsi="楷体" w:eastAsia="楷体"/>
          <w:bCs/>
          <w:sz w:val="28"/>
          <w:szCs w:val="28"/>
        </w:rPr>
      </w:pPr>
      <w:r>
        <w:rPr>
          <w:rFonts w:hint="eastAsia" w:ascii="楷体" w:hAnsi="楷体" w:eastAsia="楷体"/>
          <w:sz w:val="28"/>
          <w:szCs w:val="24"/>
        </w:rPr>
        <w:t>10.本估价报告由浙江正恒房地产土地资产评估咨询有限公司负责解释。</w:t>
      </w:r>
    </w:p>
    <w:p w14:paraId="650D4495">
      <w:pPr>
        <w:spacing w:before="156" w:beforeLines="50" w:after="156" w:afterLines="50" w:line="240" w:lineRule="exact"/>
        <w:jc w:val="center"/>
        <w:outlineLvl w:val="0"/>
        <w:rPr>
          <w:rFonts w:ascii="楷体" w:hAnsi="楷体" w:eastAsia="楷体"/>
          <w:bCs/>
          <w:sz w:val="44"/>
          <w:szCs w:val="44"/>
        </w:rPr>
        <w:sectPr>
          <w:pgSz w:w="11906" w:h="16838"/>
          <w:pgMar w:top="1418" w:right="1134" w:bottom="1134" w:left="1418" w:header="851" w:footer="851" w:gutter="284"/>
          <w:pgNumType w:start="2" w:chapStyle="1"/>
          <w:cols w:space="720" w:num="1"/>
          <w:docGrid w:type="lines" w:linePitch="312" w:charSpace="0"/>
        </w:sectPr>
      </w:pPr>
      <w:r>
        <w:rPr>
          <w:rFonts w:hint="eastAsia" w:ascii="楷体" w:hAnsi="楷体" w:eastAsia="楷体"/>
          <w:bCs/>
          <w:sz w:val="44"/>
          <w:szCs w:val="44"/>
        </w:rPr>
        <w:t xml:space="preserve"> </w:t>
      </w:r>
      <w:bookmarkStart w:id="45" w:name="_Toc484941661"/>
      <w:bookmarkStart w:id="46" w:name="_Toc505087753"/>
    </w:p>
    <w:p w14:paraId="3E47B707">
      <w:pPr>
        <w:spacing w:before="468" w:beforeLines="150" w:after="156" w:afterLines="50" w:line="480" w:lineRule="auto"/>
        <w:jc w:val="center"/>
        <w:outlineLvl w:val="0"/>
        <w:rPr>
          <w:rFonts w:hint="eastAsia" w:ascii="楷体" w:hAnsi="楷体" w:eastAsia="楷体"/>
          <w:b/>
          <w:sz w:val="48"/>
          <w:szCs w:val="48"/>
        </w:rPr>
      </w:pPr>
      <w:bookmarkStart w:id="47" w:name="_Toc221710856"/>
      <w:bookmarkStart w:id="48" w:name="_Toc221711022"/>
      <w:r>
        <w:rPr>
          <w:rFonts w:hint="eastAsia" w:ascii="楷体" w:hAnsi="楷体" w:eastAsia="楷体"/>
          <w:b/>
          <w:bCs/>
          <w:sz w:val="48"/>
          <w:szCs w:val="48"/>
        </w:rPr>
        <w:t>估价结果报告</w:t>
      </w:r>
      <w:bookmarkEnd w:id="45"/>
      <w:bookmarkEnd w:id="46"/>
      <w:bookmarkEnd w:id="47"/>
      <w:bookmarkEnd w:id="48"/>
    </w:p>
    <w:p w14:paraId="22B8496E">
      <w:pPr>
        <w:spacing w:before="156" w:beforeLines="50" w:line="560" w:lineRule="exact"/>
        <w:jc w:val="left"/>
        <w:outlineLvl w:val="1"/>
        <w:rPr>
          <w:rFonts w:hint="eastAsia" w:ascii="楷体" w:hAnsi="楷体" w:eastAsia="楷体"/>
          <w:b/>
          <w:bCs/>
          <w:sz w:val="28"/>
          <w:szCs w:val="28"/>
        </w:rPr>
      </w:pPr>
      <w:bookmarkStart w:id="49" w:name="_Toc505087754"/>
      <w:bookmarkStart w:id="50" w:name="_Toc221710857"/>
      <w:bookmarkStart w:id="51" w:name="_Toc484941662"/>
      <w:bookmarkStart w:id="52" w:name="_Toc221711023"/>
      <w:r>
        <w:rPr>
          <w:rFonts w:hint="eastAsia" w:ascii="楷体" w:hAnsi="楷体" w:eastAsia="楷体"/>
          <w:b/>
          <w:bCs/>
          <w:sz w:val="28"/>
          <w:szCs w:val="28"/>
        </w:rPr>
        <w:t>一、估价委托人</w:t>
      </w:r>
      <w:bookmarkEnd w:id="49"/>
      <w:bookmarkEnd w:id="50"/>
      <w:bookmarkEnd w:id="51"/>
      <w:bookmarkEnd w:id="52"/>
    </w:p>
    <w:p w14:paraId="3748FBDF">
      <w:pPr>
        <w:spacing w:line="560" w:lineRule="exact"/>
        <w:ind w:firstLine="560" w:firstLineChars="200"/>
        <w:jc w:val="left"/>
        <w:rPr>
          <w:rFonts w:hint="eastAsia" w:ascii="楷体" w:hAnsi="楷体" w:eastAsia="楷体"/>
          <w:sz w:val="28"/>
          <w:szCs w:val="28"/>
          <w:lang w:eastAsia="zh-CN"/>
        </w:rPr>
      </w:pPr>
      <w:bookmarkStart w:id="53" w:name="_Toc484941663"/>
      <w:bookmarkStart w:id="54" w:name="_Toc221710858"/>
      <w:bookmarkStart w:id="55" w:name="_Toc505087755"/>
      <w:bookmarkStart w:id="56" w:name="_Toc221711024"/>
      <w:r>
        <w:rPr>
          <w:rFonts w:hint="eastAsia" w:ascii="楷体" w:hAnsi="楷体" w:eastAsia="楷体"/>
          <w:bCs/>
          <w:sz w:val="28"/>
          <w:szCs w:val="28"/>
        </w:rPr>
        <w:t>委托人名称：</w:t>
      </w:r>
      <w:r>
        <w:rPr>
          <w:rFonts w:hint="eastAsia" w:ascii="楷体" w:hAnsi="楷体" w:eastAsia="楷体" w:cs="仿宋_GB2312"/>
          <w:sz w:val="28"/>
          <w:szCs w:val="28"/>
          <w:lang w:eastAsia="zh-CN"/>
        </w:rPr>
        <w:t>{{ owner }}</w:t>
      </w:r>
    </w:p>
    <w:p w14:paraId="29ADC970">
      <w:pPr>
        <w:spacing w:line="560" w:lineRule="exact"/>
        <w:ind w:firstLine="560" w:firstLineChars="200"/>
        <w:jc w:val="left"/>
        <w:rPr>
          <w:rFonts w:hint="eastAsia" w:ascii="楷体" w:hAnsi="楷体" w:eastAsia="楷体" w:cs="仿宋_GB2312"/>
          <w:sz w:val="28"/>
          <w:szCs w:val="28"/>
        </w:rPr>
      </w:pPr>
      <w:r>
        <w:rPr>
          <w:rFonts w:hint="eastAsia" w:ascii="楷体" w:hAnsi="楷体" w:eastAsia="楷体"/>
          <w:sz w:val="28"/>
          <w:szCs w:val="28"/>
        </w:rPr>
        <w:t xml:space="preserve">住  </w:t>
      </w:r>
      <w:r>
        <w:rPr>
          <w:rFonts w:hint="eastAsia" w:ascii="楷体" w:hAnsi="楷体" w:eastAsia="楷体" w:cs="仿宋_GB2312"/>
          <w:sz w:val="28"/>
          <w:szCs w:val="28"/>
          <w:lang w:eastAsia="zh-CN"/>
        </w:rPr>
        <w:t xml:space="preserve">    址：杭州市钱塘区义蓬街道义蓬村</w:t>
      </w:r>
    </w:p>
    <w:p w14:paraId="4D2D6337">
      <w:pPr>
        <w:spacing w:line="560" w:lineRule="exact"/>
        <w:ind w:firstLine="565" w:firstLineChars="152"/>
        <w:jc w:val="left"/>
        <w:rPr>
          <w:rFonts w:hint="default" w:ascii="楷体" w:hAnsi="楷体" w:eastAsia="楷体"/>
          <w:bCs/>
          <w:sz w:val="28"/>
          <w:szCs w:val="28"/>
          <w:lang w:val="en-US" w:eastAsia="zh-CN"/>
        </w:rPr>
      </w:pPr>
      <w:r>
        <w:rPr>
          <w:rFonts w:hint="eastAsia" w:ascii="楷体" w:hAnsi="楷体" w:eastAsia="楷体"/>
          <w:bCs/>
          <w:spacing w:val="46"/>
          <w:kern w:val="0"/>
          <w:sz w:val="28"/>
          <w:szCs w:val="28"/>
          <w:fitText w:val="1400" w:id="983306465"/>
        </w:rPr>
        <w:t>法人代</w:t>
      </w:r>
      <w:r>
        <w:rPr>
          <w:rFonts w:hint="eastAsia" w:ascii="楷体" w:hAnsi="楷体" w:eastAsia="楷体"/>
          <w:bCs/>
          <w:spacing w:val="2"/>
          <w:kern w:val="0"/>
          <w:sz w:val="28"/>
          <w:szCs w:val="28"/>
          <w:fitText w:val="1400" w:id="983306465"/>
        </w:rPr>
        <w:t>表</w:t>
      </w:r>
      <w:r>
        <w:rPr>
          <w:rFonts w:hint="eastAsia" w:ascii="楷体" w:hAnsi="楷体" w:eastAsia="楷体"/>
          <w:bCs/>
          <w:sz w:val="28"/>
          <w:szCs w:val="28"/>
        </w:rPr>
        <w:t>：</w:t>
      </w:r>
      <w:r>
        <w:rPr>
          <w:rFonts w:hint="eastAsia" w:ascii="楷体" w:hAnsi="楷体" w:eastAsia="楷体"/>
          <w:bCs/>
          <w:sz w:val="28"/>
          <w:szCs w:val="28"/>
          <w:lang w:val="en-US" w:eastAsia="zh-CN"/>
        </w:rPr>
        <w:t>周国祥</w:t>
      </w:r>
    </w:p>
    <w:p w14:paraId="5DB3F42B">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二、房地产估价机构</w:t>
      </w:r>
      <w:bookmarkEnd w:id="53"/>
      <w:bookmarkEnd w:id="54"/>
      <w:bookmarkEnd w:id="55"/>
      <w:bookmarkEnd w:id="56"/>
    </w:p>
    <w:p w14:paraId="166012E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估价机构：浙江正恒房地产土地资产评估咨询有限公司</w:t>
      </w:r>
    </w:p>
    <w:p w14:paraId="474A36A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法人代表：韩伟</w:t>
      </w:r>
    </w:p>
    <w:p w14:paraId="3D25F8B9">
      <w:pPr>
        <w:tabs>
          <w:tab w:val="left" w:pos="4140"/>
        </w:tabs>
        <w:spacing w:line="560" w:lineRule="exact"/>
        <w:ind w:firstLine="560" w:firstLineChars="200"/>
        <w:jc w:val="left"/>
        <w:rPr>
          <w:rFonts w:hint="eastAsia" w:ascii="楷体" w:hAnsi="楷体" w:eastAsia="楷体" w:cs="宋体"/>
          <w:sz w:val="28"/>
          <w:szCs w:val="28"/>
        </w:rPr>
      </w:pPr>
      <w:r>
        <w:rPr>
          <w:rFonts w:hint="eastAsia" w:ascii="楷体" w:hAnsi="楷体" w:eastAsia="楷体"/>
          <w:bCs/>
          <w:sz w:val="28"/>
          <w:szCs w:val="28"/>
        </w:rPr>
        <w:t>住    所：</w:t>
      </w:r>
      <w:r>
        <w:rPr>
          <w:rFonts w:hint="eastAsia" w:ascii="楷体" w:hAnsi="楷体" w:eastAsia="楷体" w:cs="宋体"/>
          <w:sz w:val="28"/>
          <w:szCs w:val="28"/>
        </w:rPr>
        <w:t>浙江省杭州市萧山区北干街道天汇园1幢1单元201室</w:t>
      </w:r>
    </w:p>
    <w:p w14:paraId="4F1BB36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资质等级：房地产壹级</w:t>
      </w:r>
    </w:p>
    <w:p w14:paraId="1CADD29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资质证书编号：浙建房估证字（2010）006号</w:t>
      </w:r>
    </w:p>
    <w:p w14:paraId="0E5E7C04">
      <w:pPr>
        <w:spacing w:before="156" w:beforeLines="50" w:line="560" w:lineRule="exact"/>
        <w:jc w:val="left"/>
        <w:outlineLvl w:val="1"/>
        <w:rPr>
          <w:rFonts w:hint="eastAsia" w:ascii="楷体" w:hAnsi="楷体" w:eastAsia="楷体"/>
          <w:b/>
          <w:bCs/>
          <w:sz w:val="28"/>
          <w:szCs w:val="28"/>
        </w:rPr>
      </w:pPr>
      <w:bookmarkStart w:id="57" w:name="_Toc221711025"/>
      <w:bookmarkStart w:id="58" w:name="_Toc505087756"/>
      <w:bookmarkStart w:id="59" w:name="_Toc221710859"/>
      <w:bookmarkStart w:id="60" w:name="_Toc484941664"/>
      <w:r>
        <w:rPr>
          <w:rFonts w:hint="eastAsia" w:ascii="楷体" w:hAnsi="楷体" w:eastAsia="楷体"/>
          <w:b/>
          <w:bCs/>
          <w:sz w:val="28"/>
          <w:szCs w:val="28"/>
        </w:rPr>
        <w:t>三、估价目的</w:t>
      </w:r>
      <w:bookmarkEnd w:id="57"/>
      <w:bookmarkEnd w:id="58"/>
      <w:bookmarkEnd w:id="59"/>
      <w:bookmarkEnd w:id="60"/>
    </w:p>
    <w:p w14:paraId="106B386D">
      <w:pPr>
        <w:spacing w:line="360" w:lineRule="auto"/>
        <w:ind w:firstLine="560" w:firstLineChars="200"/>
        <w:jc w:val="left"/>
        <w:rPr>
          <w:rFonts w:hint="eastAsia" w:ascii="楷体" w:hAnsi="楷体" w:eastAsia="楷体"/>
          <w:bCs/>
          <w:sz w:val="28"/>
          <w:szCs w:val="28"/>
        </w:rPr>
      </w:pPr>
      <w:bookmarkStart w:id="61" w:name="_Toc484941665"/>
      <w:bookmarkStart w:id="62" w:name="_Toc505087757"/>
      <w:r>
        <w:rPr>
          <w:rFonts w:hint="eastAsia" w:ascii="楷体" w:hAnsi="楷体" w:eastAsia="楷体"/>
          <w:bCs/>
          <w:sz w:val="28"/>
          <w:szCs w:val="28"/>
        </w:rPr>
        <w:t>为委托人确定拟出租房地产市场租金提供价格参考，而评估房地产租赁</w:t>
      </w:r>
      <w:r>
        <w:rPr>
          <w:rFonts w:hint="eastAsia" w:ascii="楷体" w:hAnsi="楷体" w:eastAsia="楷体" w:cs="仿宋"/>
          <w:sz w:val="28"/>
          <w:szCs w:val="28"/>
        </w:rPr>
        <w:t>价值</w:t>
      </w:r>
      <w:r>
        <w:rPr>
          <w:rFonts w:hint="eastAsia" w:ascii="楷体" w:hAnsi="楷体" w:eastAsia="楷体"/>
          <w:bCs/>
          <w:sz w:val="28"/>
          <w:szCs w:val="28"/>
        </w:rPr>
        <w:t>。</w:t>
      </w:r>
    </w:p>
    <w:p w14:paraId="3CAAAEC7">
      <w:pPr>
        <w:spacing w:before="156" w:beforeLines="50" w:line="560" w:lineRule="exact"/>
        <w:jc w:val="left"/>
        <w:outlineLvl w:val="1"/>
        <w:rPr>
          <w:rFonts w:hint="eastAsia" w:ascii="楷体" w:hAnsi="楷体" w:eastAsia="楷体"/>
          <w:b/>
          <w:bCs/>
          <w:sz w:val="28"/>
          <w:szCs w:val="28"/>
        </w:rPr>
      </w:pPr>
      <w:bookmarkStart w:id="63" w:name="_Toc221711026"/>
      <w:bookmarkStart w:id="64" w:name="_Toc221710860"/>
      <w:r>
        <w:rPr>
          <w:rFonts w:hint="eastAsia" w:ascii="楷体" w:hAnsi="楷体" w:eastAsia="楷体"/>
          <w:b/>
          <w:bCs/>
          <w:sz w:val="28"/>
          <w:szCs w:val="28"/>
        </w:rPr>
        <w:t>四、估价对象</w:t>
      </w:r>
      <w:bookmarkEnd w:id="61"/>
      <w:bookmarkEnd w:id="62"/>
      <w:bookmarkEnd w:id="63"/>
      <w:bookmarkEnd w:id="64"/>
    </w:p>
    <w:p w14:paraId="1537470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（一）</w:t>
      </w:r>
      <w:r>
        <w:rPr>
          <w:rFonts w:hint="eastAsia" w:ascii="楷体" w:hAnsi="楷体" w:eastAsia="楷体"/>
          <w:bCs/>
          <w:sz w:val="28"/>
          <w:szCs w:val="28"/>
        </w:rPr>
        <w:t>估价对象范围</w:t>
      </w:r>
    </w:p>
    <w:p w14:paraId="12ADEE4E">
      <w:pPr>
        <w:spacing w:line="560" w:lineRule="exact"/>
        <w:ind w:firstLine="560" w:firstLineChars="0"/>
        <w:rPr>
          <w:rFonts w:hint="eastAsia" w:ascii="楷体" w:hAnsi="楷体" w:eastAsia="楷体" w:cs="仿宋_GB2312"/>
          <w:kern w:val="2"/>
          <w:sz w:val="28"/>
          <w:szCs w:val="28"/>
          <w:lang w:val="en-US" w:eastAsia="zh-CN" w:bidi="ar-SA"/>
        </w:rPr>
      </w:pPr>
      <w:r>
        <w:rPr>
          <w:rFonts w:hint="eastAsia" w:ascii="楷体" w:hAnsi="楷体" w:eastAsia="楷体" w:cs="宋体"/>
          <w:kern w:val="2"/>
          <w:sz w:val="28"/>
          <w:szCs w:val="28"/>
          <w:lang w:val="en-US" w:eastAsia="zh-CN" w:bidi="ar-SA"/>
        </w:rPr>
        <w:t>根据估价委托人提供的与本次估价范围有关的基础资料复印件及有关数据，我们进行了核对，估价委托人指定的估价范围为{{ owner }}位于{{ address }}的商业用房。本次估价范围包含房屋及其分摊建设用地使用权，不包含水电费、网费、物业费、债权债务、特许经营权等其他权利。</w:t>
      </w:r>
    </w:p>
    <w:p w14:paraId="25CE506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（二）</w:t>
      </w:r>
      <w:r>
        <w:rPr>
          <w:rFonts w:hint="eastAsia" w:ascii="楷体" w:hAnsi="楷体" w:eastAsia="楷体"/>
          <w:bCs/>
          <w:sz w:val="28"/>
          <w:szCs w:val="28"/>
        </w:rPr>
        <w:t>估价对象基本状况</w:t>
      </w:r>
    </w:p>
    <w:p w14:paraId="12CF6B4D">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owner }}位于{{ address }}的商业用房。估价对象未取得《不动产权证》。根据《委托评估协议书》复印件记载估价对象基本情况如下：</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2578"/>
        <w:gridCol w:w="2465"/>
        <w:gridCol w:w="1519"/>
        <w:gridCol w:w="1989"/>
      </w:tblGrid>
      <w:tr w14:paraId="7DFF6FAA">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059532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6E6504F">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权利人</w:t>
            </w:r>
          </w:p>
        </w:tc>
        <w:tc>
          <w:tcPr>
            <w:tcW w:w="1327"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F26A3D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31B9C068">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设定出租用途</w:t>
            </w:r>
          </w:p>
        </w:tc>
        <w:tc>
          <w:tcPr>
            <w:tcW w:w="107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88B32A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房屋建筑面积（㎡）</w:t>
            </w:r>
          </w:p>
        </w:tc>
      </w:tr>
      <w:tr w14:paraId="7DA86B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1830360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1</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5EBDF61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E39928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EA85D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1619413">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r>
      <w:tr w14:paraId="3FC4C6BD">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098736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2</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9B2AED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4FFEF7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钱塘区义蓬街道义蓬中路487号</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0F5B9AD">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2111530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70</w:t>
            </w:r>
          </w:p>
        </w:tc>
      </w:tr>
    </w:tbl>
    <w:p w14:paraId="44814B2E"/>
    <w:p w14:paraId="0B799A24">
      <w:pPr>
        <w:spacing w:line="560" w:lineRule="exact"/>
        <w:ind w:firstLine="560" w:firstLineChars="200"/>
        <w:jc w:val="left"/>
        <w:rPr>
          <w:rFonts w:ascii="楷体" w:hAnsi="楷体" w:eastAsia="楷体" w:cs="楷体"/>
          <w:bCs/>
          <w:sz w:val="28"/>
          <w:szCs w:val="28"/>
        </w:rPr>
      </w:pPr>
      <w:r>
        <w:rPr>
          <w:rFonts w:hint="eastAsia" w:ascii="楷体" w:hAnsi="楷体" w:eastAsia="楷体"/>
          <w:bCs/>
          <w:sz w:val="28"/>
          <w:szCs w:val="28"/>
        </w:rPr>
        <w:t xml:space="preserve"> </w:t>
      </w:r>
      <w:r>
        <w:rPr>
          <w:rFonts w:hint="eastAsia" w:ascii="楷体" w:hAnsi="楷体" w:eastAsia="楷体"/>
          <w:bCs/>
          <w:sz w:val="28"/>
          <w:szCs w:val="28"/>
          <w:lang w:eastAsia="zh-CN"/>
        </w:rPr>
        <w:t>（三）</w:t>
      </w:r>
      <w:r>
        <w:rPr>
          <w:rFonts w:hint="eastAsia" w:ascii="楷体" w:hAnsi="楷体" w:eastAsia="楷体" w:cs="楷体"/>
          <w:bCs/>
          <w:sz w:val="28"/>
          <w:szCs w:val="28"/>
        </w:rPr>
        <w:t>估价对象资产状况</w:t>
      </w:r>
    </w:p>
    <w:p w14:paraId="7579D9C0">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1</w:t>
      </w:r>
      <w:r>
        <w:rPr>
          <w:rFonts w:ascii="楷体" w:hAnsi="楷体" w:eastAsia="楷体"/>
          <w:bCs/>
          <w:sz w:val="28"/>
          <w:szCs w:val="28"/>
        </w:rPr>
        <w:t>.</w:t>
      </w:r>
      <w:r>
        <w:rPr>
          <w:rFonts w:hint="eastAsia" w:ascii="楷体" w:hAnsi="楷体" w:eastAsia="楷体"/>
          <w:bCs/>
          <w:sz w:val="28"/>
          <w:szCs w:val="28"/>
        </w:rPr>
        <w:t>区位状况</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2209"/>
        <w:gridCol w:w="6406"/>
      </w:tblGrid>
      <w:tr w14:paraId="4AB506D4">
        <w:trPr>
          <w:trHeight w:val="499" w:hRule="atLeast"/>
        </w:trPr>
        <w:tc>
          <w:tcPr>
            <w:tcW w:w="361" w:type="pct"/>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1D5BFC6">
            <w:pPr>
              <w:widowControl/>
              <w:jc w:val="center"/>
              <w:textAlignment w:val="center"/>
            </w:pPr>
            <w:bookmarkStart w:id="65" w:name="_Toc505087758"/>
            <w:bookmarkStart w:id="66" w:name="_Toc484941666"/>
            <w:r>
              <w:rPr>
                <w:rFonts w:hint="eastAsia" w:ascii="楷体" w:hAnsi="楷体" w:eastAsia="楷体" w:cs="楷体"/>
                <w:color w:val="000000"/>
                <w:kern w:val="0"/>
                <w:sz w:val="20"/>
                <w:lang w:val="en-US" w:eastAsia="zh-CN" w:bidi="ar"/>
              </w:rPr>
              <w:t>区位状况</w:t>
            </w:r>
          </w:p>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6C0F1B5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商业繁华程度</w:t>
            </w:r>
          </w:p>
        </w:tc>
        <w:tc>
          <w:tcPr>
            <w:tcW w:w="3448" w:type="pct"/>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7FE8CD64">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距离义蓬购物中心直线距离约100M，商业氛围较好</w:t>
            </w:r>
          </w:p>
        </w:tc>
      </w:tr>
      <w:tr w14:paraId="2A5F48F0">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76BE4FF0"/>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E22A09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临街状况</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1C05328D">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估价对象所在宗地东至义蓬中路，南邻蓬和路，西至春益小区三区，北至青兴路。估价对象临义蓬中路。</w:t>
            </w:r>
          </w:p>
        </w:tc>
      </w:tr>
      <w:tr w14:paraId="08EE09A3">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0744025F"/>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40074813">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临街道路人流量</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4FB33023">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根据估价人员现场勘查，估价对象所处位置客流基数较大。</w:t>
            </w:r>
          </w:p>
        </w:tc>
      </w:tr>
      <w:tr w14:paraId="2BD5B3C0">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40FFDF04"/>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43BF3DEB">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楼层</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0E17E0B6">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所在层数为第1层。</w:t>
            </w:r>
          </w:p>
        </w:tc>
      </w:tr>
      <w:tr w14:paraId="60F3419E">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E573E42"/>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5DE2F34B">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距离重要进出口距离</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60A91F4B">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为义蓬中路沿街店面。</w:t>
            </w:r>
          </w:p>
        </w:tc>
      </w:tr>
      <w:tr w14:paraId="62EE7B9E">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18B985E9"/>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27D56A69">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离地铁距离</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0582BDBB">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距离地铁7号线义蓬站直线距离500米。</w:t>
            </w:r>
          </w:p>
        </w:tc>
      </w:tr>
      <w:tr w14:paraId="228DC126">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68DD535"/>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2C95908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200米内公交线路数</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3DF045D5">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3180/3149路公交车。</w:t>
            </w:r>
          </w:p>
        </w:tc>
      </w:tr>
      <w:tr w14:paraId="1F776D0D">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61875D48"/>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6BDC0DB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停车便利度</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0EEF546F">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停车位基本满足。</w:t>
            </w:r>
          </w:p>
        </w:tc>
      </w:tr>
      <w:tr w14:paraId="267E3EBA">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6BDCAC6D"/>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2725F97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基础设施</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164E85E7">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该宗地红线内外基础设施达到“六通一平”即通给水、通排水、通电、通路、通讯、通气、场地平整。</w:t>
            </w:r>
          </w:p>
        </w:tc>
      </w:tr>
      <w:tr w14:paraId="1D9BD68A">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CF63B53"/>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48C9A4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公共服务设施</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034C9C69">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附近学校有杭州市钱塘区崇德实验学校、杭州市钱塘区义蓬中学；医院有杭州市第九人民医院，义蓬社区卫生服务站；银行有中国邮政储蓄银行、杭州银行；商场有义蓬购物中心。</w:t>
            </w:r>
          </w:p>
        </w:tc>
      </w:tr>
      <w:tr w14:paraId="68D20667">
        <w:trPr>
          <w:trHeight w:val="499" w:hRule="atLeast"/>
        </w:trPr>
        <w:tc>
          <w:tcPr>
            <w:tcW w:w="361" w:type="pct"/>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7CCC228"/>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48F20DD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景观</w:t>
            </w:r>
          </w:p>
        </w:tc>
        <w:tc>
          <w:tcPr>
            <w:tcW w:w="3448" w:type="pct"/>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7D3FB82E">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小区普通景观。</w:t>
            </w:r>
          </w:p>
        </w:tc>
      </w:tr>
    </w:tbl>
    <w:p w14:paraId="4B046890">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2</w:t>
      </w:r>
      <w:r>
        <w:rPr>
          <w:rFonts w:ascii="楷体" w:hAnsi="楷体" w:eastAsia="楷体"/>
          <w:bCs/>
          <w:sz w:val="28"/>
          <w:szCs w:val="28"/>
        </w:rPr>
        <w:t>.</w:t>
      </w:r>
      <w:r>
        <w:rPr>
          <w:rFonts w:hint="eastAsia" w:ascii="楷体" w:hAnsi="楷体" w:eastAsia="楷体"/>
          <w:bCs/>
          <w:sz w:val="28"/>
          <w:szCs w:val="28"/>
        </w:rPr>
        <w:t>实物状况</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2269"/>
        <w:gridCol w:w="6343"/>
      </w:tblGrid>
      <w:tr w14:paraId="4E929970">
        <w:trPr>
          <w:trHeight w:val="499" w:hRule="atLeast"/>
        </w:trPr>
        <w:tc>
          <w:tcPr>
            <w:tcW w:w="363" w:type="pct"/>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ED6B0D0">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实物状况</w:t>
            </w:r>
          </w:p>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54C4116">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建筑规模</w:t>
            </w:r>
          </w:p>
        </w:tc>
        <w:tc>
          <w:tcPr>
            <w:tcW w:w="6343"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A9165E7">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出租面积为 130 平方米。其中义蓬中路477号房屋建筑面积60平方米、487号房屋建筑面积70平方米。</w:t>
            </w:r>
          </w:p>
        </w:tc>
      </w:tr>
      <w:tr w14:paraId="6F6A94EF">
        <w:trPr>
          <w:trHeight w:val="499" w:hRule="atLeast"/>
        </w:trPr>
        <w:tc>
          <w:tcPr>
            <w:tcW w:w="363" w:type="pct"/>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B30E405"/>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4454B0B">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建筑外观</w:t>
            </w:r>
          </w:p>
        </w:tc>
        <w:tc>
          <w:tcPr>
            <w:tcW w:w="6343" w:type="dxa"/>
            <w:tcBorders>
              <w:top w:val="nil"/>
              <w:left w:val="nil"/>
              <w:bottom w:val="single" w:color="auto" w:sz="4" w:space="0"/>
              <w:right w:val="single" w:color="auto" w:sz="4" w:space="0"/>
            </w:tcBorders>
            <w:noWrap w:val="0"/>
            <w:tcMar>
              <w:left w:w="108" w:type="dxa"/>
              <w:right w:w="108" w:type="dxa"/>
            </w:tcMar>
            <w:vAlign w:val="center"/>
          </w:tcPr>
          <w:p w14:paraId="52646D2A">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外墙是涂料，造型比较方正，简洁利落，裙楼为商铺，门面是无框玻璃门。</w:t>
            </w:r>
          </w:p>
        </w:tc>
      </w:tr>
      <w:tr w14:paraId="48F89288">
        <w:trPr>
          <w:trHeight w:val="499" w:hRule="atLeast"/>
        </w:trPr>
        <w:tc>
          <w:tcPr>
            <w:tcW w:w="363" w:type="pct"/>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A6A62E9"/>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448B51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建筑结构</w:t>
            </w:r>
          </w:p>
        </w:tc>
        <w:tc>
          <w:tcPr>
            <w:tcW w:w="6343" w:type="dxa"/>
            <w:tcBorders>
              <w:top w:val="nil"/>
              <w:left w:val="nil"/>
              <w:bottom w:val="single" w:color="auto" w:sz="4" w:space="0"/>
              <w:right w:val="single" w:color="auto" w:sz="4" w:space="0"/>
            </w:tcBorders>
            <w:noWrap w:val="0"/>
            <w:tcMar>
              <w:left w:w="108" w:type="dxa"/>
              <w:right w:w="108" w:type="dxa"/>
            </w:tcMar>
            <w:vAlign w:val="center"/>
          </w:tcPr>
          <w:p w14:paraId="30257A9D">
            <w:pPr>
              <w:widowControl/>
              <w:jc w:val="left"/>
              <w:textAlignment w:val="center"/>
              <w:rPr>
                <w:rFonts w:hint="default"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钢混结构，共5层。</w:t>
            </w:r>
          </w:p>
        </w:tc>
      </w:tr>
      <w:tr w14:paraId="24ED4126">
        <w:trPr>
          <w:trHeight w:val="90" w:hRule="atLeast"/>
        </w:trPr>
        <w:tc>
          <w:tcPr>
            <w:tcW w:w="363" w:type="pct"/>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AE855BB"/>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10CC1B9D">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设备设施</w:t>
            </w:r>
          </w:p>
        </w:tc>
        <w:tc>
          <w:tcPr>
            <w:tcW w:w="6343" w:type="dxa"/>
            <w:tcBorders>
              <w:top w:val="nil"/>
              <w:left w:val="nil"/>
              <w:bottom w:val="single" w:color="auto" w:sz="4" w:space="0"/>
              <w:right w:val="single" w:color="auto" w:sz="4" w:space="0"/>
            </w:tcBorders>
            <w:noWrap w:val="0"/>
            <w:tcMar>
              <w:left w:w="108" w:type="dxa"/>
              <w:right w:w="108" w:type="dxa"/>
            </w:tcMar>
            <w:vAlign w:val="center"/>
          </w:tcPr>
          <w:p w14:paraId="13104F78">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水电卫等设施完善。</w:t>
            </w:r>
          </w:p>
        </w:tc>
      </w:tr>
      <w:tr w14:paraId="72DD5214">
        <w:trPr>
          <w:trHeight w:val="499" w:hRule="atLeast"/>
        </w:trPr>
        <w:tc>
          <w:tcPr>
            <w:tcW w:w="363" w:type="pct"/>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76146E6"/>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48F500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平均层高</w:t>
            </w:r>
          </w:p>
        </w:tc>
        <w:tc>
          <w:tcPr>
            <w:tcW w:w="6343" w:type="dxa"/>
            <w:tcBorders>
              <w:top w:val="nil"/>
              <w:left w:val="nil"/>
              <w:bottom w:val="single" w:color="auto" w:sz="4" w:space="0"/>
              <w:right w:val="single" w:color="auto" w:sz="4" w:space="0"/>
            </w:tcBorders>
            <w:noWrap w:val="0"/>
            <w:tcMar>
              <w:left w:w="108" w:type="dxa"/>
              <w:right w:w="108" w:type="dxa"/>
            </w:tcMar>
            <w:vAlign w:val="center"/>
          </w:tcPr>
          <w:p w14:paraId="21C3F5B1">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估价对象平均层高3.5m—4.0m。</w:t>
            </w:r>
          </w:p>
        </w:tc>
      </w:tr>
      <w:tr w14:paraId="4188F151">
        <w:trPr>
          <w:trHeight w:val="499" w:hRule="atLeast"/>
        </w:trPr>
        <w:tc>
          <w:tcPr>
            <w:tcW w:w="363" w:type="pct"/>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DEB0CF6"/>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6AFFA5F">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新旧程度</w:t>
            </w:r>
          </w:p>
        </w:tc>
        <w:tc>
          <w:tcPr>
            <w:tcW w:w="6343" w:type="dxa"/>
            <w:tcBorders>
              <w:top w:val="nil"/>
              <w:left w:val="nil"/>
              <w:bottom w:val="single" w:color="auto" w:sz="4" w:space="0"/>
              <w:right w:val="single" w:color="auto" w:sz="4" w:space="0"/>
            </w:tcBorders>
            <w:noWrap w:val="0"/>
            <w:tcMar>
              <w:left w:w="108" w:type="dxa"/>
              <w:right w:w="108" w:type="dxa"/>
            </w:tcMar>
            <w:vAlign w:val="center"/>
          </w:tcPr>
          <w:p w14:paraId="0635C149">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建成于</w:t>
            </w:r>
            <w:r>
              <w:rPr>
                <w:rFonts w:hint="eastAsia" w:ascii="楷体" w:hAnsi="楷体" w:eastAsia="楷体" w:cs="楷体"/>
                <w:color w:val="000000"/>
                <w:kern w:val="0"/>
                <w:sz w:val="20"/>
                <w:highlight w:val="none"/>
                <w:lang w:val="en-US" w:eastAsia="zh-CN" w:bidi="ar"/>
              </w:rPr>
              <w:t>2013</w:t>
            </w:r>
            <w:r>
              <w:rPr>
                <w:rFonts w:hint="eastAsia" w:ascii="楷体" w:hAnsi="楷体" w:eastAsia="楷体" w:cs="楷体"/>
                <w:color w:val="000000"/>
                <w:kern w:val="0"/>
                <w:sz w:val="20"/>
                <w:lang w:val="en-US" w:eastAsia="zh-CN" w:bidi="ar"/>
              </w:rPr>
              <w:t>年，目前未发现不均匀沉降，地面、墙面、门窗保养维护较好，设备设施也维护较好。</w:t>
            </w:r>
          </w:p>
        </w:tc>
      </w:tr>
      <w:tr w14:paraId="3BE9735C">
        <w:trPr>
          <w:trHeight w:val="499" w:hRule="atLeast"/>
        </w:trPr>
        <w:tc>
          <w:tcPr>
            <w:tcW w:w="363" w:type="pct"/>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75E0C28"/>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1E5982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装饰装修</w:t>
            </w:r>
          </w:p>
        </w:tc>
        <w:tc>
          <w:tcPr>
            <w:tcW w:w="6343" w:type="dxa"/>
            <w:tcBorders>
              <w:top w:val="nil"/>
              <w:left w:val="nil"/>
              <w:bottom w:val="single" w:color="auto" w:sz="4" w:space="0"/>
              <w:right w:val="single" w:color="auto" w:sz="4" w:space="0"/>
            </w:tcBorders>
            <w:noWrap w:val="0"/>
            <w:tcMar>
              <w:left w:w="108" w:type="dxa"/>
              <w:right w:w="108" w:type="dxa"/>
            </w:tcMar>
            <w:vAlign w:val="center"/>
          </w:tcPr>
          <w:p w14:paraId="1162DFE7">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地面：抛光砖；墙面：乳胶漆；顶面：石膏造型吊顶 。</w:t>
            </w:r>
          </w:p>
        </w:tc>
      </w:tr>
      <w:tr w14:paraId="23C778A4">
        <w:trPr>
          <w:trHeight w:val="499" w:hRule="atLeast"/>
        </w:trPr>
        <w:tc>
          <w:tcPr>
            <w:tcW w:w="363" w:type="pct"/>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B46FE63"/>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50A2E7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宽深比</w:t>
            </w:r>
          </w:p>
        </w:tc>
        <w:tc>
          <w:tcPr>
            <w:tcW w:w="6343" w:type="dxa"/>
            <w:tcBorders>
              <w:top w:val="nil"/>
              <w:left w:val="nil"/>
              <w:bottom w:val="single" w:color="auto" w:sz="4" w:space="0"/>
              <w:right w:val="single" w:color="auto" w:sz="4" w:space="0"/>
            </w:tcBorders>
            <w:noWrap w:val="0"/>
            <w:tcMar>
              <w:left w:w="108" w:type="dxa"/>
              <w:right w:w="108" w:type="dxa"/>
            </w:tcMar>
            <w:vAlign w:val="center"/>
          </w:tcPr>
          <w:p w14:paraId="7FA1FA76">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估价对象宽深比为1:2.5，形状规则。</w:t>
            </w:r>
          </w:p>
        </w:tc>
      </w:tr>
    </w:tbl>
    <w:p w14:paraId="6BBF1335"/>
    <w:p w14:paraId="54B5CB4E">
      <w:pPr>
        <w:numPr>
          <w:ilvl w:val="0"/>
          <w:numId w:val="1"/>
        </w:num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权益状况</w:t>
      </w:r>
    </w:p>
    <w:tbl>
      <w:tblPr>
        <w:tblStyle w:val="28"/>
        <w:tblW w:w="9178"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62"/>
        <w:gridCol w:w="1770"/>
        <w:gridCol w:w="5946"/>
      </w:tblGrid>
      <w:tr w14:paraId="1D77B5BD">
        <w:trPr>
          <w:wBefore w:w="0" w:type="auto"/>
          <w:wAfter w:w="0" w:type="auto"/>
          <w:trHeight w:val="454" w:hRule="atLeast"/>
        </w:trPr>
        <w:tc>
          <w:tcPr>
            <w:tcW w:w="1462" w:type="dxa"/>
            <w:vMerge w:val="restart"/>
            <w:tcBorders>
              <w:bottom w:val="single" w:color="auto" w:sz="4" w:space="0"/>
              <w:right w:val="single" w:color="auto" w:sz="4" w:space="0"/>
            </w:tcBorders>
            <w:noWrap w:val="0"/>
            <w:vAlign w:val="center"/>
          </w:tcPr>
          <w:p w14:paraId="7A8DC071">
            <w:pPr>
              <w:keepNext w:val="0"/>
              <w:keepLines w:val="0"/>
              <w:widowControl/>
              <w:suppressLineNumbers w:val="0"/>
              <w:jc w:val="center"/>
              <w:textAlignment w:val="center"/>
              <w:rPr>
                <w:rFonts w:hint="eastAsia" w:ascii="楷体" w:hAnsi="楷体" w:eastAsia="楷体" w:cs="楷体"/>
                <w:i w:val="0"/>
                <w:iCs w:val="0"/>
                <w:color w:val="auto"/>
                <w:sz w:val="20"/>
                <w:szCs w:val="20"/>
                <w:u w:val="none"/>
              </w:rPr>
            </w:pPr>
            <w:r>
              <w:rPr>
                <w:rFonts w:hint="eastAsia" w:ascii="楷体" w:hAnsi="楷体" w:eastAsia="楷体" w:cs="楷体"/>
                <w:i w:val="0"/>
                <w:iCs w:val="0"/>
                <w:color w:val="000000"/>
                <w:kern w:val="0"/>
                <w:sz w:val="20"/>
                <w:szCs w:val="20"/>
                <w:u w:val="none"/>
                <w:lang w:val="en-US" w:eastAsia="zh-CN" w:bidi="ar"/>
              </w:rPr>
              <w:t>基本情况</w:t>
            </w:r>
          </w:p>
        </w:tc>
        <w:tc>
          <w:tcPr>
            <w:tcW w:w="1770" w:type="dxa"/>
            <w:tcBorders>
              <w:left w:val="single" w:color="auto" w:sz="4" w:space="0"/>
              <w:bottom w:val="single" w:color="auto" w:sz="4" w:space="0"/>
              <w:right w:val="single" w:color="auto" w:sz="4" w:space="0"/>
            </w:tcBorders>
            <w:noWrap w:val="0"/>
            <w:vAlign w:val="center"/>
          </w:tcPr>
          <w:p w14:paraId="73730818">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是否取得产权证书</w:t>
            </w:r>
          </w:p>
        </w:tc>
        <w:tc>
          <w:tcPr>
            <w:tcW w:w="5946" w:type="dxa"/>
            <w:tcBorders>
              <w:left w:val="nil"/>
              <w:bottom w:val="single" w:color="auto" w:sz="4" w:space="0"/>
            </w:tcBorders>
            <w:noWrap w:val="0"/>
            <w:vAlign w:val="center"/>
          </w:tcPr>
          <w:p w14:paraId="2499A924">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估价对象未取得《不动产权证》</w:t>
            </w:r>
          </w:p>
        </w:tc>
      </w:tr>
      <w:tr w14:paraId="5AF38B2C">
        <w:trPr>
          <w:wBefore w:w="0" w:type="auto"/>
          <w:wAfter w:w="0" w:type="auto"/>
          <w:trHeight w:val="454" w:hRule="atLeast"/>
        </w:trPr>
        <w:tc>
          <w:tcPr>
            <w:tcW w:w="1462" w:type="dxa"/>
            <w:vMerge w:val="continue"/>
            <w:tcBorders>
              <w:top w:val="single" w:color="auto" w:sz="4" w:space="0"/>
              <w:bottom w:val="single" w:color="auto" w:sz="4" w:space="0"/>
              <w:right w:val="single" w:color="auto" w:sz="4" w:space="0"/>
            </w:tcBorders>
            <w:noWrap w:val="0"/>
            <w:vAlign w:val="center"/>
          </w:tcPr>
          <w:p w14:paraId="2F83BAE2">
            <w:pPr>
              <w:jc w:val="center"/>
              <w:rPr>
                <w:rFonts w:hint="eastAsia" w:ascii="楷体" w:hAnsi="楷体" w:eastAsia="楷体" w:cs="楷体"/>
                <w:i w:val="0"/>
                <w:iCs w:val="0"/>
                <w:color w:val="auto"/>
                <w:sz w:val="20"/>
                <w:szCs w:val="20"/>
                <w:u w:val="none"/>
              </w:rPr>
            </w:pPr>
          </w:p>
        </w:tc>
        <w:tc>
          <w:tcPr>
            <w:tcW w:w="1770" w:type="dxa"/>
            <w:tcBorders>
              <w:top w:val="nil"/>
              <w:left w:val="single" w:color="auto" w:sz="4" w:space="0"/>
              <w:bottom w:val="single" w:color="auto" w:sz="4" w:space="0"/>
              <w:right w:val="single" w:color="auto" w:sz="4" w:space="0"/>
            </w:tcBorders>
            <w:noWrap w:val="0"/>
            <w:vAlign w:val="center"/>
          </w:tcPr>
          <w:p w14:paraId="50898E6B">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权利人</w:t>
            </w:r>
          </w:p>
        </w:tc>
        <w:tc>
          <w:tcPr>
            <w:tcW w:w="5946" w:type="dxa"/>
            <w:tcBorders>
              <w:top w:val="single" w:color="auto" w:sz="4" w:space="0"/>
              <w:left w:val="nil"/>
              <w:bottom w:val="single" w:color="auto" w:sz="4" w:space="0"/>
            </w:tcBorders>
            <w:noWrap w:val="0"/>
            <w:vAlign w:val="center"/>
          </w:tcPr>
          <w:p w14:paraId="5729BECA">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owner }}</w:t>
            </w:r>
          </w:p>
        </w:tc>
      </w:tr>
      <w:tr w14:paraId="245860B5">
        <w:trPr>
          <w:wBefore w:w="0" w:type="auto"/>
          <w:wAfter w:w="0" w:type="auto"/>
          <w:trHeight w:val="454" w:hRule="atLeast"/>
        </w:trPr>
        <w:tc>
          <w:tcPr>
            <w:tcW w:w="1462" w:type="dxa"/>
            <w:vMerge w:val="continue"/>
            <w:tcBorders>
              <w:top w:val="single" w:color="auto" w:sz="4" w:space="0"/>
              <w:bottom w:val="single" w:color="auto" w:sz="4" w:space="0"/>
              <w:right w:val="single" w:color="auto" w:sz="4" w:space="0"/>
            </w:tcBorders>
            <w:noWrap w:val="0"/>
            <w:vAlign w:val="center"/>
          </w:tcPr>
          <w:p w14:paraId="692BA4C4">
            <w:pPr>
              <w:jc w:val="center"/>
              <w:rPr>
                <w:rFonts w:hint="eastAsia" w:ascii="楷体" w:hAnsi="楷体" w:eastAsia="楷体" w:cs="楷体"/>
                <w:i w:val="0"/>
                <w:iCs w:val="0"/>
                <w:color w:val="auto"/>
                <w:sz w:val="20"/>
                <w:szCs w:val="20"/>
                <w:u w:val="none"/>
              </w:rPr>
            </w:pPr>
          </w:p>
        </w:tc>
        <w:tc>
          <w:tcPr>
            <w:tcW w:w="1770" w:type="dxa"/>
            <w:tcBorders>
              <w:top w:val="nil"/>
              <w:left w:val="single" w:color="auto" w:sz="4" w:space="0"/>
              <w:bottom w:val="single" w:color="auto" w:sz="4" w:space="0"/>
              <w:right w:val="single" w:color="auto" w:sz="4" w:space="0"/>
            </w:tcBorders>
            <w:noWrap w:val="0"/>
            <w:vAlign w:val="center"/>
          </w:tcPr>
          <w:p w14:paraId="0E3A406C">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设定出租用途</w:t>
            </w:r>
          </w:p>
        </w:tc>
        <w:tc>
          <w:tcPr>
            <w:tcW w:w="5946" w:type="dxa"/>
            <w:tcBorders>
              <w:top w:val="single" w:color="auto" w:sz="4" w:space="0"/>
              <w:left w:val="nil"/>
              <w:bottom w:val="single" w:color="auto" w:sz="4" w:space="0"/>
            </w:tcBorders>
            <w:noWrap w:val="0"/>
            <w:vAlign w:val="center"/>
          </w:tcPr>
          <w:p w14:paraId="3E1C331B">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商业</w:t>
            </w:r>
          </w:p>
        </w:tc>
      </w:tr>
      <w:tr w14:paraId="642FC1CE">
        <w:trPr>
          <w:wBefore w:w="0" w:type="auto"/>
          <w:wAfter w:w="0" w:type="auto"/>
          <w:trHeight w:val="454" w:hRule="atLeast"/>
        </w:trPr>
        <w:tc>
          <w:tcPr>
            <w:tcW w:w="1462" w:type="dxa"/>
            <w:vMerge w:val="continue"/>
            <w:tcBorders>
              <w:top w:val="single" w:color="auto" w:sz="4" w:space="0"/>
              <w:bottom w:val="single" w:color="auto" w:sz="4" w:space="0"/>
              <w:right w:val="single" w:color="auto" w:sz="4" w:space="0"/>
            </w:tcBorders>
            <w:noWrap w:val="0"/>
            <w:vAlign w:val="center"/>
          </w:tcPr>
          <w:p w14:paraId="2A32888B">
            <w:pPr>
              <w:jc w:val="center"/>
              <w:rPr>
                <w:rFonts w:hint="eastAsia" w:ascii="楷体" w:hAnsi="楷体" w:eastAsia="楷体" w:cs="楷体"/>
                <w:i w:val="0"/>
                <w:iCs w:val="0"/>
                <w:color w:val="auto"/>
                <w:sz w:val="20"/>
                <w:szCs w:val="20"/>
                <w:u w:val="none"/>
              </w:rPr>
            </w:pPr>
          </w:p>
        </w:tc>
        <w:tc>
          <w:tcPr>
            <w:tcW w:w="1770" w:type="dxa"/>
            <w:tcBorders>
              <w:top w:val="nil"/>
              <w:left w:val="single" w:color="auto" w:sz="4" w:space="0"/>
              <w:bottom w:val="single" w:color="auto" w:sz="4" w:space="0"/>
              <w:right w:val="single" w:color="auto" w:sz="4" w:space="0"/>
            </w:tcBorders>
            <w:noWrap w:val="0"/>
            <w:vAlign w:val="center"/>
          </w:tcPr>
          <w:p w14:paraId="31FB0F2A">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估价对象规模</w:t>
            </w:r>
          </w:p>
        </w:tc>
        <w:tc>
          <w:tcPr>
            <w:tcW w:w="5946" w:type="dxa"/>
            <w:tcBorders>
              <w:top w:val="single" w:color="auto" w:sz="4" w:space="0"/>
              <w:left w:val="nil"/>
              <w:bottom w:val="single" w:color="auto" w:sz="4" w:space="0"/>
            </w:tcBorders>
            <w:noWrap w:val="0"/>
            <w:vAlign w:val="center"/>
          </w:tcPr>
          <w:p w14:paraId="6FBE5928">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总建筑面积130平方米（义蓬中路477号房屋建筑面积60平方米、487号房屋建筑面积70平方米）及其分摊的土地使用权</w:t>
            </w:r>
          </w:p>
        </w:tc>
      </w:tr>
      <w:tr w14:paraId="07817A9F">
        <w:trPr>
          <w:wBefore w:w="0" w:type="auto"/>
          <w:wAfter w:w="0" w:type="auto"/>
          <w:trHeight w:val="454" w:hRule="atLeast"/>
        </w:trPr>
        <w:tc>
          <w:tcPr>
            <w:tcW w:w="1462" w:type="dxa"/>
            <w:vMerge w:val="continue"/>
            <w:tcBorders>
              <w:top w:val="single" w:color="auto" w:sz="4" w:space="0"/>
              <w:bottom w:val="single" w:color="auto" w:sz="4" w:space="0"/>
              <w:right w:val="single" w:color="auto" w:sz="4" w:space="0"/>
            </w:tcBorders>
            <w:noWrap w:val="0"/>
            <w:vAlign w:val="center"/>
          </w:tcPr>
          <w:p w14:paraId="6F5432AE">
            <w:pPr>
              <w:jc w:val="center"/>
              <w:rPr>
                <w:rFonts w:hint="eastAsia" w:ascii="楷体" w:hAnsi="楷体" w:eastAsia="楷体" w:cs="楷体"/>
                <w:i w:val="0"/>
                <w:iCs w:val="0"/>
                <w:color w:val="auto"/>
                <w:sz w:val="20"/>
                <w:szCs w:val="20"/>
                <w:u w:val="none"/>
              </w:rPr>
            </w:pPr>
          </w:p>
        </w:tc>
        <w:tc>
          <w:tcPr>
            <w:tcW w:w="1770" w:type="dxa"/>
            <w:tcBorders>
              <w:top w:val="nil"/>
              <w:left w:val="single" w:color="auto" w:sz="4" w:space="0"/>
              <w:bottom w:val="single" w:color="auto" w:sz="4" w:space="0"/>
              <w:right w:val="single" w:color="auto" w:sz="4" w:space="0"/>
            </w:tcBorders>
            <w:noWrap w:val="0"/>
            <w:vAlign w:val="center"/>
          </w:tcPr>
          <w:p w14:paraId="7B2D2732">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现使用状况</w:t>
            </w:r>
          </w:p>
        </w:tc>
        <w:tc>
          <w:tcPr>
            <w:tcW w:w="5946" w:type="dxa"/>
            <w:tcBorders>
              <w:top w:val="single" w:color="auto" w:sz="4" w:space="0"/>
              <w:left w:val="nil"/>
              <w:bottom w:val="single" w:color="auto" w:sz="4" w:space="0"/>
            </w:tcBorders>
            <w:noWrap w:val="0"/>
            <w:vAlign w:val="center"/>
          </w:tcPr>
          <w:p w14:paraId="617C5375">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至价值时点，估价对象处于空置使用状态。</w:t>
            </w:r>
          </w:p>
        </w:tc>
      </w:tr>
      <w:tr w14:paraId="54879EB9">
        <w:trPr>
          <w:trHeight w:val="483" w:hRule="atLeast"/>
        </w:trPr>
        <w:tc>
          <w:tcPr>
            <w:tcW w:w="1462" w:type="dxa"/>
            <w:vMerge w:val="restart"/>
            <w:tcBorders>
              <w:bottom w:val="single" w:color="auto" w:sz="4" w:space="0"/>
              <w:right w:val="single" w:color="auto" w:sz="4" w:space="0"/>
            </w:tcBorders>
            <w:noWrap w:val="0"/>
            <w:tcMar>
              <w:left w:w="108" w:type="dxa"/>
              <w:right w:w="108" w:type="dxa"/>
            </w:tcMar>
            <w:vAlign w:val="center"/>
          </w:tcPr>
          <w:p w14:paraId="7B8DEE20">
            <w:pPr>
              <w:widowControl/>
              <w:jc w:val="center"/>
              <w:textAlignment w:val="center"/>
              <w:rPr>
                <w:highlight w:val="none"/>
              </w:rPr>
            </w:pPr>
            <w:bookmarkStart w:id="67" w:name="_Toc221711027"/>
            <w:r>
              <w:rPr>
                <w:rFonts w:hint="eastAsia" w:ascii="楷体" w:hAnsi="楷体" w:eastAsia="楷体" w:cs="楷体"/>
                <w:color w:val="000000"/>
                <w:kern w:val="0"/>
                <w:sz w:val="20"/>
                <w:highlight w:val="none"/>
                <w:lang w:val="en-US" w:eastAsia="zh-CN" w:bidi="ar"/>
              </w:rPr>
              <w:t>权益状况</w:t>
            </w:r>
          </w:p>
        </w:tc>
        <w:tc>
          <w:tcPr>
            <w:tcW w:w="1770" w:type="dxa"/>
            <w:tcBorders>
              <w:left w:val="nil"/>
              <w:bottom w:val="single" w:color="auto" w:sz="4" w:space="0"/>
              <w:right w:val="single" w:color="auto" w:sz="4" w:space="0"/>
            </w:tcBorders>
            <w:noWrap w:val="0"/>
            <w:tcMar>
              <w:left w:w="108" w:type="dxa"/>
              <w:right w:w="108" w:type="dxa"/>
            </w:tcMar>
            <w:vAlign w:val="center"/>
          </w:tcPr>
          <w:p w14:paraId="75BA19C0">
            <w:pPr>
              <w:widowControl/>
              <w:jc w:val="center"/>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使用限制</w:t>
            </w:r>
          </w:p>
        </w:tc>
        <w:tc>
          <w:tcPr>
            <w:tcW w:w="5946" w:type="dxa"/>
            <w:tcBorders>
              <w:left w:val="nil"/>
              <w:bottom w:val="single" w:color="auto" w:sz="4" w:space="0"/>
            </w:tcBorders>
            <w:noWrap w:val="0"/>
            <w:tcMar>
              <w:left w:w="108" w:type="dxa"/>
              <w:right w:w="108" w:type="dxa"/>
            </w:tcMar>
            <w:vAlign w:val="center"/>
          </w:tcPr>
          <w:p w14:paraId="5F35DEDE">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无不利使用限制</w:t>
            </w:r>
          </w:p>
        </w:tc>
      </w:tr>
      <w:tr w14:paraId="077B5EBC">
        <w:trPr>
          <w:trHeight w:val="499" w:hRule="atLeast"/>
        </w:trPr>
        <w:tc>
          <w:tcPr>
            <w:tcW w:w="1462" w:type="dxa"/>
            <w:vMerge w:val="continue"/>
            <w:tcBorders>
              <w:bottom w:val="single" w:color="auto" w:sz="4" w:space="0"/>
              <w:right w:val="single" w:color="auto" w:sz="4" w:space="0"/>
            </w:tcBorders>
            <w:noWrap w:val="0"/>
            <w:tcMar>
              <w:left w:w="108" w:type="dxa"/>
              <w:right w:w="108" w:type="dxa"/>
            </w:tcMar>
            <w:vAlign w:val="center"/>
          </w:tcPr>
          <w:p w14:paraId="68100B3B">
            <w:pPr>
              <w:rPr>
                <w:highlight w:val="none"/>
              </w:rPr>
            </w:pPr>
          </w:p>
        </w:tc>
        <w:tc>
          <w:tcPr>
            <w:tcW w:w="177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1502BF09">
            <w:pPr>
              <w:widowControl/>
              <w:jc w:val="center"/>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可否餐饮</w:t>
            </w:r>
          </w:p>
        </w:tc>
        <w:tc>
          <w:tcPr>
            <w:tcW w:w="5946" w:type="dxa"/>
            <w:tcBorders>
              <w:top w:val="nil"/>
              <w:left w:val="nil"/>
              <w:bottom w:val="single" w:color="auto" w:sz="4" w:space="0"/>
            </w:tcBorders>
            <w:noWrap w:val="0"/>
            <w:tcMar>
              <w:left w:w="108" w:type="dxa"/>
              <w:right w:w="108" w:type="dxa"/>
            </w:tcMar>
            <w:vAlign w:val="center"/>
          </w:tcPr>
          <w:p w14:paraId="4C6F672D">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有烟道、通上下水、可做餐饮。</w:t>
            </w:r>
          </w:p>
        </w:tc>
      </w:tr>
      <w:tr w14:paraId="4989D1C1">
        <w:trPr>
          <w:trHeight w:val="499" w:hRule="atLeast"/>
        </w:trPr>
        <w:tc>
          <w:tcPr>
            <w:tcW w:w="1462" w:type="dxa"/>
            <w:vMerge w:val="continue"/>
            <w:tcBorders>
              <w:right w:val="single" w:color="auto" w:sz="4" w:space="0"/>
            </w:tcBorders>
            <w:noWrap w:val="0"/>
            <w:tcMar>
              <w:left w:w="108" w:type="dxa"/>
              <w:right w:w="108" w:type="dxa"/>
            </w:tcMar>
            <w:vAlign w:val="center"/>
          </w:tcPr>
          <w:p w14:paraId="55319887">
            <w:pPr>
              <w:rPr>
                <w:highlight w:val="none"/>
              </w:rPr>
            </w:pPr>
          </w:p>
        </w:tc>
        <w:tc>
          <w:tcPr>
            <w:tcW w:w="1770" w:type="dxa"/>
            <w:tcBorders>
              <w:top w:val="single" w:color="auto" w:sz="4" w:space="0"/>
              <w:left w:val="nil"/>
              <w:right w:val="single" w:color="auto" w:sz="4" w:space="0"/>
            </w:tcBorders>
            <w:noWrap w:val="0"/>
            <w:tcMar>
              <w:left w:w="108" w:type="dxa"/>
              <w:right w:w="108" w:type="dxa"/>
            </w:tcMar>
            <w:vAlign w:val="center"/>
          </w:tcPr>
          <w:p w14:paraId="6CAD1DD0">
            <w:pPr>
              <w:widowControl/>
              <w:jc w:val="center"/>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相邻关系限制</w:t>
            </w:r>
          </w:p>
        </w:tc>
        <w:tc>
          <w:tcPr>
            <w:tcW w:w="5946" w:type="dxa"/>
            <w:tcBorders>
              <w:top w:val="nil"/>
              <w:left w:val="nil"/>
            </w:tcBorders>
            <w:noWrap w:val="0"/>
            <w:tcMar>
              <w:left w:w="108" w:type="dxa"/>
              <w:right w:w="108" w:type="dxa"/>
            </w:tcMar>
            <w:vAlign w:val="center"/>
          </w:tcPr>
          <w:p w14:paraId="2745DD5E">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无地役权，没有相邻权受限或纠纷。</w:t>
            </w:r>
          </w:p>
        </w:tc>
      </w:tr>
    </w:tbl>
    <w:p w14:paraId="50E2097A">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五、价值时点</w:t>
      </w:r>
      <w:bookmarkEnd w:id="65"/>
      <w:bookmarkEnd w:id="66"/>
      <w:bookmarkEnd w:id="67"/>
    </w:p>
    <w:p w14:paraId="115D2E24">
      <w:pPr>
        <w:spacing w:line="560" w:lineRule="exact"/>
        <w:ind w:firstLine="560" w:firstLineChars="200"/>
        <w:jc w:val="left"/>
      </w:pPr>
      <w:bookmarkStart w:id="68" w:name="_Toc221710861_ai_ai"/>
      <w:bookmarkStart w:id="69" w:name="_Toc484941667"/>
      <w:bookmarkStart w:id="70" w:name="_Toc505087759"/>
      <w:bookmarkStart w:id="71" w:name="_Toc221711028"/>
      <w:bookmarkStart w:id="72" w:name="_Toc221710862"/>
      <w:r>
        <w:rPr>
          <w:rFonts w:hint="eastAsia" w:ascii="楷体" w:hAnsi="楷体" w:eastAsia="楷体" w:cs="宋体"/>
          <w:kern w:val="2"/>
          <w:sz w:val="28"/>
          <w:szCs w:val="28"/>
          <w:lang w:val="en-US" w:eastAsia="zh-CN" w:bidi="ar-SA"/>
        </w:rPr>
        <w:t>2026年3月25日。</w:t>
      </w:r>
      <w:bookmarkEnd w:id="68"/>
    </w:p>
    <w:p w14:paraId="122B1F8F">
      <w:pPr>
        <w:spacing w:line="560" w:lineRule="exact"/>
        <w:ind w:firstLine="560" w:firstLineChars="200"/>
        <w:jc w:val="left"/>
      </w:pPr>
      <w:r>
        <w:rPr>
          <w:rFonts w:hint="eastAsia" w:ascii="楷体" w:hAnsi="楷体" w:eastAsia="楷体" w:cs="宋体"/>
          <w:kern w:val="2"/>
          <w:sz w:val="28"/>
          <w:szCs w:val="28"/>
          <w:lang w:val="en-US" w:eastAsia="zh-CN" w:bidi="ar-SA"/>
        </w:rPr>
        <w:t>因本次估价目的为确定房地产租赁价值提供参考依据。经与估价委托人协商，价值时点为完成估价对象查勘之日，故本次估价以实地查勘之日2026年3月25日作为价值时点。</w:t>
      </w:r>
    </w:p>
    <w:p w14:paraId="6A36C9B8">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六、价值类型</w:t>
      </w:r>
      <w:bookmarkEnd w:id="69"/>
      <w:bookmarkEnd w:id="70"/>
      <w:bookmarkEnd w:id="71"/>
      <w:bookmarkEnd w:id="72"/>
    </w:p>
    <w:p w14:paraId="02973CEB">
      <w:pPr>
        <w:spacing w:line="560" w:lineRule="exact"/>
        <w:ind w:firstLine="600"/>
        <w:rPr>
          <w:rFonts w:hint="eastAsia" w:ascii="楷体" w:hAnsi="楷体" w:eastAsia="楷体"/>
          <w:sz w:val="28"/>
          <w:szCs w:val="28"/>
        </w:rPr>
      </w:pPr>
      <w:r>
        <w:rPr>
          <w:rFonts w:hint="eastAsia" w:ascii="楷体" w:hAnsi="楷体" w:eastAsia="楷体"/>
          <w:sz w:val="28"/>
          <w:szCs w:val="28"/>
          <w:lang w:eastAsia="zh-CN"/>
        </w:rPr>
        <w:t>1.</w:t>
      </w:r>
      <w:r>
        <w:rPr>
          <w:rFonts w:hint="eastAsia" w:ascii="楷体" w:hAnsi="楷体" w:eastAsia="楷体"/>
          <w:sz w:val="28"/>
          <w:szCs w:val="28"/>
        </w:rPr>
        <w:t>价值名称：市场租赁价值。</w:t>
      </w:r>
    </w:p>
    <w:p w14:paraId="7861EFD0">
      <w:pPr>
        <w:spacing w:line="560" w:lineRule="exact"/>
        <w:ind w:firstLine="600"/>
        <w:rPr>
          <w:rFonts w:hint="eastAsia" w:ascii="楷体" w:hAnsi="楷体" w:eastAsia="楷体"/>
          <w:sz w:val="28"/>
          <w:szCs w:val="28"/>
        </w:rPr>
      </w:pPr>
      <w:r>
        <w:rPr>
          <w:rFonts w:hint="eastAsia" w:ascii="楷体" w:hAnsi="楷体" w:eastAsia="楷体"/>
          <w:sz w:val="28"/>
          <w:szCs w:val="28"/>
          <w:lang w:eastAsia="zh-CN"/>
        </w:rPr>
        <w:t>2.</w:t>
      </w:r>
      <w:r>
        <w:rPr>
          <w:rFonts w:hint="eastAsia" w:ascii="楷体" w:hAnsi="楷体" w:eastAsia="楷体"/>
          <w:sz w:val="28"/>
          <w:szCs w:val="28"/>
        </w:rPr>
        <w:t>价值内涵：是指在公开市场上由熟悉情况且不受强迫的租赁双方，在租赁条件下自愿达成的在价值时点的最可能的租赁金额。</w:t>
      </w:r>
    </w:p>
    <w:p w14:paraId="4338EC27">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本次估价范围包含房屋及其分摊建设用地使用权，不包含套内的装饰装修、水电费、网费、物业费、债权债务、特许经营权等其他权利。</w:t>
      </w:r>
    </w:p>
    <w:p w14:paraId="29848180">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①租赁用途和使用要求：按估价对象设定出租用途使用；</w:t>
      </w:r>
    </w:p>
    <w:p w14:paraId="76BB72E0">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②包含正常出租该房地产应缴税费；</w:t>
      </w:r>
    </w:p>
    <w:p w14:paraId="27830982">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③房屋维修费、保险费、房产税等费用由出租人承担；</w:t>
      </w:r>
    </w:p>
    <w:p w14:paraId="1FDB822E">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④物业管理费以及水、电、燃气等相关费用由承租人承担。</w:t>
      </w:r>
    </w:p>
    <w:p w14:paraId="015134B7">
      <w:pPr>
        <w:spacing w:line="560" w:lineRule="exact"/>
        <w:ind w:firstLine="600"/>
        <w:rPr>
          <w:rFonts w:hint="eastAsia" w:ascii="楷体" w:hAnsi="楷体" w:eastAsia="楷体"/>
          <w:sz w:val="28"/>
          <w:szCs w:val="28"/>
        </w:rPr>
      </w:pPr>
      <w:r>
        <w:rPr>
          <w:rFonts w:hint="eastAsia" w:ascii="楷体" w:hAnsi="楷体" w:eastAsia="楷体"/>
          <w:sz w:val="28"/>
          <w:szCs w:val="28"/>
        </w:rPr>
        <w:t>本报告所提供的是上述房地产在满足全部假设和限制条件下于价值时点的租赁价值。</w:t>
      </w:r>
    </w:p>
    <w:p w14:paraId="3895C4F8">
      <w:pPr>
        <w:spacing w:before="156" w:beforeLines="50" w:line="560" w:lineRule="exact"/>
        <w:jc w:val="left"/>
        <w:outlineLvl w:val="1"/>
        <w:rPr>
          <w:rFonts w:hint="eastAsia" w:ascii="楷体" w:hAnsi="楷体" w:eastAsia="楷体"/>
          <w:b/>
          <w:bCs/>
          <w:sz w:val="28"/>
          <w:szCs w:val="28"/>
        </w:rPr>
      </w:pPr>
      <w:bookmarkStart w:id="73" w:name="_Toc221710863"/>
      <w:bookmarkStart w:id="74" w:name="_Toc484941668"/>
      <w:bookmarkStart w:id="75" w:name="_Toc505087760"/>
      <w:bookmarkStart w:id="76" w:name="_Toc221711029"/>
      <w:r>
        <w:rPr>
          <w:rFonts w:hint="eastAsia" w:ascii="楷体" w:hAnsi="楷体" w:eastAsia="楷体"/>
          <w:b/>
          <w:bCs/>
          <w:sz w:val="28"/>
          <w:szCs w:val="28"/>
        </w:rPr>
        <w:t>七、估价原则</w:t>
      </w:r>
      <w:bookmarkEnd w:id="73"/>
      <w:bookmarkEnd w:id="74"/>
      <w:bookmarkEnd w:id="75"/>
      <w:bookmarkEnd w:id="76"/>
    </w:p>
    <w:p w14:paraId="03E56B18">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本次估价遵循独立、客观、公正原则、合法原则、价值时点原则、替代原则、最高最佳利用原则。具体如下：</w:t>
      </w:r>
    </w:p>
    <w:p w14:paraId="7987B5C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1.</w:t>
      </w:r>
      <w:r>
        <w:rPr>
          <w:rFonts w:hint="eastAsia" w:ascii="楷体" w:hAnsi="楷体" w:eastAsia="楷体"/>
          <w:bCs/>
          <w:sz w:val="28"/>
          <w:szCs w:val="28"/>
        </w:rPr>
        <w:t>遵循独立、客观、公正原则，评估价值应为对各方估价利害关系人均是公平合理的价值或价格；</w:t>
      </w:r>
    </w:p>
    <w:p w14:paraId="7402311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2.</w:t>
      </w:r>
      <w:r>
        <w:rPr>
          <w:rFonts w:hint="eastAsia" w:ascii="楷体" w:hAnsi="楷体" w:eastAsia="楷体"/>
          <w:bCs/>
          <w:sz w:val="28"/>
          <w:szCs w:val="28"/>
        </w:rPr>
        <w:t>遵循合法原则，评估价值应为在依法判定的估价对象状况下的价值或价格；</w:t>
      </w:r>
    </w:p>
    <w:p w14:paraId="7F979BC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3.</w:t>
      </w:r>
      <w:r>
        <w:rPr>
          <w:rFonts w:hint="eastAsia" w:ascii="楷体" w:hAnsi="楷体" w:eastAsia="楷体"/>
          <w:bCs/>
          <w:sz w:val="28"/>
          <w:szCs w:val="28"/>
        </w:rPr>
        <w:t>遵循价值时点原则，评估价值应为在根据估价目的确定的某一特定时间的价值或价格；</w:t>
      </w:r>
    </w:p>
    <w:p w14:paraId="1B140ED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遵循替代原则，评估价值与估价对象的类似房地产在同等条件下的价值或价格偏差应在合理范围内；</w:t>
      </w:r>
    </w:p>
    <w:p w14:paraId="029F7BD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5.</w:t>
      </w:r>
      <w:r>
        <w:rPr>
          <w:rFonts w:hint="eastAsia" w:ascii="楷体" w:hAnsi="楷体" w:eastAsia="楷体"/>
          <w:bCs/>
          <w:sz w:val="28"/>
          <w:szCs w:val="28"/>
        </w:rPr>
        <w:t>遵循最高最佳利用原则，评估价值应为在估价对象最高最佳利用状况下的价值或价格，最高最佳利用是房地产在法律上允许、技术上可能、财务上可行并使价值最大的合理、可能的利用，包括最佳的用途、规模和档次等。</w:t>
      </w:r>
    </w:p>
    <w:p w14:paraId="51877875">
      <w:pPr>
        <w:spacing w:before="156" w:beforeLines="50" w:line="560" w:lineRule="exact"/>
        <w:jc w:val="left"/>
        <w:outlineLvl w:val="1"/>
        <w:rPr>
          <w:rFonts w:hint="eastAsia" w:ascii="楷体" w:hAnsi="楷体" w:eastAsia="楷体"/>
          <w:b/>
          <w:bCs/>
          <w:sz w:val="28"/>
          <w:szCs w:val="28"/>
        </w:rPr>
      </w:pPr>
      <w:bookmarkStart w:id="77" w:name="_Toc221710864"/>
      <w:bookmarkStart w:id="78" w:name="_Toc505087761"/>
      <w:bookmarkStart w:id="79" w:name="_Toc221711030"/>
      <w:bookmarkStart w:id="80" w:name="_Toc484941669"/>
      <w:r>
        <w:rPr>
          <w:rFonts w:hint="eastAsia" w:ascii="楷体" w:hAnsi="楷体" w:eastAsia="楷体"/>
          <w:b/>
          <w:bCs/>
          <w:sz w:val="28"/>
          <w:szCs w:val="28"/>
        </w:rPr>
        <w:t>八、估价依据</w:t>
      </w:r>
      <w:bookmarkEnd w:id="77"/>
      <w:bookmarkEnd w:id="78"/>
      <w:bookmarkEnd w:id="79"/>
      <w:bookmarkEnd w:id="80"/>
    </w:p>
    <w:p w14:paraId="0FEDB35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1.</w:t>
      </w:r>
      <w:r>
        <w:rPr>
          <w:rFonts w:hint="eastAsia" w:ascii="楷体" w:hAnsi="楷体" w:eastAsia="楷体"/>
          <w:bCs/>
          <w:sz w:val="28"/>
          <w:szCs w:val="28"/>
        </w:rPr>
        <w:t>本次估价所依据的有关法律、法规、司法解释和部门规章</w:t>
      </w:r>
    </w:p>
    <w:p w14:paraId="673BB08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（1）《中华人民共和国民法典》；</w:t>
      </w:r>
    </w:p>
    <w:p w14:paraId="6D79646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（2）《中华人民共和国资产评估法》；</w:t>
      </w:r>
    </w:p>
    <w:p w14:paraId="72977AB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（3）《中华人民共和国城市房地产管理法》；</w:t>
      </w:r>
    </w:p>
    <w:p w14:paraId="5074ADC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（4）《中华人民共和国土地管理法》；</w:t>
      </w:r>
    </w:p>
    <w:p w14:paraId="3B7BAF0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（5）《中华人民共和国城乡规划法》。</w:t>
      </w:r>
    </w:p>
    <w:p w14:paraId="0EE317CE">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2.</w:t>
      </w:r>
      <w:r>
        <w:rPr>
          <w:rFonts w:hint="eastAsia" w:ascii="楷体" w:hAnsi="楷体" w:eastAsia="楷体"/>
          <w:bCs/>
          <w:sz w:val="28"/>
          <w:szCs w:val="28"/>
        </w:rPr>
        <w:t>本次估价采用的技术规程</w:t>
      </w:r>
    </w:p>
    <w:p w14:paraId="23B68C45">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（1）《房地产估价规范》GB/T 50291-2015；</w:t>
      </w:r>
    </w:p>
    <w:p w14:paraId="3ADF9F4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（2）《房地产估价基本术语标准》GB/T 50899-2013;</w:t>
      </w:r>
    </w:p>
    <w:p w14:paraId="4619D129">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（3）《房地产租金评估技术指引》沪房地估协（2024）1号。</w:t>
      </w:r>
    </w:p>
    <w:p w14:paraId="5974035F">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3.</w:t>
      </w:r>
      <w:r>
        <w:rPr>
          <w:rFonts w:hint="eastAsia" w:ascii="楷体" w:hAnsi="楷体" w:eastAsia="楷体"/>
          <w:bCs/>
          <w:sz w:val="28"/>
          <w:szCs w:val="28"/>
        </w:rPr>
        <w:t>估价委托人提供的有关资料</w:t>
      </w:r>
    </w:p>
    <w:p w14:paraId="4BCA2DBB">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（1）《委托评估协议书》复印件；</w:t>
      </w:r>
    </w:p>
    <w:p w14:paraId="312B5415">
      <w:pPr>
        <w:spacing w:line="560" w:lineRule="exact"/>
        <w:ind w:firstLine="560" w:firstLineChars="200"/>
        <w:jc w:val="left"/>
        <w:rPr>
          <w:rFonts w:hint="eastAsia" w:ascii="楷体" w:hAnsi="楷体" w:eastAsia="楷体"/>
          <w:bCs/>
          <w:sz w:val="28"/>
          <w:szCs w:val="28"/>
        </w:rPr>
      </w:pPr>
      <w:r>
        <w:rPr>
          <w:rFonts w:hint="eastAsia" w:ascii="楷体" w:hAnsi="楷体" w:eastAsia="楷体" w:cs="宋体"/>
          <w:kern w:val="2"/>
          <w:sz w:val="28"/>
          <w:szCs w:val="28"/>
          <w:lang w:val="en-US" w:eastAsia="zh-CN" w:bidi="ar-SA"/>
        </w:rPr>
        <w:t>（2）</w:t>
      </w:r>
      <w:r>
        <w:rPr>
          <w:rFonts w:hint="eastAsia" w:ascii="楷体" w:hAnsi="楷体" w:eastAsia="楷体"/>
          <w:bCs/>
          <w:sz w:val="28"/>
          <w:szCs w:val="28"/>
        </w:rPr>
        <w:t>其他有关资料。</w:t>
      </w:r>
    </w:p>
    <w:p w14:paraId="134BAD0E">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 xml:space="preserve">注册房地产估价师现场勘察资料与估价机构所搜集掌握的有关资料。  </w:t>
      </w:r>
      <w:bookmarkStart w:id="81" w:name="_Toc505087762"/>
      <w:bookmarkStart w:id="82" w:name="_Toc484941670"/>
    </w:p>
    <w:p w14:paraId="1797C2AE">
      <w:pPr>
        <w:spacing w:before="156" w:beforeLines="50" w:line="560" w:lineRule="exact"/>
        <w:jc w:val="left"/>
        <w:outlineLvl w:val="1"/>
        <w:rPr>
          <w:rFonts w:hint="eastAsia" w:ascii="楷体" w:hAnsi="楷体" w:eastAsia="楷体"/>
          <w:b/>
          <w:bCs/>
          <w:sz w:val="28"/>
          <w:szCs w:val="28"/>
        </w:rPr>
      </w:pPr>
      <w:bookmarkStart w:id="83" w:name="_Toc221710865"/>
      <w:bookmarkStart w:id="84" w:name="_Toc221711031"/>
      <w:r>
        <w:rPr>
          <w:rFonts w:hint="eastAsia" w:ascii="楷体" w:hAnsi="楷体" w:eastAsia="楷体"/>
          <w:b/>
          <w:bCs/>
          <w:sz w:val="28"/>
          <w:szCs w:val="28"/>
        </w:rPr>
        <w:t>九、估价方法</w:t>
      </w:r>
      <w:bookmarkEnd w:id="81"/>
      <w:bookmarkEnd w:id="82"/>
      <w:bookmarkEnd w:id="83"/>
      <w:bookmarkEnd w:id="84"/>
    </w:p>
    <w:p w14:paraId="1C184271">
      <w:pPr>
        <w:spacing w:line="560" w:lineRule="exact"/>
        <w:ind w:firstLine="560" w:firstLineChars="200"/>
        <w:jc w:val="left"/>
        <w:rPr>
          <w:rFonts w:hint="eastAsia" w:ascii="楷体" w:hAnsi="楷体" w:eastAsia="楷体"/>
          <w:bCs/>
          <w:sz w:val="28"/>
          <w:szCs w:val="28"/>
        </w:rPr>
      </w:pPr>
      <w:bookmarkStart w:id="85" w:name="_Hlk207891576"/>
      <w:r>
        <w:rPr>
          <w:rFonts w:hint="eastAsia" w:ascii="楷体" w:hAnsi="楷体" w:eastAsia="楷体"/>
          <w:bCs/>
          <w:sz w:val="28"/>
          <w:szCs w:val="28"/>
        </w:rPr>
        <w:t>根据《房地产估价规范》(GB/T50291-2015) ，并参考《房地产租金评估技术指引》沪房地估协（2024）1号,估价方法通常有比较法、成本法、价值折算法、剩余法四种。</w:t>
      </w:r>
    </w:p>
    <w:p w14:paraId="38EF884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比较法是根据与估价对象相似的房地产租金来经比较、调整或修正来求取估价对象房地产租金的方法。</w:t>
      </w:r>
    </w:p>
    <w:p w14:paraId="1603CAB6">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成本法是以租金各个构成项之和来求取房地产租金的方法。</w:t>
      </w:r>
    </w:p>
    <w:p w14:paraId="6327445E">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价值折算法是选取适宜方法求得估价对象房地产市场价值或价格，然后确定估价对象报酬率或资本化率，选用适当的数学公式求取折算系数，计算房地产净收益，加上运营费、相关税费等得出房地产租金的方法。</w:t>
      </w:r>
    </w:p>
    <w:p w14:paraId="2032F956">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剩余法是根据房地产经营产生的经营收入，扣除经营成本和经营利润，或根据改造完成后的房地产租赁收入，扣除需投入的改造成本，求取房地产租金的方法。</w:t>
      </w:r>
    </w:p>
    <w:p w14:paraId="4540C357">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估价人员在认真分析所掌握的资料，并对估价对象进行了实地查勘以及对周边房地产市场的分析，依据《房地产估价规范》估价对象的特点及本次估价目的，遵照国家有关法律、法规、估价技术标准，经过反复研究，</w:t>
      </w:r>
      <w:r>
        <w:rPr>
          <w:rFonts w:hint="eastAsia" w:ascii="楷体" w:hAnsi="楷体" w:eastAsia="楷体" w:cs="仿宋"/>
          <w:sz w:val="28"/>
          <w:szCs w:val="28"/>
        </w:rPr>
        <w:t>本次估价对象租赁价值选用比较法进行评估，并对上述评估方法的测算确定评估价值</w:t>
      </w:r>
      <w:r>
        <w:rPr>
          <w:rFonts w:hint="eastAsia" w:ascii="楷体" w:hAnsi="楷体" w:eastAsia="楷体"/>
          <w:bCs/>
          <w:sz w:val="28"/>
          <w:szCs w:val="28"/>
        </w:rPr>
        <w:t>。</w:t>
      </w:r>
      <w:bookmarkStart w:id="86" w:name="_Toc484941671"/>
      <w:bookmarkStart w:id="87" w:name="_Toc505087763"/>
    </w:p>
    <w:bookmarkEnd w:id="85"/>
    <w:p w14:paraId="7E063686">
      <w:pPr>
        <w:spacing w:before="156" w:beforeLines="50" w:line="560" w:lineRule="exact"/>
        <w:jc w:val="left"/>
        <w:outlineLvl w:val="1"/>
        <w:rPr>
          <w:rFonts w:hint="eastAsia" w:ascii="楷体" w:hAnsi="楷体" w:eastAsia="楷体"/>
          <w:b/>
          <w:bCs/>
          <w:sz w:val="28"/>
          <w:szCs w:val="28"/>
        </w:rPr>
      </w:pPr>
      <w:bookmarkStart w:id="88" w:name="_Toc221711032"/>
      <w:bookmarkStart w:id="89" w:name="_Toc221710866"/>
      <w:r>
        <w:rPr>
          <w:rFonts w:hint="eastAsia" w:ascii="楷体" w:hAnsi="楷体" w:eastAsia="楷体"/>
          <w:b/>
          <w:bCs/>
          <w:sz w:val="28"/>
          <w:szCs w:val="28"/>
        </w:rPr>
        <w:t>十、估价结果</w:t>
      </w:r>
      <w:bookmarkEnd w:id="86"/>
      <w:bookmarkEnd w:id="87"/>
      <w:bookmarkEnd w:id="88"/>
      <w:bookmarkEnd w:id="89"/>
    </w:p>
    <w:p w14:paraId="5AA1AAFA">
      <w:pPr>
        <w:snapToGrid w:val="0"/>
        <w:spacing w:line="540" w:lineRule="exact"/>
        <w:ind w:left="71" w:leftChars="0" w:firstLine="560" w:firstLineChars="200"/>
        <w:jc w:val="left"/>
      </w:pPr>
      <w:bookmarkStart w:id="90" w:name="_Toc505087764"/>
      <w:bookmarkStart w:id="91" w:name="_Toc221711033"/>
      <w:bookmarkStart w:id="92" w:name="_Toc484941672"/>
      <w:bookmarkStart w:id="93" w:name="_Toc221710867"/>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2026年3月25日在满足所有估价假设和限制条件下，</w:t>
      </w:r>
      <w:r>
        <w:rPr>
          <w:rFonts w:hint="eastAsia" w:ascii="楷体" w:hAnsi="楷体" w:eastAsia="楷体"/>
          <w:b/>
          <w:kern w:val="2"/>
          <w:sz w:val="28"/>
          <w:szCs w:val="28"/>
          <w:lang w:val="en-US" w:eastAsia="zh-CN" w:bidi="ar-SA"/>
        </w:rPr>
        <w:t>确定估价对象的年租赁价值为157534元，大写：人民币壹拾伍万柒仟伍佰叁拾肆元整。</w:t>
      </w:r>
    </w:p>
    <w:p w14:paraId="2157DDE7">
      <w:pPr>
        <w:spacing w:before="156" w:beforeLines="50" w:line="560" w:lineRule="exact"/>
        <w:jc w:val="left"/>
        <w:outlineLvl w:val="1"/>
        <w:rPr>
          <w:rFonts w:ascii="楷体" w:hAnsi="楷体" w:eastAsia="楷体"/>
          <w:b/>
          <w:bCs/>
          <w:sz w:val="28"/>
          <w:szCs w:val="28"/>
        </w:rPr>
      </w:pPr>
      <w:r>
        <w:rPr>
          <w:rFonts w:hint="eastAsia" w:ascii="楷体" w:hAnsi="楷体" w:eastAsia="楷体"/>
          <w:b/>
          <w:bCs/>
          <w:sz w:val="28"/>
          <w:szCs w:val="28"/>
        </w:rPr>
        <w:t>十一、注册房地产估价师</w:t>
      </w:r>
      <w:bookmarkEnd w:id="90"/>
      <w:bookmarkEnd w:id="91"/>
      <w:bookmarkEnd w:id="92"/>
      <w:bookmarkEnd w:id="93"/>
      <w:bookmarkStart w:id="94" w:name="_Hlk221709317"/>
    </w:p>
    <w:tbl>
      <w:tblPr>
        <w:tblStyle w:val="28"/>
        <w:tblW w:w="917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366"/>
      </w:tblGrid>
      <w:tr w14:paraId="4420CB1D">
        <w:trPr>
          <w:trHeight w:val="611" w:hRule="exact"/>
        </w:trPr>
        <w:tc>
          <w:tcPr>
            <w:tcW w:w="1640" w:type="dxa"/>
            <w:noWrap w:val="0"/>
            <w:vAlign w:val="center"/>
          </w:tcPr>
          <w:p w14:paraId="6CEC1CF3">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bookmarkStart w:id="95" w:name="%E8%AF%84%E4%BC%B0%E4%BA%BA%E5%91%98"/>
            <w:bookmarkEnd w:id="95"/>
            <w:r>
              <w:rPr>
                <w:rFonts w:hint="eastAsia" w:ascii="楷体" w:hAnsi="楷体" w:eastAsia="楷体" w:cs="宋体"/>
                <w:sz w:val="28"/>
                <w:szCs w:val="28"/>
              </w:rPr>
              <w:t>姓 名</w:t>
            </w:r>
          </w:p>
        </w:tc>
        <w:tc>
          <w:tcPr>
            <w:tcW w:w="2092" w:type="dxa"/>
            <w:noWrap w:val="0"/>
            <w:vAlign w:val="center"/>
          </w:tcPr>
          <w:p w14:paraId="25FAC6B6">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3F62AF50">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366" w:type="dxa"/>
            <w:noWrap w:val="0"/>
            <w:vAlign w:val="center"/>
          </w:tcPr>
          <w:p w14:paraId="6163269D">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008940F5">
        <w:trPr>
          <w:trHeight w:val="1259" w:hRule="exact"/>
        </w:trPr>
        <w:tc>
          <w:tcPr>
            <w:tcW w:w="1640" w:type="dxa"/>
            <w:noWrap w:val="0"/>
            <w:vAlign w:val="center"/>
          </w:tcPr>
          <w:p w14:paraId="27F7C9EA">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7E0FFA9C">
            <w:pPr>
              <w:tabs>
                <w:tab w:val="left" w:pos="8931"/>
                <w:tab w:val="left" w:pos="9214"/>
                <w:tab w:val="left" w:pos="9240"/>
              </w:tabs>
              <w:spacing w:line="440" w:lineRule="exact"/>
              <w:ind w:left="105" w:leftChars="50" w:right="168" w:rightChars="80"/>
              <w:rPr>
                <w:rFonts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5C03FBBC">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25C4388F">
            <w:pPr>
              <w:tabs>
                <w:tab w:val="left" w:pos="8931"/>
                <w:tab w:val="left" w:pos="9214"/>
                <w:tab w:val="left" w:pos="9240"/>
              </w:tabs>
              <w:spacing w:line="440" w:lineRule="exact"/>
              <w:ind w:left="105" w:leftChars="50" w:right="168" w:rightChars="80"/>
              <w:rPr>
                <w:rFonts w:ascii="楷体" w:hAnsi="楷体" w:eastAsia="楷体"/>
                <w:sz w:val="28"/>
              </w:rPr>
            </w:pPr>
          </w:p>
        </w:tc>
      </w:tr>
      <w:tr w14:paraId="2FAAD76A">
        <w:trPr>
          <w:trHeight w:val="1406" w:hRule="exact"/>
        </w:trPr>
        <w:tc>
          <w:tcPr>
            <w:tcW w:w="1640" w:type="dxa"/>
            <w:noWrap w:val="0"/>
            <w:vAlign w:val="center"/>
          </w:tcPr>
          <w:p w14:paraId="65392E5A">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507F136C">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21C8CC9C">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3EEABCE9">
            <w:pPr>
              <w:tabs>
                <w:tab w:val="left" w:pos="8931"/>
                <w:tab w:val="left" w:pos="9214"/>
                <w:tab w:val="left" w:pos="9240"/>
              </w:tabs>
              <w:spacing w:line="440" w:lineRule="exact"/>
              <w:ind w:left="105" w:leftChars="50" w:right="168" w:rightChars="80"/>
              <w:rPr>
                <w:rFonts w:ascii="楷体" w:hAnsi="楷体" w:eastAsia="楷体"/>
                <w:sz w:val="28"/>
              </w:rPr>
            </w:pPr>
          </w:p>
        </w:tc>
      </w:tr>
    </w:tbl>
    <w:p w14:paraId="393360F6">
      <w:pPr>
        <w:spacing w:line="560" w:lineRule="exact"/>
        <w:jc w:val="left"/>
        <w:rPr>
          <w:rFonts w:ascii="楷体" w:hAnsi="楷体" w:eastAsia="楷体"/>
          <w:bCs/>
          <w:sz w:val="28"/>
          <w:szCs w:val="28"/>
        </w:rPr>
      </w:pPr>
      <w:bookmarkStart w:id="96" w:name="_Toc221710868"/>
      <w:r>
        <w:rPr>
          <w:rFonts w:hint="eastAsia" w:ascii="楷体" w:hAnsi="楷体" w:eastAsia="楷体"/>
          <w:bCs/>
          <w:sz w:val="28"/>
          <w:szCs w:val="28"/>
        </w:rPr>
        <w:t>协助估价人员</w:t>
      </w:r>
      <w:bookmarkEnd w:id="96"/>
      <w:r>
        <w:rPr>
          <w:rFonts w:hint="eastAsia" w:ascii="楷体" w:hAnsi="楷体" w:eastAsia="楷体"/>
          <w:bCs/>
          <w:sz w:val="28"/>
          <w:szCs w:val="28"/>
        </w:rPr>
        <w:t xml:space="preserve">   </w:t>
      </w:r>
    </w:p>
    <w:bookmarkEnd w:id="94"/>
    <w:tbl>
      <w:tblPr>
        <w:tblStyle w:val="28"/>
        <w:tblW w:w="91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2309"/>
        <w:gridCol w:w="2964"/>
        <w:gridCol w:w="2269"/>
      </w:tblGrid>
      <w:tr w14:paraId="40984B58">
        <w:trPr>
          <w:trHeight w:val="1406" w:hRule="exact"/>
        </w:trPr>
        <w:tc>
          <w:tcPr>
            <w:tcW w:w="1640"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center"/>
          </w:tcPr>
          <w:p w14:paraId="2E3738C3">
            <w:pPr>
              <w:tabs>
                <w:tab w:val="left" w:pos="8931"/>
                <w:tab w:val="left" w:pos="9214"/>
                <w:tab w:val="left" w:pos="9240"/>
              </w:tabs>
              <w:spacing w:line="440" w:lineRule="exact"/>
              <w:ind w:right="168" w:rightChars="80" w:firstLine="280" w:firstLineChars="100"/>
              <w:rPr>
                <w:rFonts w:ascii="楷体" w:hAnsi="楷体" w:eastAsia="楷体" w:cs="宋体"/>
                <w:kern w:val="2"/>
                <w:sz w:val="28"/>
                <w:szCs w:val="28"/>
                <w:lang w:val="en-US" w:eastAsia="zh-CN" w:bidi="ar-SA"/>
              </w:rPr>
            </w:pPr>
            <w:bookmarkStart w:id="97" w:name="_Toc505087765"/>
            <w:bookmarkStart w:id="98" w:name="_Toc221711034"/>
            <w:bookmarkStart w:id="99" w:name="_Toc221710869"/>
            <w:bookmarkStart w:id="100" w:name="_Toc484941673"/>
            <w:r>
              <w:rPr>
                <w:rFonts w:hint="eastAsia" w:ascii="楷体" w:hAnsi="楷体" w:eastAsia="楷体" w:cs="宋体"/>
                <w:kern w:val="2"/>
                <w:sz w:val="28"/>
                <w:szCs w:val="28"/>
                <w:lang w:val="en-US" w:eastAsia="zh-CN" w:bidi="ar-SA"/>
              </w:rPr>
              <w:t>郑伟娜</w:t>
            </w:r>
          </w:p>
        </w:tc>
        <w:tc>
          <w:tcPr>
            <w:tcW w:w="2092"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center"/>
          </w:tcPr>
          <w:p w14:paraId="0AF1E190">
            <w:pPr>
              <w:tabs>
                <w:tab w:val="left" w:pos="8931"/>
                <w:tab w:val="left" w:pos="9214"/>
                <w:tab w:val="left" w:pos="9240"/>
              </w:tabs>
              <w:spacing w:line="440" w:lineRule="exact"/>
              <w:ind w:left="105" w:leftChars="50" w:right="168" w:rightChars="80"/>
              <w:rPr>
                <w:rFonts w:ascii="楷体" w:hAnsi="楷体" w:eastAsia="楷体"/>
                <w:kern w:val="2"/>
                <w:sz w:val="28"/>
                <w:lang w:val="en-US" w:eastAsia="zh-CN" w:bidi="ar-SA"/>
              </w:rPr>
            </w:pPr>
            <w:r>
              <w:rPr>
                <w:rFonts w:hint="eastAsia" w:ascii="楷体" w:hAnsi="楷体" w:eastAsia="楷体" w:cs="宋体"/>
                <w:kern w:val="2"/>
                <w:sz w:val="28"/>
                <w:szCs w:val="28"/>
                <w:lang w:val="en-US" w:eastAsia="zh-CN" w:bidi="ar-SA"/>
              </w:rPr>
              <w:t>3300507030470</w:t>
            </w:r>
          </w:p>
        </w:tc>
        <w:tc>
          <w:tcPr>
            <w:tcW w:w="3072"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center"/>
          </w:tcPr>
          <w:p w14:paraId="3345D2D3"/>
        </w:tc>
        <w:tc>
          <w:tcPr>
            <w:tcW w:w="2349"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center"/>
          </w:tcPr>
          <w:p w14:paraId="36156F5F"/>
        </w:tc>
      </w:tr>
    </w:tbl>
    <w:p w14:paraId="3304C27D"/>
    <w:p w14:paraId="300EE404">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十二、实地查勘期</w:t>
      </w:r>
      <w:bookmarkEnd w:id="97"/>
      <w:bookmarkEnd w:id="98"/>
      <w:bookmarkEnd w:id="99"/>
      <w:bookmarkEnd w:id="100"/>
    </w:p>
    <w:p w14:paraId="0C386ECE">
      <w:pPr>
        <w:spacing w:line="560" w:lineRule="exact"/>
        <w:ind w:firstLine="560" w:firstLineChars="200"/>
        <w:jc w:val="left"/>
      </w:pPr>
      <w:bookmarkStart w:id="101" w:name="_Toc484941674"/>
      <w:bookmarkStart w:id="102" w:name="_Toc221711035"/>
      <w:bookmarkStart w:id="103" w:name="_Toc221710870"/>
      <w:bookmarkStart w:id="104" w:name="_Toc505087766"/>
      <w:r>
        <w:rPr>
          <w:rFonts w:hint="eastAsia" w:ascii="楷体" w:hAnsi="楷体" w:eastAsia="楷体" w:cs="宋体"/>
          <w:kern w:val="2"/>
          <w:sz w:val="28"/>
          <w:szCs w:val="28"/>
          <w:lang w:val="en-US" w:eastAsia="zh-CN" w:bidi="ar-SA"/>
        </w:rPr>
        <w:t>2026年3月25日。</w:t>
      </w:r>
    </w:p>
    <w:p w14:paraId="00902070">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十三、估价作业期</w:t>
      </w:r>
      <w:bookmarkEnd w:id="101"/>
      <w:bookmarkEnd w:id="102"/>
      <w:bookmarkEnd w:id="103"/>
      <w:bookmarkEnd w:id="104"/>
    </w:p>
    <w:p w14:paraId="699D546A">
      <w:pPr>
        <w:spacing w:line="560" w:lineRule="exact"/>
        <w:ind w:firstLine="560" w:firstLineChars="200"/>
        <w:jc w:val="left"/>
      </w:pPr>
      <w:bookmarkStart w:id="105" w:name="_Toc221711036"/>
      <w:bookmarkStart w:id="106" w:name="_Toc221710871"/>
      <w:bookmarkStart w:id="107" w:name="_Toc505087769"/>
      <w:bookmarkStart w:id="108" w:name="_Toc484941677"/>
      <w:r>
        <w:rPr>
          <w:rFonts w:hint="eastAsia" w:ascii="楷体" w:hAnsi="楷体" w:eastAsia="楷体" w:cs="宋体"/>
          <w:kern w:val="2"/>
          <w:sz w:val="28"/>
          <w:szCs w:val="28"/>
          <w:lang w:val="en-US" w:eastAsia="zh-CN" w:bidi="ar-SA"/>
        </w:rPr>
        <w:t>2026年3月25日至{{ issue_date }}。</w:t>
      </w:r>
    </w:p>
    <w:p w14:paraId="27A83D96">
      <w:pPr>
        <w:spacing w:before="156" w:beforeLines="50" w:after="156" w:afterLines="50" w:line="360" w:lineRule="auto"/>
        <w:jc w:val="center"/>
        <w:outlineLvl w:val="0"/>
        <w:rPr>
          <w:rFonts w:hint="eastAsia" w:ascii="楷体" w:hAnsi="楷体" w:eastAsia="楷体"/>
          <w:b/>
          <w:sz w:val="48"/>
          <w:szCs w:val="48"/>
        </w:rPr>
      </w:pPr>
      <w:r>
        <w:rPr>
          <w:rFonts w:hint="eastAsia" w:ascii="楷体" w:hAnsi="楷体" w:eastAsia="楷体"/>
          <w:b/>
          <w:sz w:val="48"/>
          <w:szCs w:val="48"/>
        </w:rPr>
        <w:br w:type="page"/>
      </w:r>
      <w:r>
        <w:rPr>
          <w:rFonts w:hint="eastAsia" w:ascii="楷体" w:hAnsi="楷体" w:eastAsia="楷体"/>
          <w:b/>
          <w:sz w:val="48"/>
          <w:szCs w:val="48"/>
        </w:rPr>
        <w:t>附 件</w:t>
      </w:r>
      <w:bookmarkEnd w:id="105"/>
      <w:bookmarkEnd w:id="106"/>
    </w:p>
    <w:bookmarkEnd w:id="107"/>
    <w:bookmarkEnd w:id="108"/>
    <w:p w14:paraId="010ECADC">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一、估价对象区位图</w:t>
      </w:r>
    </w:p>
    <w:p w14:paraId="65FA532E">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二、估价对象照片</w:t>
      </w:r>
    </w:p>
    <w:p w14:paraId="659F5B2D">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三、《委托评估协议书》复印件</w:t>
      </w:r>
    </w:p>
    <w:p w14:paraId="2A15185B">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kern w:val="2"/>
          <w:sz w:val="28"/>
          <w:szCs w:val="28"/>
          <w:lang w:val="en-US" w:eastAsia="zh-CN" w:bidi="ar-SA"/>
        </w:rPr>
        <w:t>四、</w:t>
      </w:r>
      <w:r>
        <w:rPr>
          <w:rFonts w:hint="eastAsia" w:ascii="楷体" w:hAnsi="楷体" w:eastAsia="楷体" w:cs="宋体"/>
          <w:sz w:val="28"/>
          <w:szCs w:val="28"/>
        </w:rPr>
        <w:t>估价人员资质证书复印件</w:t>
      </w:r>
    </w:p>
    <w:p w14:paraId="65D525F4">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五</w:t>
      </w:r>
      <w:r>
        <w:rPr>
          <w:rFonts w:hint="eastAsia" w:ascii="楷体" w:hAnsi="楷体" w:eastAsia="楷体" w:cs="宋体"/>
          <w:sz w:val="28"/>
          <w:szCs w:val="28"/>
        </w:rPr>
        <w:t>、估价机构资质证书复印件</w:t>
      </w:r>
    </w:p>
    <w:p w14:paraId="6D22E852">
      <w:pPr>
        <w:pStyle w:val="53"/>
        <w:ind w:firstLine="420" w:firstLineChars="150"/>
        <w:rPr>
          <w:rFonts w:hint="eastAsia"/>
        </w:rPr>
      </w:pPr>
      <w:r>
        <w:rPr>
          <w:rFonts w:hint="eastAsia" w:ascii="楷体" w:hAnsi="楷体" w:eastAsia="楷体" w:cs="宋体"/>
          <w:sz w:val="28"/>
          <w:szCs w:val="28"/>
          <w:lang w:val="en-US" w:eastAsia="zh-CN"/>
        </w:rPr>
        <w:t>六</w:t>
      </w:r>
      <w:r>
        <w:rPr>
          <w:rFonts w:hint="eastAsia" w:ascii="楷体" w:hAnsi="楷体" w:eastAsia="楷体" w:cs="宋体"/>
          <w:sz w:val="28"/>
          <w:szCs w:val="28"/>
        </w:rPr>
        <w:t>、估价机构营业执照复印件</w:t>
      </w:r>
    </w:p>
    <w:p w14:paraId="4C9618EF">
      <w:pPr>
        <w:rPr>
          <w:rFonts w:hint="eastAsia" w:ascii="楷体" w:hAnsi="楷体" w:eastAsia="楷体" w:cs="仿宋"/>
          <w:bCs/>
          <w:sz w:val="28"/>
          <w:szCs w:val="28"/>
        </w:rPr>
      </w:pPr>
    </w:p>
    <w:p w14:paraId="2571FF41">
      <w:pPr>
        <w:rPr>
          <w:rFonts w:hint="eastAsia" w:ascii="楷体" w:hAnsi="楷体" w:eastAsia="楷体" w:cs="仿宋"/>
          <w:bCs/>
          <w:sz w:val="28"/>
          <w:szCs w:val="28"/>
        </w:rPr>
      </w:pPr>
    </w:p>
    <w:p w14:paraId="3A0E4D3A">
      <w:pPr>
        <w:rPr>
          <w:rFonts w:hint="eastAsia" w:ascii="楷体" w:hAnsi="楷体" w:eastAsia="楷体" w:cs="仿宋"/>
          <w:bCs/>
          <w:sz w:val="28"/>
          <w:szCs w:val="28"/>
        </w:rPr>
      </w:pPr>
    </w:p>
    <w:p w14:paraId="1C398215">
      <w:pPr>
        <w:rPr>
          <w:rFonts w:hint="eastAsia" w:ascii="楷体" w:hAnsi="楷体" w:eastAsia="楷体" w:cs="仿宋"/>
          <w:bCs/>
          <w:sz w:val="28"/>
          <w:szCs w:val="28"/>
        </w:rPr>
      </w:pPr>
    </w:p>
    <w:p w14:paraId="6505023F">
      <w:pPr>
        <w:rPr>
          <w:rFonts w:hint="eastAsia" w:ascii="楷体" w:hAnsi="楷体" w:eastAsia="楷体" w:cs="仿宋"/>
          <w:bCs/>
          <w:sz w:val="28"/>
          <w:szCs w:val="28"/>
        </w:rPr>
      </w:pPr>
    </w:p>
    <w:p w14:paraId="49F8DD5A">
      <w:pPr>
        <w:rPr>
          <w:rFonts w:hint="eastAsia" w:ascii="楷体" w:hAnsi="楷体" w:eastAsia="楷体" w:cs="仿宋"/>
          <w:bCs/>
          <w:sz w:val="28"/>
          <w:szCs w:val="28"/>
        </w:rPr>
      </w:pPr>
    </w:p>
    <w:p w14:paraId="6955F0E0">
      <w:pPr>
        <w:rPr>
          <w:rFonts w:hint="eastAsia" w:ascii="楷体" w:hAnsi="楷体" w:eastAsia="楷体" w:cs="仿宋"/>
          <w:bCs/>
          <w:sz w:val="28"/>
          <w:szCs w:val="28"/>
        </w:rPr>
      </w:pPr>
    </w:p>
    <w:p w14:paraId="4FBAF557">
      <w:pPr>
        <w:rPr>
          <w:rFonts w:hint="eastAsia" w:ascii="楷体" w:hAnsi="楷体" w:eastAsia="楷体" w:cs="仿宋"/>
          <w:bCs/>
          <w:sz w:val="28"/>
          <w:szCs w:val="28"/>
        </w:rPr>
      </w:pPr>
    </w:p>
    <w:p w14:paraId="02A8B927">
      <w:pPr>
        <w:rPr>
          <w:rFonts w:hint="eastAsia" w:ascii="楷体" w:hAnsi="楷体" w:eastAsia="楷体" w:cs="仿宋"/>
          <w:bCs/>
          <w:sz w:val="28"/>
          <w:szCs w:val="28"/>
        </w:rPr>
      </w:pPr>
    </w:p>
    <w:p w14:paraId="633C0F42">
      <w:pPr>
        <w:rPr>
          <w:rFonts w:hint="eastAsia" w:ascii="楷体" w:hAnsi="楷体" w:eastAsia="楷体" w:cs="仿宋"/>
          <w:bCs/>
          <w:sz w:val="28"/>
          <w:szCs w:val="28"/>
        </w:rPr>
      </w:pPr>
    </w:p>
    <w:p w14:paraId="6E0519B7">
      <w:pPr>
        <w:jc w:val="center"/>
        <w:rPr>
          <w:rFonts w:ascii="楷体" w:hAnsi="楷体" w:eastAsia="楷体" w:cs="仿宋"/>
          <w:bCs/>
          <w:sz w:val="28"/>
          <w:szCs w:val="28"/>
        </w:rPr>
      </w:pPr>
    </w:p>
    <w:p w14:paraId="019CA91B">
      <w:pPr>
        <w:jc w:val="center"/>
        <w:rPr>
          <w:rFonts w:hint="eastAsia" w:ascii="楷体" w:hAnsi="楷体" w:eastAsia="楷体" w:cs="仿宋"/>
          <w:bCs/>
          <w:sz w:val="28"/>
          <w:szCs w:val="28"/>
        </w:rPr>
      </w:pPr>
    </w:p>
    <w:p w14:paraId="27843E3A">
      <w:pPr>
        <w:jc w:val="center"/>
        <w:rPr>
          <w:rFonts w:hint="eastAsia" w:ascii="楷体" w:hAnsi="楷体" w:eastAsia="楷体" w:cs="仿宋"/>
          <w:bCs/>
          <w:sz w:val="28"/>
          <w:szCs w:val="28"/>
        </w:rPr>
      </w:pPr>
    </w:p>
    <w:p w14:paraId="11C854FA">
      <w:pPr>
        <w:jc w:val="center"/>
        <w:rPr>
          <w:rFonts w:ascii="楷体" w:hAnsi="楷体" w:eastAsia="楷体" w:cs="仿宋"/>
          <w:bCs/>
          <w:sz w:val="28"/>
          <w:szCs w:val="28"/>
        </w:rPr>
      </w:pPr>
    </w:p>
    <w:p w14:paraId="27B91F28">
      <w:pPr>
        <w:jc w:val="center"/>
        <w:rPr>
          <w:rFonts w:hint="eastAsia" w:ascii="楷体" w:hAnsi="楷体" w:eastAsia="楷体" w:cs="仿宋"/>
          <w:bCs/>
          <w:sz w:val="28"/>
          <w:szCs w:val="28"/>
        </w:rPr>
      </w:pPr>
    </w:p>
    <w:p w14:paraId="2404647B">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估价对象区位图</w:t>
      </w:r>
    </w:p>
    <w:tbl>
      <w:tblPr>
        <w:tblStyle w:val="28"/>
        <w:tblW w:w="9476"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6"/>
      </w:tblGrid>
      <w:tr w14:paraId="55B9819D">
        <w:trPr>
          <w:wBefore w:w="0" w:type="dxa"/>
          <w:wAfter w:w="0" w:type="dxa"/>
          <w:trHeight w:val="11613" w:hRule="atLeast"/>
        </w:trPr>
        <w:tc>
          <w:tcPr>
            <w:tcW w:w="9476" w:type="dxa"/>
            <w:noWrap w:val="0"/>
            <w:vAlign w:val="top"/>
          </w:tcPr>
          <w:p w14:paraId="2CA23FE3">
            <w:pPr>
              <w:rPr>
                <w:rFonts w:hint="eastAsia" w:ascii="楷体" w:hAnsi="楷体" w:eastAsia="宋体" w:cs="宋体"/>
                <w:sz w:val="44"/>
                <w:szCs w:val="44"/>
                <w:lang w:eastAsia="zh-CN"/>
              </w:rPr>
            </w:pPr>
            <w:r>
              <w:rPr>
                <w:rFonts w:ascii="楷体" w:hAnsi="楷体" w:eastAsia="楷体" w:cs="宋体"/>
                <w:sz w:val="44"/>
                <w:szCs w:val="44"/>
                <w:lang/>
              </w:rPr>
              <mc:AlternateContent>
                <mc:Choice Requires="wps">
                  <w:drawing>
                    <wp:anchor distT="0" distB="0" distL="114300" distR="114300" simplePos="0" relativeHeight="251659264" behindDoc="0" locked="0" layoutInCell="1" allowOverlap="1">
                      <wp:simplePos x="0" y="0"/>
                      <wp:positionH relativeFrom="column">
                        <wp:posOffset>3145790</wp:posOffset>
                      </wp:positionH>
                      <wp:positionV relativeFrom="paragraph">
                        <wp:posOffset>4859655</wp:posOffset>
                      </wp:positionV>
                      <wp:extent cx="425450" cy="403860"/>
                      <wp:effectExtent l="19685" t="20320" r="37465" b="58420"/>
                      <wp:wrapNone/>
                      <wp:docPr id="1" name="自选图形 5"/>
                      <wp:cNvGraphicFramePr/>
                      <a:graphic xmlns:a="http://schemas.openxmlformats.org/drawingml/2006/main">
                        <a:graphicData uri="http://schemas.microsoft.com/office/word/2010/wordprocessingShape">
                          <wps:wsp>
                            <wps:cNvSpPr/>
                            <wps:spPr>
                              <a:xfrm>
                                <a:off x="0" y="0"/>
                                <a:ext cx="425450" cy="403860"/>
                              </a:xfrm>
                              <a:prstGeom prst="star5">
                                <a:avLst/>
                              </a:prstGeom>
                              <a:gradFill rotWithShape="0">
                                <a:gsLst>
                                  <a:gs pos="0">
                                    <a:srgbClr val="D99594"/>
                                  </a:gs>
                                  <a:gs pos="50000">
                                    <a:srgbClr val="C0504D"/>
                                  </a:gs>
                                  <a:gs pos="100000">
                                    <a:srgbClr val="D99594"/>
                                  </a:gs>
                                </a:gsLst>
                                <a:lin ang="5400000" scaled="1"/>
                                <a:tileRect/>
                              </a:gradFill>
                              <a:ln w="12700" cap="flat" cmpd="sng">
                                <a:solidFill>
                                  <a:srgbClr val="C0504D"/>
                                </a:solidFill>
                                <a:prstDash val="solid"/>
                                <a:miter/>
                                <a:headEnd type="none" w="med" len="med"/>
                                <a:tailEnd type="none" w="med" len="med"/>
                              </a:ln>
                              <a:effectLst>
                                <a:outerShdw dist="28398" dir="3806096" algn="ctr" rotWithShape="0">
                                  <a:srgbClr val="622423"/>
                                </a:outerShdw>
                              </a:effectLst>
                            </wps:spPr>
                            <wps:txbx>
                              <w:txbxContent>
                                <w:p w14:paraId="64C7D3C2">
                                  <w:pPr>
                                    <w:jc w:val="left"/>
                                  </w:pPr>
                                </w:p>
                              </w:txbxContent>
                            </wps:txbx>
                            <wps:bodyPr wrap="square" upright="1"/>
                          </wps:wsp>
                        </a:graphicData>
                      </a:graphic>
                    </wp:anchor>
                  </w:drawing>
                </mc:Choice>
                <mc:Fallback>
                  <w:pict>
                    <v:shape id="自选图形 5" o:spid="_x0000_s1026" style="position:absolute;left:0pt;margin-left:247.7pt;margin-top:382.65pt;height:31.8pt;width:33.5pt;z-index:251659264;mso-width-relative:page;mso-height-relative:page;" fillcolor="#D99594" filled="t" stroked="t" coordsize="425450,403860" o:gfxdata="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JToGEdkAAAALAQAADwAAAAAAAAABACAAAAAiAAAAZHJzL2Rvd25yZXYueG1s&#10;UEsBAhQAFAAAAAgAh07iQF15FBCiAgAAjgUAAA4AAAAAAAAAAQAgAAAAKAEAAGRycy9lMm9Eb2Mu&#10;eG1sUEsFBgAAAAAGAAYAWQEAADwGAAAAAA==&#10;" path="m0,154260l162508,154261,212725,0,262941,154261,425449,154260,293977,249598,344196,403858,212725,308519,81253,403858,131472,249598xe">
                      <v:path textboxrect="0,0,425450,403860" o:connectlocs="212725,0;0,154260;81253,403858;344196,403858;425449,154260" o:connectangles="247,164,82,82,0"/>
                      <v:fill type="gradient" on="t" color2="#C0504D" focus="50%" focussize="0f,0f" focusposition="0f,0f"/>
                      <v:stroke weight="1pt" color="#C0504D" joinstyle="miter"/>
                      <v:imagedata o:title=""/>
                      <o:lock v:ext="edit" aspectratio="f"/>
                      <v:shadow on="t" color="#622423" offset="1pt,2pt" origin="0f,0f" matrix="65536f,0f,0f,65536f"/>
                      <v:textbox>
                        <w:txbxContent>
                          <w:p w14:paraId="64C7D3C2">
                            <w:pPr>
                              <w:jc w:val="left"/>
                            </w:pPr>
                          </w:p>
                        </w:txbxContent>
                      </v:textbox>
                    </v:shape>
                  </w:pict>
                </mc:Fallback>
              </mc:AlternateContent>
            </w:r>
            <w:r/>
          </w:p>
        </w:tc>
      </w:tr>
    </w:tbl>
    <w:p w14:paraId="04E7D1C8">
      <w:pPr>
        <w:jc w:val="center"/>
        <w:rPr>
          <w:rFonts w:hint="eastAsia" w:ascii="楷体" w:hAnsi="楷体" w:eastAsia="楷体" w:cs="仿宋"/>
          <w:bCs/>
          <w:sz w:val="28"/>
          <w:szCs w:val="28"/>
        </w:rPr>
      </w:pPr>
    </w:p>
    <w:p w14:paraId="4995C2F5">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估价对象照片</w:t>
      </w:r>
    </w:p>
    <w:tbl>
      <w:tblPr>
        <w:tblStyle w:val="28"/>
        <w:tblW w:w="9132"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4707"/>
        <w:gridCol w:w="4425"/>
      </w:tblGrid>
      <w:tr w14:paraId="6B56FF09">
        <w:trPr>
          <w:wBefore w:w="0" w:type="auto"/>
          <w:wAfter w:w="0" w:type="auto"/>
          <w:trHeight w:val="3709" w:hRule="exact"/>
          <w:tblCellSpacing w:w="20" w:type="dxa"/>
          <w:jc w:val="center"/>
        </w:trPr>
        <w:tc>
          <w:tcPr>
            <w:tcW w:w="4647" w:type="dxa"/>
            <w:noWrap w:val="0"/>
            <w:vAlign w:val="top"/>
          </w:tcPr>
          <w:p w14:paraId="734BEB70">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10315212">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19786E20">
        <w:trPr>
          <w:wBefore w:w="0" w:type="auto"/>
          <w:wAfter w:w="0" w:type="auto"/>
          <w:trHeight w:val="512" w:hRule="exact"/>
          <w:tblCellSpacing w:w="20" w:type="dxa"/>
          <w:jc w:val="center"/>
        </w:trPr>
        <w:tc>
          <w:tcPr>
            <w:tcW w:w="4647" w:type="dxa"/>
            <w:noWrap w:val="0"/>
            <w:vAlign w:val="top"/>
          </w:tcPr>
          <w:p w14:paraId="22DC41DE">
            <w:pPr>
              <w:jc w:val="center"/>
              <w:rPr>
                <w:rFonts w:ascii="楷体" w:hAnsi="楷体" w:eastAsia="楷体"/>
                <w:b/>
                <w:sz w:val="28"/>
                <w:szCs w:val="28"/>
              </w:rPr>
            </w:pPr>
            <w:r>
              <w:rPr>
                <w:rFonts w:hint="eastAsia" w:ascii="楷体" w:hAnsi="楷体" w:eastAsia="楷体"/>
                <w:b/>
                <w:sz w:val="28"/>
                <w:szCs w:val="28"/>
              </w:rPr>
              <w:t>（1)</w:t>
            </w:r>
          </w:p>
        </w:tc>
        <w:tc>
          <w:tcPr>
            <w:tcW w:w="4365" w:type="dxa"/>
            <w:noWrap w:val="0"/>
            <w:vAlign w:val="top"/>
          </w:tcPr>
          <w:p w14:paraId="7D432F2C">
            <w:pPr>
              <w:jc w:val="center"/>
              <w:rPr>
                <w:rFonts w:ascii="楷体" w:hAnsi="楷体" w:eastAsia="楷体"/>
                <w:b/>
                <w:sz w:val="28"/>
                <w:szCs w:val="28"/>
              </w:rPr>
            </w:pPr>
            <w:r>
              <w:rPr>
                <w:rFonts w:hint="eastAsia" w:ascii="楷体" w:hAnsi="楷体" w:eastAsia="楷体"/>
                <w:b/>
                <w:sz w:val="28"/>
                <w:szCs w:val="28"/>
              </w:rPr>
              <w:t>（2)</w:t>
            </w:r>
          </w:p>
        </w:tc>
      </w:tr>
      <w:tr w14:paraId="438A7373">
        <w:trPr>
          <w:wBefore w:w="0" w:type="auto"/>
          <w:wAfter w:w="0" w:type="auto"/>
          <w:trHeight w:val="3263" w:hRule="exact"/>
          <w:tblCellSpacing w:w="20" w:type="dxa"/>
          <w:jc w:val="center"/>
        </w:trPr>
        <w:tc>
          <w:tcPr>
            <w:tcW w:w="4647" w:type="dxa"/>
            <w:noWrap w:val="0"/>
            <w:vAlign w:val="top"/>
          </w:tcPr>
          <w:p w14:paraId="009ED65A">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561F69FB">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6968D422">
        <w:trPr>
          <w:wBefore w:w="0" w:type="auto"/>
          <w:wAfter w:w="0" w:type="auto"/>
          <w:trHeight w:val="494" w:hRule="exact"/>
          <w:tblCellSpacing w:w="20" w:type="dxa"/>
          <w:jc w:val="center"/>
        </w:trPr>
        <w:tc>
          <w:tcPr>
            <w:tcW w:w="4647" w:type="dxa"/>
            <w:noWrap w:val="0"/>
            <w:vAlign w:val="top"/>
          </w:tcPr>
          <w:p w14:paraId="7150BF91">
            <w:pPr>
              <w:jc w:val="center"/>
              <w:rPr>
                <w:rFonts w:ascii="楷体" w:hAnsi="楷体" w:eastAsia="楷体"/>
                <w:b/>
                <w:sz w:val="28"/>
                <w:szCs w:val="28"/>
              </w:rPr>
            </w:pPr>
            <w:r>
              <w:rPr>
                <w:rFonts w:hint="eastAsia" w:ascii="楷体" w:hAnsi="楷体" w:eastAsia="楷体"/>
                <w:b/>
                <w:sz w:val="28"/>
                <w:szCs w:val="28"/>
              </w:rPr>
              <w:t>（3)</w:t>
            </w:r>
          </w:p>
        </w:tc>
        <w:tc>
          <w:tcPr>
            <w:tcW w:w="4365" w:type="dxa"/>
            <w:noWrap w:val="0"/>
            <w:vAlign w:val="top"/>
          </w:tcPr>
          <w:p w14:paraId="5C061E93">
            <w:pPr>
              <w:jc w:val="center"/>
              <w:rPr>
                <w:rFonts w:ascii="楷体" w:hAnsi="楷体" w:eastAsia="楷体"/>
                <w:b/>
                <w:sz w:val="28"/>
                <w:szCs w:val="28"/>
              </w:rPr>
            </w:pPr>
            <w:r>
              <w:rPr>
                <w:rFonts w:hint="eastAsia" w:ascii="楷体" w:hAnsi="楷体" w:eastAsia="楷体"/>
                <w:b/>
                <w:sz w:val="28"/>
                <w:szCs w:val="28"/>
              </w:rPr>
              <w:t>（4)</w:t>
            </w:r>
          </w:p>
        </w:tc>
      </w:tr>
      <w:tr w14:paraId="1486B07B">
        <w:trPr>
          <w:wBefore w:w="0" w:type="auto"/>
          <w:wAfter w:w="0" w:type="auto"/>
          <w:trHeight w:val="3352" w:hRule="exact"/>
          <w:tblCellSpacing w:w="20" w:type="dxa"/>
          <w:jc w:val="center"/>
        </w:trPr>
        <w:tc>
          <w:tcPr>
            <w:tcW w:w="4647" w:type="dxa"/>
            <w:noWrap w:val="0"/>
            <w:vAlign w:val="top"/>
          </w:tcPr>
          <w:p w14:paraId="23C0C5FA">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4365" w:type="dxa"/>
            <w:noWrap w:val="0"/>
            <w:vAlign w:val="top"/>
          </w:tcPr>
          <w:p w14:paraId="37882488">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14E66229">
        <w:trPr>
          <w:wBefore w:w="0" w:type="auto"/>
          <w:wAfter w:w="0" w:type="auto"/>
          <w:trHeight w:val="494" w:hRule="exact"/>
          <w:tblCellSpacing w:w="20" w:type="dxa"/>
          <w:jc w:val="center"/>
        </w:trPr>
        <w:tc>
          <w:tcPr>
            <w:tcW w:w="4647" w:type="dxa"/>
            <w:noWrap w:val="0"/>
            <w:vAlign w:val="top"/>
          </w:tcPr>
          <w:p w14:paraId="63D2D653">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5</w:t>
            </w:r>
            <w:r>
              <w:rPr>
                <w:rFonts w:hint="eastAsia" w:ascii="楷体" w:hAnsi="楷体" w:eastAsia="楷体"/>
                <w:b/>
                <w:sz w:val="28"/>
                <w:szCs w:val="28"/>
                <w:lang w:eastAsia="zh-CN"/>
              </w:rPr>
              <w:t>）</w:t>
            </w:r>
          </w:p>
        </w:tc>
        <w:tc>
          <w:tcPr>
            <w:tcW w:w="4365" w:type="dxa"/>
            <w:noWrap w:val="0"/>
            <w:vAlign w:val="top"/>
          </w:tcPr>
          <w:p w14:paraId="3CD1C365">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6</w:t>
            </w:r>
            <w:r>
              <w:rPr>
                <w:rFonts w:hint="eastAsia" w:ascii="楷体" w:hAnsi="楷体" w:eastAsia="楷体"/>
                <w:b/>
                <w:sz w:val="28"/>
                <w:szCs w:val="28"/>
                <w:lang w:eastAsia="zh-CN"/>
              </w:rPr>
              <w:t>）</w:t>
            </w:r>
          </w:p>
        </w:tc>
      </w:tr>
    </w:tbl>
    <w:p w14:paraId="40455D5A">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《委托评估协议书》复印件</w:t>
      </w:r>
    </w:p>
    <w:p w14:paraId="55156970">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r>
        <w:rPr>
          <w:rFonts w:hint="eastAsia" w:ascii="楷体" w:hAnsi="楷体" w:eastAsia="楷体"/>
          <w:sz w:val="36"/>
          <w:szCs w:val="36"/>
          <w:lang w:eastAsia="zh-CN"/>
        </w:rPr>
      </w:r>
    </w:p>
    <w:p w14:paraId="094D2237">
      <w:pPr>
        <w:spacing w:line="720" w:lineRule="auto"/>
        <w:jc w:val="center"/>
        <w:rPr>
          <w:rFonts w:hint="eastAsia" w:ascii="楷体" w:hAnsi="楷体" w:eastAsia="楷体"/>
          <w:sz w:val="36"/>
          <w:szCs w:val="36"/>
          <w:lang w:eastAsia="zh-CN"/>
        </w:rPr>
      </w:pPr>
    </w:p>
    <w:p w14:paraId="02E39685">
      <w:pPr>
        <w:spacing w:line="720" w:lineRule="auto"/>
        <w:jc w:val="center"/>
        <w:rPr>
          <w:rFonts w:hint="eastAsia" w:ascii="楷体" w:hAnsi="楷体" w:eastAsia="楷体"/>
          <w:sz w:val="36"/>
          <w:szCs w:val="36"/>
        </w:rPr>
      </w:pPr>
      <w:r>
        <w:rPr>
          <w:rFonts w:hint="eastAsia" w:ascii="楷体" w:hAnsi="楷体" w:eastAsia="楷体"/>
          <w:sz w:val="36"/>
          <w:szCs w:val="36"/>
        </w:rPr>
        <w:t>估价人员资质证书复印件</w:t>
      </w:r>
    </w:p>
    <w:tbl>
      <w:tblPr>
        <w:tblStyle w:val="28"/>
        <w:tblW w:w="9233"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9233"/>
      </w:tblGrid>
      <w:tr w14:paraId="16780204">
        <w:trPr>
          <w:wBefore w:w="0" w:type="dxa"/>
          <w:wAfter w:w="0" w:type="dxa"/>
          <w:trHeight w:val="6486" w:hRule="exact"/>
          <w:tblCellSpacing w:w="20" w:type="dxa"/>
          <w:jc w:val="center"/>
        </w:trPr>
        <w:tc>
          <w:tcPr>
            <w:tcW w:w="9153" w:type="dxa"/>
            <w:noWrap w:val="0"/>
            <w:vAlign w:val="top"/>
          </w:tcPr>
          <w:p w14:paraId="73FC939E">
            <w:pPr>
              <w:jc w:val="center"/>
              <w:rPr>
                <w:rFonts w:ascii="楷体" w:hAnsi="楷体" w:eastAsia="楷体"/>
                <w:b/>
                <w:sz w:val="32"/>
                <w:szCs w:val="32"/>
              </w:rPr>
            </w:pPr>
            <w:r>
              <w:rPr>
                <w:rFonts w:ascii="楷体" w:hAnsi="楷体" w:eastAsia="楷体"/>
                <w:b/>
                <w:sz w:val="32"/>
                <w:szCs w:val="32"/>
                <w:lang/>
              </w:rPr>
            </w:r>
          </w:p>
        </w:tc>
      </w:tr>
      <w:tr w14:paraId="211EEB28">
        <w:trPr>
          <w:wBefore w:w="0" w:type="dxa"/>
          <w:wAfter w:w="0" w:type="dxa"/>
          <w:trHeight w:val="6329" w:hRule="exact"/>
          <w:tblCellSpacing w:w="20" w:type="dxa"/>
          <w:jc w:val="center"/>
        </w:trPr>
        <w:tc>
          <w:tcPr>
            <w:tcW w:w="9153" w:type="dxa"/>
            <w:noWrap w:val="0"/>
            <w:vAlign w:val="top"/>
          </w:tcPr>
          <w:p w14:paraId="3A3DA361">
            <w:pPr>
              <w:jc w:val="center"/>
              <w:rPr>
                <w:rFonts w:ascii="楷体" w:hAnsi="楷体" w:eastAsia="楷体"/>
                <w:b/>
                <w:sz w:val="32"/>
                <w:szCs w:val="32"/>
              </w:rPr>
            </w:pPr>
            <w:r>
              <w:rPr>
                <w:rFonts w:ascii="楷体" w:hAnsi="楷体" w:eastAsia="楷体"/>
                <w:b/>
                <w:sz w:val="32"/>
                <w:szCs w:val="32"/>
                <w:lang/>
              </w:rPr>
            </w:r>
          </w:p>
        </w:tc>
      </w:tr>
    </w:tbl>
    <w:p w14:paraId="79453E98">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估价机构资质证书复印件</w:t>
      </w:r>
    </w:p>
    <w:p w14:paraId="7BE30EDE">
      <w:pPr>
        <w:jc w:val="center"/>
        <w:rPr>
          <w:rFonts w:hint="eastAsia" w:ascii="楷体" w:hAnsi="楷体" w:eastAsia="楷体" w:cs="仿宋"/>
          <w:bCs/>
          <w:sz w:val="28"/>
          <w:szCs w:val="28"/>
        </w:rPr>
      </w:pPr>
      <w:bookmarkStart w:id="109" w:name="_Hlk207891678"/>
      <w:r>
        <w:rPr>
          <w:rFonts w:ascii="楷体" w:hAnsi="楷体" w:eastAsia="楷体" w:cs="仿宋"/>
          <w:bCs/>
          <w:sz w:val="28"/>
          <w:szCs w:val="28"/>
        </w:rPr>
      </w:r>
      <w:bookmarkEnd w:id="109"/>
    </w:p>
    <w:p w14:paraId="6611DDEF">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估价机构营业执照复印件</w:t>
      </w:r>
    </w:p>
    <w:p w14:paraId="404F4094">
      <w:pPr>
        <w:spacing w:line="360" w:lineRule="auto"/>
        <w:ind w:left="-174" w:leftChars="-83" w:right="-71" w:rightChars="-34" w:firstLine="31" w:firstLineChars="7"/>
        <w:jc w:val="center"/>
        <w:rPr>
          <w:rFonts w:ascii="楷体" w:hAnsi="楷体" w:eastAsia="楷体" w:cs="宋体"/>
          <w:b/>
          <w:sz w:val="44"/>
          <w:szCs w:val="44"/>
        </w:rPr>
      </w:pPr>
      <w:r>
        <w:rPr>
          <w:rFonts w:ascii="楷体" w:hAnsi="楷体" w:eastAsia="楷体" w:cs="宋体"/>
          <w:b/>
          <w:color w:val="000000"/>
          <w:sz w:val="44"/>
          <w:szCs w:val="44"/>
        </w:rPr>
      </w:r>
    </w:p>
    <w:sectPr>
      <w:pgSz w:w="11906" w:h="16838"/>
      <w:pgMar w:top="1418" w:right="1134" w:bottom="1134" w:left="1418" w:header="851" w:footer="851" w:gutter="284"/>
      <w:pgNumType w:start="5"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Tahoma">
    <w:panose1 w:val="020B0604030504040204"/>
    <w:charset w:val="00"/>
    <w:family w:val="swiss"/>
    <w:pitch w:val="default"/>
    <w:sig w:usb0="E1002AFF" w:usb1="C000605B" w:usb2="00000029" w:usb3="00000000" w:csb0="200101FF" w:csb1="2028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隶书">
    <w:altName w:val="报隶-简"/>
    <w:panose1 w:val="02010509060101010101"/>
    <w:charset w:val="00"/>
    <w:family w:val="modern"/>
    <w:pitch w:val="default"/>
    <w:sig w:usb0="00000001" w:usb1="080E0000" w:usb2="00000000" w:usb3="00000000" w:csb0="00040000" w:csb1="00000000"/>
  </w:font>
  <w:font w:name="楷体">
    <w:altName w:val="汉仪楷体KW"/>
    <w:panose1 w:val="02010609060101010101"/>
    <w:charset w:val="00"/>
    <w:family w:val="modern"/>
    <w:pitch w:val="default"/>
    <w:sig w:usb0="800002BF" w:usb1="38CF7CFA" w:usb2="00000016" w:usb3="00000000" w:csb0="00040001" w:csb1="00000000"/>
  </w:font>
  <w:font w:name="仿宋">
    <w:altName w:val="方正仿宋_GBK"/>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A1ECA">
    <w:pPr>
      <w:pStyle w:val="1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B0217">
    <w:pPr>
      <w:pStyle w:val="17"/>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CBBFD">
    <w:pPr>
      <w:pStyle w:val="1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3C561">
    <w:pPr>
      <w:pStyle w:val="1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22</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CE8FE">
    <w:pPr>
      <w:pStyle w:val="18"/>
      <w:tabs>
        <w:tab w:val="right" w:pos="9214"/>
        <w:tab w:val="clear" w:pos="8306"/>
      </w:tabs>
      <w:spacing w:line="240" w:lineRule="atLeast"/>
      <w:ind w:right="-2"/>
      <w:jc w:val="right"/>
      <w:rPr>
        <w:rFonts w:ascii="楷体" w:hAnsi="楷体" w:eastAsia="楷体" w:cs="宋体"/>
        <w:b/>
        <w:i/>
        <w:sz w:val="21"/>
      </w:rPr>
    </w:pPr>
    <w:r>
      <w:rPr>
        <w:rFonts w:ascii="宋体" w:hAnsi="宋体"/>
        <w:i/>
        <w:sz w:val="21"/>
      </w:rPr>
      <w:drawing>
        <wp:inline distT="0" distB="0" distL="114300" distR="114300">
          <wp:extent cx="674370" cy="313055"/>
          <wp:effectExtent l="0" t="0" r="11430" b="17145"/>
          <wp:docPr id="15" name="图片 1" descr="dfe721a5f01e8576aab4047b67f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dfe721a5f01e8576aab4047b67f2eb0"/>
                  <pic:cNvPicPr>
                    <a:picLocks noChangeAspect="1"/>
                  </pic:cNvPicPr>
                </pic:nvPicPr>
                <pic:blipFill>
                  <a:blip r:embed="rId1"/>
                  <a:stretch>
                    <a:fillRect/>
                  </a:stretch>
                </pic:blipFill>
                <pic:spPr>
                  <a:xfrm>
                    <a:off x="0" y="0"/>
                    <a:ext cx="674370" cy="313055"/>
                  </a:xfrm>
                  <a:prstGeom prst="rect">
                    <a:avLst/>
                  </a:prstGeom>
                  <a:noFill/>
                  <a:ln>
                    <a:noFill/>
                  </a:ln>
                </pic:spPr>
              </pic:pic>
            </a:graphicData>
          </a:graphic>
        </wp:inline>
      </w:drawing>
    </w:r>
    <w:r>
      <w:rPr>
        <w:rFonts w:hint="eastAsia" w:ascii="宋体" w:hAnsi="宋体"/>
        <w:i/>
        <w:sz w:val="21"/>
      </w:rPr>
      <w:t xml:space="preserve">                  </w:t>
    </w:r>
    <w:r>
      <w:rPr>
        <w:rFonts w:hint="eastAsia" w:ascii="宋体" w:hAnsi="宋体"/>
        <w:sz w:val="21"/>
      </w:rPr>
      <w:t xml:space="preserve"> </w:t>
    </w:r>
    <w:r>
      <w:rPr>
        <w:rFonts w:hint="eastAsia" w:ascii="隶书" w:eastAsia="隶书"/>
        <w:color w:val="333399"/>
        <w:sz w:val="24"/>
      </w:rPr>
      <w:t xml:space="preserve">   </w:t>
    </w:r>
    <w:r>
      <w:rPr>
        <w:rFonts w:hint="eastAsia" w:ascii="楷体" w:hAnsi="楷体" w:eastAsia="楷体" w:cs="宋体"/>
        <w:b/>
        <w:sz w:val="21"/>
      </w:rPr>
      <w:t>浙江正恒房地产土地资产评估咨询有限公司·</w:t>
    </w:r>
    <w:r>
      <w:rPr>
        <w:rFonts w:hint="eastAsia" w:ascii="楷体" w:hAnsi="楷体" w:eastAsia="楷体" w:cs="宋体"/>
        <w:b/>
        <w:sz w:val="21"/>
        <w:lang w:val="en-US" w:eastAsia="zh-CN"/>
      </w:rPr>
      <w:t>房地产</w:t>
    </w:r>
    <w:r>
      <w:rPr>
        <w:rFonts w:hint="eastAsia" w:ascii="楷体" w:hAnsi="楷体" w:eastAsia="楷体" w:cs="宋体"/>
        <w:b/>
        <w:sz w:val="21"/>
        <w:lang w:val="en-US" w:eastAsia="zh-CN"/>
      </w:rPr>
      <w:t>估价</w:t>
    </w:r>
    <w:r>
      <w:rPr>
        <w:rFonts w:hint="eastAsia" w:ascii="楷体" w:hAnsi="楷体" w:eastAsia="楷体" w:cs="宋体"/>
        <w:b/>
        <w:sz w:val="21"/>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732493"/>
    <w:multiLevelType w:val="singleLevel"/>
    <w:tmpl w:val="46732493"/>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9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9BB"/>
    <w:rsid w:val="00001AE2"/>
    <w:rsid w:val="0000216F"/>
    <w:rsid w:val="000027D0"/>
    <w:rsid w:val="000033AA"/>
    <w:rsid w:val="00003F02"/>
    <w:rsid w:val="00003FB4"/>
    <w:rsid w:val="00004982"/>
    <w:rsid w:val="00005C83"/>
    <w:rsid w:val="0000670A"/>
    <w:rsid w:val="00006D96"/>
    <w:rsid w:val="00007618"/>
    <w:rsid w:val="00007B3D"/>
    <w:rsid w:val="00010377"/>
    <w:rsid w:val="000111B0"/>
    <w:rsid w:val="00012A25"/>
    <w:rsid w:val="000143A3"/>
    <w:rsid w:val="00014D41"/>
    <w:rsid w:val="000153AC"/>
    <w:rsid w:val="000163D3"/>
    <w:rsid w:val="0001662A"/>
    <w:rsid w:val="00016CE7"/>
    <w:rsid w:val="000200F0"/>
    <w:rsid w:val="0002158C"/>
    <w:rsid w:val="000246FF"/>
    <w:rsid w:val="000248DD"/>
    <w:rsid w:val="00025335"/>
    <w:rsid w:val="00025398"/>
    <w:rsid w:val="00025636"/>
    <w:rsid w:val="00026CF9"/>
    <w:rsid w:val="00026D39"/>
    <w:rsid w:val="00030261"/>
    <w:rsid w:val="00030353"/>
    <w:rsid w:val="000309E0"/>
    <w:rsid w:val="00031B44"/>
    <w:rsid w:val="00031FF4"/>
    <w:rsid w:val="00032019"/>
    <w:rsid w:val="00032388"/>
    <w:rsid w:val="00032B7A"/>
    <w:rsid w:val="000334E7"/>
    <w:rsid w:val="000334F1"/>
    <w:rsid w:val="0003390E"/>
    <w:rsid w:val="00035301"/>
    <w:rsid w:val="00035863"/>
    <w:rsid w:val="00036939"/>
    <w:rsid w:val="000372E0"/>
    <w:rsid w:val="0003762C"/>
    <w:rsid w:val="00041A96"/>
    <w:rsid w:val="00041BCA"/>
    <w:rsid w:val="00042D7F"/>
    <w:rsid w:val="0004357A"/>
    <w:rsid w:val="0004365A"/>
    <w:rsid w:val="000436B1"/>
    <w:rsid w:val="00045F02"/>
    <w:rsid w:val="000475C8"/>
    <w:rsid w:val="00047D5C"/>
    <w:rsid w:val="000505BE"/>
    <w:rsid w:val="0005061D"/>
    <w:rsid w:val="0005070B"/>
    <w:rsid w:val="00050D83"/>
    <w:rsid w:val="000512C5"/>
    <w:rsid w:val="000513C7"/>
    <w:rsid w:val="00051587"/>
    <w:rsid w:val="00052508"/>
    <w:rsid w:val="000526E1"/>
    <w:rsid w:val="00054124"/>
    <w:rsid w:val="000541FB"/>
    <w:rsid w:val="00054A10"/>
    <w:rsid w:val="00055B3F"/>
    <w:rsid w:val="00057421"/>
    <w:rsid w:val="00057582"/>
    <w:rsid w:val="00057D19"/>
    <w:rsid w:val="00057EAA"/>
    <w:rsid w:val="0006065C"/>
    <w:rsid w:val="000614F3"/>
    <w:rsid w:val="00062072"/>
    <w:rsid w:val="00063894"/>
    <w:rsid w:val="00063B28"/>
    <w:rsid w:val="000646AE"/>
    <w:rsid w:val="000661FB"/>
    <w:rsid w:val="0006664D"/>
    <w:rsid w:val="00066675"/>
    <w:rsid w:val="00066F73"/>
    <w:rsid w:val="00067951"/>
    <w:rsid w:val="000728B5"/>
    <w:rsid w:val="000729A2"/>
    <w:rsid w:val="0007418E"/>
    <w:rsid w:val="00074209"/>
    <w:rsid w:val="00074588"/>
    <w:rsid w:val="00074B1A"/>
    <w:rsid w:val="00075DAD"/>
    <w:rsid w:val="00075E1E"/>
    <w:rsid w:val="00076864"/>
    <w:rsid w:val="000778FE"/>
    <w:rsid w:val="00081869"/>
    <w:rsid w:val="0008221E"/>
    <w:rsid w:val="0008256C"/>
    <w:rsid w:val="00082616"/>
    <w:rsid w:val="000827EF"/>
    <w:rsid w:val="0008304F"/>
    <w:rsid w:val="0008398D"/>
    <w:rsid w:val="00083B7E"/>
    <w:rsid w:val="000840DC"/>
    <w:rsid w:val="00085637"/>
    <w:rsid w:val="0008600E"/>
    <w:rsid w:val="00087C4D"/>
    <w:rsid w:val="0009091C"/>
    <w:rsid w:val="00090FBB"/>
    <w:rsid w:val="0009143F"/>
    <w:rsid w:val="00092DDE"/>
    <w:rsid w:val="0009357B"/>
    <w:rsid w:val="000940F4"/>
    <w:rsid w:val="000945E4"/>
    <w:rsid w:val="00095A6B"/>
    <w:rsid w:val="00095DC1"/>
    <w:rsid w:val="00097E85"/>
    <w:rsid w:val="000A1054"/>
    <w:rsid w:val="000A1804"/>
    <w:rsid w:val="000A1C02"/>
    <w:rsid w:val="000A2707"/>
    <w:rsid w:val="000A3397"/>
    <w:rsid w:val="000A3613"/>
    <w:rsid w:val="000A5FAA"/>
    <w:rsid w:val="000A5FF5"/>
    <w:rsid w:val="000A73EB"/>
    <w:rsid w:val="000B02B9"/>
    <w:rsid w:val="000B1E2C"/>
    <w:rsid w:val="000B2BEC"/>
    <w:rsid w:val="000B3204"/>
    <w:rsid w:val="000B4C5C"/>
    <w:rsid w:val="000B7097"/>
    <w:rsid w:val="000B7D48"/>
    <w:rsid w:val="000C02B2"/>
    <w:rsid w:val="000C08B4"/>
    <w:rsid w:val="000C1DC8"/>
    <w:rsid w:val="000C1EEE"/>
    <w:rsid w:val="000C2237"/>
    <w:rsid w:val="000C25A5"/>
    <w:rsid w:val="000C2F88"/>
    <w:rsid w:val="000C4672"/>
    <w:rsid w:val="000C62D8"/>
    <w:rsid w:val="000C7700"/>
    <w:rsid w:val="000D1464"/>
    <w:rsid w:val="000D1E1E"/>
    <w:rsid w:val="000D23D9"/>
    <w:rsid w:val="000D2EB3"/>
    <w:rsid w:val="000D2F78"/>
    <w:rsid w:val="000D3265"/>
    <w:rsid w:val="000D3D04"/>
    <w:rsid w:val="000D4D29"/>
    <w:rsid w:val="000D4D74"/>
    <w:rsid w:val="000D4FBB"/>
    <w:rsid w:val="000D5AD7"/>
    <w:rsid w:val="000D6874"/>
    <w:rsid w:val="000D7669"/>
    <w:rsid w:val="000D787B"/>
    <w:rsid w:val="000E1D7E"/>
    <w:rsid w:val="000E1EBC"/>
    <w:rsid w:val="000E2A6D"/>
    <w:rsid w:val="000E4B33"/>
    <w:rsid w:val="000E5456"/>
    <w:rsid w:val="000E6185"/>
    <w:rsid w:val="000E626C"/>
    <w:rsid w:val="000E6CD1"/>
    <w:rsid w:val="000E6D46"/>
    <w:rsid w:val="000E709D"/>
    <w:rsid w:val="000F02B5"/>
    <w:rsid w:val="000F06FA"/>
    <w:rsid w:val="000F0AC2"/>
    <w:rsid w:val="000F11E1"/>
    <w:rsid w:val="000F12EA"/>
    <w:rsid w:val="000F13F2"/>
    <w:rsid w:val="000F1C8C"/>
    <w:rsid w:val="000F3B0B"/>
    <w:rsid w:val="000F41ED"/>
    <w:rsid w:val="000F439E"/>
    <w:rsid w:val="000F5F59"/>
    <w:rsid w:val="000F62E7"/>
    <w:rsid w:val="000F7775"/>
    <w:rsid w:val="000F7978"/>
    <w:rsid w:val="000F7A35"/>
    <w:rsid w:val="000F7D11"/>
    <w:rsid w:val="00100979"/>
    <w:rsid w:val="0010191B"/>
    <w:rsid w:val="00101B09"/>
    <w:rsid w:val="00102593"/>
    <w:rsid w:val="0010268E"/>
    <w:rsid w:val="00103309"/>
    <w:rsid w:val="0010343D"/>
    <w:rsid w:val="001045EA"/>
    <w:rsid w:val="00104CF8"/>
    <w:rsid w:val="001057FF"/>
    <w:rsid w:val="00107BB7"/>
    <w:rsid w:val="00107F88"/>
    <w:rsid w:val="00110196"/>
    <w:rsid w:val="00110958"/>
    <w:rsid w:val="00110CDF"/>
    <w:rsid w:val="001124D5"/>
    <w:rsid w:val="00113E53"/>
    <w:rsid w:val="00113F48"/>
    <w:rsid w:val="00114617"/>
    <w:rsid w:val="00114CCA"/>
    <w:rsid w:val="00114E33"/>
    <w:rsid w:val="00115127"/>
    <w:rsid w:val="00115EC7"/>
    <w:rsid w:val="001161D0"/>
    <w:rsid w:val="0011629E"/>
    <w:rsid w:val="00116485"/>
    <w:rsid w:val="00117FCE"/>
    <w:rsid w:val="00120E02"/>
    <w:rsid w:val="001217FF"/>
    <w:rsid w:val="0012269C"/>
    <w:rsid w:val="0012387F"/>
    <w:rsid w:val="0012578E"/>
    <w:rsid w:val="00125CE4"/>
    <w:rsid w:val="0012645A"/>
    <w:rsid w:val="0012645B"/>
    <w:rsid w:val="001265F1"/>
    <w:rsid w:val="0012707B"/>
    <w:rsid w:val="00127C7F"/>
    <w:rsid w:val="00130075"/>
    <w:rsid w:val="001306CF"/>
    <w:rsid w:val="00131409"/>
    <w:rsid w:val="001316BC"/>
    <w:rsid w:val="0013184B"/>
    <w:rsid w:val="00132822"/>
    <w:rsid w:val="001331D7"/>
    <w:rsid w:val="0013356B"/>
    <w:rsid w:val="001338AE"/>
    <w:rsid w:val="00136F2D"/>
    <w:rsid w:val="00136FF9"/>
    <w:rsid w:val="001379FF"/>
    <w:rsid w:val="00137C64"/>
    <w:rsid w:val="00137DCB"/>
    <w:rsid w:val="001400A1"/>
    <w:rsid w:val="001424AE"/>
    <w:rsid w:val="001425BD"/>
    <w:rsid w:val="001445FA"/>
    <w:rsid w:val="0014499E"/>
    <w:rsid w:val="00145B40"/>
    <w:rsid w:val="00145D98"/>
    <w:rsid w:val="00146591"/>
    <w:rsid w:val="00147B17"/>
    <w:rsid w:val="001503FD"/>
    <w:rsid w:val="00150497"/>
    <w:rsid w:val="0015105C"/>
    <w:rsid w:val="00151307"/>
    <w:rsid w:val="00151CC1"/>
    <w:rsid w:val="00152435"/>
    <w:rsid w:val="00152F8A"/>
    <w:rsid w:val="0015407C"/>
    <w:rsid w:val="0015507A"/>
    <w:rsid w:val="0015582F"/>
    <w:rsid w:val="00155BDF"/>
    <w:rsid w:val="001561FA"/>
    <w:rsid w:val="001566E7"/>
    <w:rsid w:val="001575A0"/>
    <w:rsid w:val="00160653"/>
    <w:rsid w:val="0016078C"/>
    <w:rsid w:val="001607CA"/>
    <w:rsid w:val="00160CA4"/>
    <w:rsid w:val="00161661"/>
    <w:rsid w:val="00161FCA"/>
    <w:rsid w:val="001636C5"/>
    <w:rsid w:val="00164A04"/>
    <w:rsid w:val="0016518E"/>
    <w:rsid w:val="0016644F"/>
    <w:rsid w:val="001672BE"/>
    <w:rsid w:val="001679EF"/>
    <w:rsid w:val="00170707"/>
    <w:rsid w:val="00170E70"/>
    <w:rsid w:val="0017388A"/>
    <w:rsid w:val="00173B77"/>
    <w:rsid w:val="00174391"/>
    <w:rsid w:val="0017499B"/>
    <w:rsid w:val="001757D0"/>
    <w:rsid w:val="00175C96"/>
    <w:rsid w:val="00175D5A"/>
    <w:rsid w:val="0017617F"/>
    <w:rsid w:val="0017624C"/>
    <w:rsid w:val="00177179"/>
    <w:rsid w:val="00177192"/>
    <w:rsid w:val="00177256"/>
    <w:rsid w:val="001773CB"/>
    <w:rsid w:val="00180F05"/>
    <w:rsid w:val="00181F64"/>
    <w:rsid w:val="00182612"/>
    <w:rsid w:val="00182F27"/>
    <w:rsid w:val="001848EC"/>
    <w:rsid w:val="00185060"/>
    <w:rsid w:val="0018530C"/>
    <w:rsid w:val="0018545A"/>
    <w:rsid w:val="00185550"/>
    <w:rsid w:val="00186365"/>
    <w:rsid w:val="00186C82"/>
    <w:rsid w:val="00186DD9"/>
    <w:rsid w:val="00186E52"/>
    <w:rsid w:val="00186E72"/>
    <w:rsid w:val="00191572"/>
    <w:rsid w:val="0019208F"/>
    <w:rsid w:val="00192CE5"/>
    <w:rsid w:val="00192E40"/>
    <w:rsid w:val="00193A54"/>
    <w:rsid w:val="00194874"/>
    <w:rsid w:val="00194D7D"/>
    <w:rsid w:val="00195912"/>
    <w:rsid w:val="00195DFB"/>
    <w:rsid w:val="00196622"/>
    <w:rsid w:val="00196DE2"/>
    <w:rsid w:val="00197085"/>
    <w:rsid w:val="001976A1"/>
    <w:rsid w:val="001A0818"/>
    <w:rsid w:val="001A09A2"/>
    <w:rsid w:val="001A0D9A"/>
    <w:rsid w:val="001A0EB4"/>
    <w:rsid w:val="001A0F75"/>
    <w:rsid w:val="001A2227"/>
    <w:rsid w:val="001A2251"/>
    <w:rsid w:val="001A240E"/>
    <w:rsid w:val="001A3269"/>
    <w:rsid w:val="001A3C70"/>
    <w:rsid w:val="001A3D6F"/>
    <w:rsid w:val="001A5636"/>
    <w:rsid w:val="001A65A6"/>
    <w:rsid w:val="001A7062"/>
    <w:rsid w:val="001B0D1F"/>
    <w:rsid w:val="001B0DDD"/>
    <w:rsid w:val="001B16D7"/>
    <w:rsid w:val="001B1E83"/>
    <w:rsid w:val="001B1FAF"/>
    <w:rsid w:val="001B2361"/>
    <w:rsid w:val="001B2457"/>
    <w:rsid w:val="001B32A0"/>
    <w:rsid w:val="001B3988"/>
    <w:rsid w:val="001B6DF6"/>
    <w:rsid w:val="001B7171"/>
    <w:rsid w:val="001B753C"/>
    <w:rsid w:val="001B75A1"/>
    <w:rsid w:val="001B79A0"/>
    <w:rsid w:val="001C0AC6"/>
    <w:rsid w:val="001C0D01"/>
    <w:rsid w:val="001C1F27"/>
    <w:rsid w:val="001C2A54"/>
    <w:rsid w:val="001C3169"/>
    <w:rsid w:val="001C33E7"/>
    <w:rsid w:val="001C5A87"/>
    <w:rsid w:val="001C5B95"/>
    <w:rsid w:val="001C63D8"/>
    <w:rsid w:val="001C7083"/>
    <w:rsid w:val="001C7361"/>
    <w:rsid w:val="001C751D"/>
    <w:rsid w:val="001D1ABF"/>
    <w:rsid w:val="001D23DA"/>
    <w:rsid w:val="001D2A04"/>
    <w:rsid w:val="001D341F"/>
    <w:rsid w:val="001D60E5"/>
    <w:rsid w:val="001D669B"/>
    <w:rsid w:val="001D669D"/>
    <w:rsid w:val="001D6EB7"/>
    <w:rsid w:val="001D70E5"/>
    <w:rsid w:val="001D75C6"/>
    <w:rsid w:val="001D7EC4"/>
    <w:rsid w:val="001E03B4"/>
    <w:rsid w:val="001E108E"/>
    <w:rsid w:val="001E22F6"/>
    <w:rsid w:val="001E24BC"/>
    <w:rsid w:val="001E2883"/>
    <w:rsid w:val="001E4225"/>
    <w:rsid w:val="001E4312"/>
    <w:rsid w:val="001E519A"/>
    <w:rsid w:val="001E5E66"/>
    <w:rsid w:val="001F1983"/>
    <w:rsid w:val="001F1C12"/>
    <w:rsid w:val="001F2EB7"/>
    <w:rsid w:val="001F3EB5"/>
    <w:rsid w:val="001F3FB8"/>
    <w:rsid w:val="001F4626"/>
    <w:rsid w:val="001F4DC1"/>
    <w:rsid w:val="001F674F"/>
    <w:rsid w:val="00200C12"/>
    <w:rsid w:val="00200E5C"/>
    <w:rsid w:val="00201239"/>
    <w:rsid w:val="002013A3"/>
    <w:rsid w:val="00201F2F"/>
    <w:rsid w:val="00203E31"/>
    <w:rsid w:val="00204122"/>
    <w:rsid w:val="00206F6D"/>
    <w:rsid w:val="00211881"/>
    <w:rsid w:val="002129C2"/>
    <w:rsid w:val="0021386D"/>
    <w:rsid w:val="00214195"/>
    <w:rsid w:val="00214342"/>
    <w:rsid w:val="002158C7"/>
    <w:rsid w:val="0021596C"/>
    <w:rsid w:val="00216821"/>
    <w:rsid w:val="00216EEF"/>
    <w:rsid w:val="00217013"/>
    <w:rsid w:val="002173D2"/>
    <w:rsid w:val="00217835"/>
    <w:rsid w:val="00221D88"/>
    <w:rsid w:val="00221ECA"/>
    <w:rsid w:val="00221F9F"/>
    <w:rsid w:val="00222596"/>
    <w:rsid w:val="00224D2E"/>
    <w:rsid w:val="00224DBE"/>
    <w:rsid w:val="0022541E"/>
    <w:rsid w:val="002258C2"/>
    <w:rsid w:val="00225BD3"/>
    <w:rsid w:val="00225C5F"/>
    <w:rsid w:val="0022606B"/>
    <w:rsid w:val="00226089"/>
    <w:rsid w:val="002267AE"/>
    <w:rsid w:val="00227283"/>
    <w:rsid w:val="0023014A"/>
    <w:rsid w:val="00230377"/>
    <w:rsid w:val="00231B55"/>
    <w:rsid w:val="002331C1"/>
    <w:rsid w:val="00233D42"/>
    <w:rsid w:val="0023602A"/>
    <w:rsid w:val="00237A94"/>
    <w:rsid w:val="00237D76"/>
    <w:rsid w:val="00240B3A"/>
    <w:rsid w:val="00240FDF"/>
    <w:rsid w:val="00240FEB"/>
    <w:rsid w:val="00241590"/>
    <w:rsid w:val="00243819"/>
    <w:rsid w:val="002439E8"/>
    <w:rsid w:val="00244EAE"/>
    <w:rsid w:val="00245D1E"/>
    <w:rsid w:val="00246353"/>
    <w:rsid w:val="002463D7"/>
    <w:rsid w:val="00246560"/>
    <w:rsid w:val="002465F8"/>
    <w:rsid w:val="0024727A"/>
    <w:rsid w:val="0024770B"/>
    <w:rsid w:val="00247DB9"/>
    <w:rsid w:val="002501C9"/>
    <w:rsid w:val="002502D7"/>
    <w:rsid w:val="0025107F"/>
    <w:rsid w:val="0025150D"/>
    <w:rsid w:val="002524F4"/>
    <w:rsid w:val="00253136"/>
    <w:rsid w:val="002538CE"/>
    <w:rsid w:val="00254CD5"/>
    <w:rsid w:val="002555FB"/>
    <w:rsid w:val="002557B1"/>
    <w:rsid w:val="00256209"/>
    <w:rsid w:val="00257177"/>
    <w:rsid w:val="002578A6"/>
    <w:rsid w:val="00260511"/>
    <w:rsid w:val="002622FA"/>
    <w:rsid w:val="002636E6"/>
    <w:rsid w:val="00264001"/>
    <w:rsid w:val="0026448F"/>
    <w:rsid w:val="002651BE"/>
    <w:rsid w:val="00265A04"/>
    <w:rsid w:val="00265A1A"/>
    <w:rsid w:val="00265A9D"/>
    <w:rsid w:val="00266201"/>
    <w:rsid w:val="002669D8"/>
    <w:rsid w:val="00267ECA"/>
    <w:rsid w:val="0027125F"/>
    <w:rsid w:val="0027354F"/>
    <w:rsid w:val="00273682"/>
    <w:rsid w:val="0027376A"/>
    <w:rsid w:val="00274FB4"/>
    <w:rsid w:val="0027562E"/>
    <w:rsid w:val="002757BB"/>
    <w:rsid w:val="0027766B"/>
    <w:rsid w:val="00277DD8"/>
    <w:rsid w:val="00277FA3"/>
    <w:rsid w:val="00281B0B"/>
    <w:rsid w:val="00282B34"/>
    <w:rsid w:val="002830C5"/>
    <w:rsid w:val="00283F56"/>
    <w:rsid w:val="00284907"/>
    <w:rsid w:val="00284FF3"/>
    <w:rsid w:val="002850F2"/>
    <w:rsid w:val="00285243"/>
    <w:rsid w:val="00285454"/>
    <w:rsid w:val="00285C18"/>
    <w:rsid w:val="00286FA5"/>
    <w:rsid w:val="00287B00"/>
    <w:rsid w:val="00291D64"/>
    <w:rsid w:val="00291FA4"/>
    <w:rsid w:val="00292DF7"/>
    <w:rsid w:val="00292E9D"/>
    <w:rsid w:val="002938AB"/>
    <w:rsid w:val="00294FF2"/>
    <w:rsid w:val="002951D5"/>
    <w:rsid w:val="002955F9"/>
    <w:rsid w:val="00295B2D"/>
    <w:rsid w:val="00295D20"/>
    <w:rsid w:val="00296E38"/>
    <w:rsid w:val="00297E9E"/>
    <w:rsid w:val="002A027C"/>
    <w:rsid w:val="002A21F4"/>
    <w:rsid w:val="002A230D"/>
    <w:rsid w:val="002A2B97"/>
    <w:rsid w:val="002A30BE"/>
    <w:rsid w:val="002A3E8B"/>
    <w:rsid w:val="002A5399"/>
    <w:rsid w:val="002A5440"/>
    <w:rsid w:val="002A7604"/>
    <w:rsid w:val="002A79D0"/>
    <w:rsid w:val="002B01EE"/>
    <w:rsid w:val="002B1064"/>
    <w:rsid w:val="002B12A5"/>
    <w:rsid w:val="002B3AAF"/>
    <w:rsid w:val="002B4AFF"/>
    <w:rsid w:val="002B5840"/>
    <w:rsid w:val="002B58A2"/>
    <w:rsid w:val="002B5E5C"/>
    <w:rsid w:val="002B5F8F"/>
    <w:rsid w:val="002B7496"/>
    <w:rsid w:val="002B76B2"/>
    <w:rsid w:val="002B7DFD"/>
    <w:rsid w:val="002C070D"/>
    <w:rsid w:val="002C24D6"/>
    <w:rsid w:val="002C26B7"/>
    <w:rsid w:val="002C3771"/>
    <w:rsid w:val="002C38F4"/>
    <w:rsid w:val="002C3ABA"/>
    <w:rsid w:val="002C582A"/>
    <w:rsid w:val="002C63B9"/>
    <w:rsid w:val="002C7173"/>
    <w:rsid w:val="002C7654"/>
    <w:rsid w:val="002C7F4A"/>
    <w:rsid w:val="002D0112"/>
    <w:rsid w:val="002D0566"/>
    <w:rsid w:val="002D0869"/>
    <w:rsid w:val="002D0B80"/>
    <w:rsid w:val="002D139B"/>
    <w:rsid w:val="002D19FF"/>
    <w:rsid w:val="002D28D3"/>
    <w:rsid w:val="002D402F"/>
    <w:rsid w:val="002D51AB"/>
    <w:rsid w:val="002D52DF"/>
    <w:rsid w:val="002D61B0"/>
    <w:rsid w:val="002D737A"/>
    <w:rsid w:val="002E085E"/>
    <w:rsid w:val="002E36B1"/>
    <w:rsid w:val="002E3B72"/>
    <w:rsid w:val="002E4842"/>
    <w:rsid w:val="002E4EA4"/>
    <w:rsid w:val="002E509B"/>
    <w:rsid w:val="002E6D52"/>
    <w:rsid w:val="002E6F0C"/>
    <w:rsid w:val="002E768B"/>
    <w:rsid w:val="002E7F9F"/>
    <w:rsid w:val="002F0534"/>
    <w:rsid w:val="002F0B54"/>
    <w:rsid w:val="002F2C5B"/>
    <w:rsid w:val="002F31EB"/>
    <w:rsid w:val="002F439E"/>
    <w:rsid w:val="002F6FD0"/>
    <w:rsid w:val="002F718E"/>
    <w:rsid w:val="002F71B2"/>
    <w:rsid w:val="002F75E3"/>
    <w:rsid w:val="0030002A"/>
    <w:rsid w:val="00300A14"/>
    <w:rsid w:val="003019EA"/>
    <w:rsid w:val="0030220B"/>
    <w:rsid w:val="00302717"/>
    <w:rsid w:val="003033F0"/>
    <w:rsid w:val="00303547"/>
    <w:rsid w:val="00303F0A"/>
    <w:rsid w:val="003041E5"/>
    <w:rsid w:val="00305E2A"/>
    <w:rsid w:val="003063B5"/>
    <w:rsid w:val="003074E1"/>
    <w:rsid w:val="0030786E"/>
    <w:rsid w:val="00310A65"/>
    <w:rsid w:val="0031181D"/>
    <w:rsid w:val="0031197E"/>
    <w:rsid w:val="00311FEB"/>
    <w:rsid w:val="00312716"/>
    <w:rsid w:val="00312760"/>
    <w:rsid w:val="003129E5"/>
    <w:rsid w:val="003129FE"/>
    <w:rsid w:val="00312DE2"/>
    <w:rsid w:val="00314719"/>
    <w:rsid w:val="00314BD6"/>
    <w:rsid w:val="00315304"/>
    <w:rsid w:val="003153F2"/>
    <w:rsid w:val="003159C7"/>
    <w:rsid w:val="003169CC"/>
    <w:rsid w:val="00316B20"/>
    <w:rsid w:val="00320F9D"/>
    <w:rsid w:val="0032132A"/>
    <w:rsid w:val="0032160A"/>
    <w:rsid w:val="0032161E"/>
    <w:rsid w:val="00323766"/>
    <w:rsid w:val="003241A8"/>
    <w:rsid w:val="00325838"/>
    <w:rsid w:val="00325D91"/>
    <w:rsid w:val="003268EC"/>
    <w:rsid w:val="00326F01"/>
    <w:rsid w:val="0033161F"/>
    <w:rsid w:val="0033181B"/>
    <w:rsid w:val="003328CA"/>
    <w:rsid w:val="00333DF5"/>
    <w:rsid w:val="00333E18"/>
    <w:rsid w:val="00334283"/>
    <w:rsid w:val="003346F3"/>
    <w:rsid w:val="003363B3"/>
    <w:rsid w:val="0033656F"/>
    <w:rsid w:val="00336A40"/>
    <w:rsid w:val="00336C63"/>
    <w:rsid w:val="00336E3E"/>
    <w:rsid w:val="003403A5"/>
    <w:rsid w:val="00341B0E"/>
    <w:rsid w:val="003428F1"/>
    <w:rsid w:val="00343056"/>
    <w:rsid w:val="003444A4"/>
    <w:rsid w:val="00344505"/>
    <w:rsid w:val="003450AE"/>
    <w:rsid w:val="00345EB6"/>
    <w:rsid w:val="003462E6"/>
    <w:rsid w:val="0034644A"/>
    <w:rsid w:val="003472AE"/>
    <w:rsid w:val="003478AF"/>
    <w:rsid w:val="00347EB7"/>
    <w:rsid w:val="00350279"/>
    <w:rsid w:val="00350BF3"/>
    <w:rsid w:val="003516D5"/>
    <w:rsid w:val="00352C46"/>
    <w:rsid w:val="003557E6"/>
    <w:rsid w:val="0035691C"/>
    <w:rsid w:val="0035725F"/>
    <w:rsid w:val="0036057B"/>
    <w:rsid w:val="00361CDD"/>
    <w:rsid w:val="003625B1"/>
    <w:rsid w:val="00363133"/>
    <w:rsid w:val="003633BA"/>
    <w:rsid w:val="00363A92"/>
    <w:rsid w:val="00364E17"/>
    <w:rsid w:val="00365AE7"/>
    <w:rsid w:val="00366E4F"/>
    <w:rsid w:val="00370806"/>
    <w:rsid w:val="003709E4"/>
    <w:rsid w:val="003714EF"/>
    <w:rsid w:val="003720D2"/>
    <w:rsid w:val="0037459F"/>
    <w:rsid w:val="0037479D"/>
    <w:rsid w:val="00375527"/>
    <w:rsid w:val="00375E91"/>
    <w:rsid w:val="0037637C"/>
    <w:rsid w:val="00377844"/>
    <w:rsid w:val="00377FDD"/>
    <w:rsid w:val="003800BB"/>
    <w:rsid w:val="003822DC"/>
    <w:rsid w:val="00384C3D"/>
    <w:rsid w:val="00386449"/>
    <w:rsid w:val="00386688"/>
    <w:rsid w:val="003867BE"/>
    <w:rsid w:val="00390225"/>
    <w:rsid w:val="00390696"/>
    <w:rsid w:val="00390705"/>
    <w:rsid w:val="00391D70"/>
    <w:rsid w:val="003921EC"/>
    <w:rsid w:val="00392498"/>
    <w:rsid w:val="0039257C"/>
    <w:rsid w:val="00392A1E"/>
    <w:rsid w:val="0039370C"/>
    <w:rsid w:val="00393FF3"/>
    <w:rsid w:val="003944C6"/>
    <w:rsid w:val="00395AEB"/>
    <w:rsid w:val="003962F7"/>
    <w:rsid w:val="00396E16"/>
    <w:rsid w:val="00397045"/>
    <w:rsid w:val="003A0391"/>
    <w:rsid w:val="003A04E0"/>
    <w:rsid w:val="003A0E06"/>
    <w:rsid w:val="003A3101"/>
    <w:rsid w:val="003A395A"/>
    <w:rsid w:val="003A3C02"/>
    <w:rsid w:val="003A47BF"/>
    <w:rsid w:val="003A4AA7"/>
    <w:rsid w:val="003A5545"/>
    <w:rsid w:val="003A5C77"/>
    <w:rsid w:val="003A7AC0"/>
    <w:rsid w:val="003A7CAC"/>
    <w:rsid w:val="003B02CB"/>
    <w:rsid w:val="003B2896"/>
    <w:rsid w:val="003B3198"/>
    <w:rsid w:val="003B358E"/>
    <w:rsid w:val="003B3912"/>
    <w:rsid w:val="003B3D22"/>
    <w:rsid w:val="003B3FCC"/>
    <w:rsid w:val="003B42D1"/>
    <w:rsid w:val="003B4300"/>
    <w:rsid w:val="003B484A"/>
    <w:rsid w:val="003B5A5C"/>
    <w:rsid w:val="003B612B"/>
    <w:rsid w:val="003B6511"/>
    <w:rsid w:val="003B67FA"/>
    <w:rsid w:val="003B70DE"/>
    <w:rsid w:val="003C00AC"/>
    <w:rsid w:val="003C03F5"/>
    <w:rsid w:val="003C0F75"/>
    <w:rsid w:val="003C1520"/>
    <w:rsid w:val="003C1A72"/>
    <w:rsid w:val="003C1F14"/>
    <w:rsid w:val="003C4146"/>
    <w:rsid w:val="003C4A09"/>
    <w:rsid w:val="003C55C4"/>
    <w:rsid w:val="003C64BE"/>
    <w:rsid w:val="003C71A2"/>
    <w:rsid w:val="003C73A8"/>
    <w:rsid w:val="003D23AF"/>
    <w:rsid w:val="003D3948"/>
    <w:rsid w:val="003D3A99"/>
    <w:rsid w:val="003D4290"/>
    <w:rsid w:val="003D4E6F"/>
    <w:rsid w:val="003D5026"/>
    <w:rsid w:val="003D5897"/>
    <w:rsid w:val="003D5AEE"/>
    <w:rsid w:val="003D5FEA"/>
    <w:rsid w:val="003D7612"/>
    <w:rsid w:val="003D79E3"/>
    <w:rsid w:val="003D7A54"/>
    <w:rsid w:val="003D7FAD"/>
    <w:rsid w:val="003E045B"/>
    <w:rsid w:val="003E25F7"/>
    <w:rsid w:val="003E2696"/>
    <w:rsid w:val="003E3864"/>
    <w:rsid w:val="003E527E"/>
    <w:rsid w:val="003E5A94"/>
    <w:rsid w:val="003E6100"/>
    <w:rsid w:val="003E7552"/>
    <w:rsid w:val="003F0063"/>
    <w:rsid w:val="003F02EA"/>
    <w:rsid w:val="003F0382"/>
    <w:rsid w:val="003F055B"/>
    <w:rsid w:val="003F2511"/>
    <w:rsid w:val="003F32FA"/>
    <w:rsid w:val="003F5251"/>
    <w:rsid w:val="003F53FF"/>
    <w:rsid w:val="003F77AD"/>
    <w:rsid w:val="0040191D"/>
    <w:rsid w:val="00401DB9"/>
    <w:rsid w:val="00401EC6"/>
    <w:rsid w:val="00403194"/>
    <w:rsid w:val="00404618"/>
    <w:rsid w:val="00404881"/>
    <w:rsid w:val="00404E95"/>
    <w:rsid w:val="00404EB2"/>
    <w:rsid w:val="00405F61"/>
    <w:rsid w:val="0040740A"/>
    <w:rsid w:val="004075C8"/>
    <w:rsid w:val="004075E9"/>
    <w:rsid w:val="00407E71"/>
    <w:rsid w:val="00410233"/>
    <w:rsid w:val="00412CA6"/>
    <w:rsid w:val="0041383D"/>
    <w:rsid w:val="00413971"/>
    <w:rsid w:val="004139A7"/>
    <w:rsid w:val="004156B9"/>
    <w:rsid w:val="00415C7E"/>
    <w:rsid w:val="004170F1"/>
    <w:rsid w:val="00417591"/>
    <w:rsid w:val="004202AA"/>
    <w:rsid w:val="00420B15"/>
    <w:rsid w:val="00420EA6"/>
    <w:rsid w:val="00421279"/>
    <w:rsid w:val="0042315E"/>
    <w:rsid w:val="00424805"/>
    <w:rsid w:val="00425187"/>
    <w:rsid w:val="0042541E"/>
    <w:rsid w:val="0042617E"/>
    <w:rsid w:val="00426234"/>
    <w:rsid w:val="00426EF7"/>
    <w:rsid w:val="00427112"/>
    <w:rsid w:val="00427807"/>
    <w:rsid w:val="00427957"/>
    <w:rsid w:val="00427BC7"/>
    <w:rsid w:val="00430399"/>
    <w:rsid w:val="004303EF"/>
    <w:rsid w:val="00430B7A"/>
    <w:rsid w:val="0043127F"/>
    <w:rsid w:val="00431E71"/>
    <w:rsid w:val="004326DC"/>
    <w:rsid w:val="00432DF2"/>
    <w:rsid w:val="004335A0"/>
    <w:rsid w:val="00434469"/>
    <w:rsid w:val="004347F0"/>
    <w:rsid w:val="004356B8"/>
    <w:rsid w:val="0043580C"/>
    <w:rsid w:val="00435C65"/>
    <w:rsid w:val="004407E6"/>
    <w:rsid w:val="00440E65"/>
    <w:rsid w:val="0044125B"/>
    <w:rsid w:val="00441594"/>
    <w:rsid w:val="00441AEF"/>
    <w:rsid w:val="004423F1"/>
    <w:rsid w:val="00442B92"/>
    <w:rsid w:val="0044380A"/>
    <w:rsid w:val="00444514"/>
    <w:rsid w:val="004449F0"/>
    <w:rsid w:val="00444C6F"/>
    <w:rsid w:val="00445EB6"/>
    <w:rsid w:val="00445F59"/>
    <w:rsid w:val="004461A5"/>
    <w:rsid w:val="004462F6"/>
    <w:rsid w:val="0044657C"/>
    <w:rsid w:val="004466BE"/>
    <w:rsid w:val="004466CB"/>
    <w:rsid w:val="00447134"/>
    <w:rsid w:val="00447494"/>
    <w:rsid w:val="00450632"/>
    <w:rsid w:val="00450F3E"/>
    <w:rsid w:val="00451796"/>
    <w:rsid w:val="00451C32"/>
    <w:rsid w:val="00451EE3"/>
    <w:rsid w:val="00452DC0"/>
    <w:rsid w:val="00454D9E"/>
    <w:rsid w:val="00454E03"/>
    <w:rsid w:val="00455BA9"/>
    <w:rsid w:val="0045696F"/>
    <w:rsid w:val="00456AB6"/>
    <w:rsid w:val="004618D3"/>
    <w:rsid w:val="00461FA8"/>
    <w:rsid w:val="004625AD"/>
    <w:rsid w:val="00462C23"/>
    <w:rsid w:val="004640CB"/>
    <w:rsid w:val="004643ED"/>
    <w:rsid w:val="00464572"/>
    <w:rsid w:val="0046513D"/>
    <w:rsid w:val="00465F70"/>
    <w:rsid w:val="00467930"/>
    <w:rsid w:val="00467CCF"/>
    <w:rsid w:val="00470542"/>
    <w:rsid w:val="004705A9"/>
    <w:rsid w:val="00471A0D"/>
    <w:rsid w:val="0047230C"/>
    <w:rsid w:val="00472BD0"/>
    <w:rsid w:val="00472E32"/>
    <w:rsid w:val="00473BE8"/>
    <w:rsid w:val="00473FFC"/>
    <w:rsid w:val="00474104"/>
    <w:rsid w:val="004749E5"/>
    <w:rsid w:val="00476BDC"/>
    <w:rsid w:val="004771B6"/>
    <w:rsid w:val="004775BB"/>
    <w:rsid w:val="00477C46"/>
    <w:rsid w:val="00477C7B"/>
    <w:rsid w:val="0048078C"/>
    <w:rsid w:val="004808B0"/>
    <w:rsid w:val="00481641"/>
    <w:rsid w:val="00482D51"/>
    <w:rsid w:val="00482E90"/>
    <w:rsid w:val="00482FDB"/>
    <w:rsid w:val="00483FDB"/>
    <w:rsid w:val="00485D21"/>
    <w:rsid w:val="00486140"/>
    <w:rsid w:val="00486360"/>
    <w:rsid w:val="004863C4"/>
    <w:rsid w:val="0048720A"/>
    <w:rsid w:val="0049054E"/>
    <w:rsid w:val="0049112D"/>
    <w:rsid w:val="004912BD"/>
    <w:rsid w:val="00491D45"/>
    <w:rsid w:val="00491E94"/>
    <w:rsid w:val="004946C7"/>
    <w:rsid w:val="00495257"/>
    <w:rsid w:val="004958BA"/>
    <w:rsid w:val="004A1840"/>
    <w:rsid w:val="004A1B83"/>
    <w:rsid w:val="004A2029"/>
    <w:rsid w:val="004A3908"/>
    <w:rsid w:val="004A3D78"/>
    <w:rsid w:val="004A3F8A"/>
    <w:rsid w:val="004A4112"/>
    <w:rsid w:val="004A45D4"/>
    <w:rsid w:val="004A5A3F"/>
    <w:rsid w:val="004A6853"/>
    <w:rsid w:val="004A7C5E"/>
    <w:rsid w:val="004B08C2"/>
    <w:rsid w:val="004B124D"/>
    <w:rsid w:val="004B176E"/>
    <w:rsid w:val="004B1961"/>
    <w:rsid w:val="004B1965"/>
    <w:rsid w:val="004B2236"/>
    <w:rsid w:val="004B2502"/>
    <w:rsid w:val="004B2F01"/>
    <w:rsid w:val="004B3791"/>
    <w:rsid w:val="004B75F5"/>
    <w:rsid w:val="004C02C6"/>
    <w:rsid w:val="004C07D3"/>
    <w:rsid w:val="004C3BB0"/>
    <w:rsid w:val="004C41F3"/>
    <w:rsid w:val="004C4614"/>
    <w:rsid w:val="004C4FC7"/>
    <w:rsid w:val="004C58A4"/>
    <w:rsid w:val="004C647B"/>
    <w:rsid w:val="004C68A4"/>
    <w:rsid w:val="004C715C"/>
    <w:rsid w:val="004C726D"/>
    <w:rsid w:val="004C7D4B"/>
    <w:rsid w:val="004C7F4C"/>
    <w:rsid w:val="004D010B"/>
    <w:rsid w:val="004D3889"/>
    <w:rsid w:val="004D4162"/>
    <w:rsid w:val="004D4FEC"/>
    <w:rsid w:val="004D670F"/>
    <w:rsid w:val="004D6A77"/>
    <w:rsid w:val="004D7F75"/>
    <w:rsid w:val="004E0510"/>
    <w:rsid w:val="004E12E6"/>
    <w:rsid w:val="004E14D6"/>
    <w:rsid w:val="004E1693"/>
    <w:rsid w:val="004E4EAE"/>
    <w:rsid w:val="004E53FE"/>
    <w:rsid w:val="004E58C9"/>
    <w:rsid w:val="004E58DC"/>
    <w:rsid w:val="004E5A39"/>
    <w:rsid w:val="004E5F57"/>
    <w:rsid w:val="004E61AA"/>
    <w:rsid w:val="004E705A"/>
    <w:rsid w:val="004E7D2B"/>
    <w:rsid w:val="004F0EAD"/>
    <w:rsid w:val="004F1489"/>
    <w:rsid w:val="004F1795"/>
    <w:rsid w:val="004F33E3"/>
    <w:rsid w:val="004F360E"/>
    <w:rsid w:val="004F3962"/>
    <w:rsid w:val="004F4515"/>
    <w:rsid w:val="004F5BBB"/>
    <w:rsid w:val="004F5D53"/>
    <w:rsid w:val="004F725C"/>
    <w:rsid w:val="004F7A8B"/>
    <w:rsid w:val="004F7AE4"/>
    <w:rsid w:val="00501DDF"/>
    <w:rsid w:val="005035BF"/>
    <w:rsid w:val="005038FD"/>
    <w:rsid w:val="00503BE6"/>
    <w:rsid w:val="00504105"/>
    <w:rsid w:val="0050524C"/>
    <w:rsid w:val="005052A1"/>
    <w:rsid w:val="00505EEE"/>
    <w:rsid w:val="00506147"/>
    <w:rsid w:val="00507052"/>
    <w:rsid w:val="005077A8"/>
    <w:rsid w:val="005109D8"/>
    <w:rsid w:val="00510CA9"/>
    <w:rsid w:val="00510CFE"/>
    <w:rsid w:val="0051143D"/>
    <w:rsid w:val="005120D1"/>
    <w:rsid w:val="00512525"/>
    <w:rsid w:val="00512D20"/>
    <w:rsid w:val="00512E3C"/>
    <w:rsid w:val="00512EB9"/>
    <w:rsid w:val="00513117"/>
    <w:rsid w:val="0051468D"/>
    <w:rsid w:val="005157EF"/>
    <w:rsid w:val="0051634F"/>
    <w:rsid w:val="00517033"/>
    <w:rsid w:val="00521B6B"/>
    <w:rsid w:val="0052261E"/>
    <w:rsid w:val="00522702"/>
    <w:rsid w:val="0052371B"/>
    <w:rsid w:val="00523A57"/>
    <w:rsid w:val="00523CC0"/>
    <w:rsid w:val="005244DA"/>
    <w:rsid w:val="005249A3"/>
    <w:rsid w:val="00525130"/>
    <w:rsid w:val="0052570C"/>
    <w:rsid w:val="00525897"/>
    <w:rsid w:val="00525E60"/>
    <w:rsid w:val="00526286"/>
    <w:rsid w:val="00527828"/>
    <w:rsid w:val="0052794A"/>
    <w:rsid w:val="00531D6C"/>
    <w:rsid w:val="005321CC"/>
    <w:rsid w:val="005327C7"/>
    <w:rsid w:val="00532FCF"/>
    <w:rsid w:val="0053414F"/>
    <w:rsid w:val="00534FD4"/>
    <w:rsid w:val="0053670B"/>
    <w:rsid w:val="005370E0"/>
    <w:rsid w:val="005372D0"/>
    <w:rsid w:val="0054016B"/>
    <w:rsid w:val="005401F9"/>
    <w:rsid w:val="00540BA9"/>
    <w:rsid w:val="00543038"/>
    <w:rsid w:val="005438C4"/>
    <w:rsid w:val="0054395E"/>
    <w:rsid w:val="005446F6"/>
    <w:rsid w:val="00546205"/>
    <w:rsid w:val="00547693"/>
    <w:rsid w:val="00547AA5"/>
    <w:rsid w:val="00547EBA"/>
    <w:rsid w:val="0055019B"/>
    <w:rsid w:val="0055291B"/>
    <w:rsid w:val="00552D28"/>
    <w:rsid w:val="005544AD"/>
    <w:rsid w:val="00554518"/>
    <w:rsid w:val="00554AF4"/>
    <w:rsid w:val="005571A1"/>
    <w:rsid w:val="00557229"/>
    <w:rsid w:val="00557AA6"/>
    <w:rsid w:val="0056033B"/>
    <w:rsid w:val="005605BE"/>
    <w:rsid w:val="00560605"/>
    <w:rsid w:val="005613CC"/>
    <w:rsid w:val="005626C1"/>
    <w:rsid w:val="00563003"/>
    <w:rsid w:val="0056650F"/>
    <w:rsid w:val="005705D7"/>
    <w:rsid w:val="0057099E"/>
    <w:rsid w:val="00571D41"/>
    <w:rsid w:val="0057369C"/>
    <w:rsid w:val="00573A15"/>
    <w:rsid w:val="0057404D"/>
    <w:rsid w:val="005744F5"/>
    <w:rsid w:val="00575083"/>
    <w:rsid w:val="005751C0"/>
    <w:rsid w:val="0057525E"/>
    <w:rsid w:val="005754CA"/>
    <w:rsid w:val="00575DC0"/>
    <w:rsid w:val="00577E5D"/>
    <w:rsid w:val="00580254"/>
    <w:rsid w:val="00580401"/>
    <w:rsid w:val="0058059C"/>
    <w:rsid w:val="00580918"/>
    <w:rsid w:val="00580F25"/>
    <w:rsid w:val="00582D28"/>
    <w:rsid w:val="00583211"/>
    <w:rsid w:val="00583BAD"/>
    <w:rsid w:val="00584740"/>
    <w:rsid w:val="00584DB8"/>
    <w:rsid w:val="00585BFD"/>
    <w:rsid w:val="00585D00"/>
    <w:rsid w:val="005875A3"/>
    <w:rsid w:val="00587672"/>
    <w:rsid w:val="00592508"/>
    <w:rsid w:val="005926B4"/>
    <w:rsid w:val="00594102"/>
    <w:rsid w:val="00594205"/>
    <w:rsid w:val="005948DC"/>
    <w:rsid w:val="00594E4E"/>
    <w:rsid w:val="0059512F"/>
    <w:rsid w:val="0059625F"/>
    <w:rsid w:val="005A12C9"/>
    <w:rsid w:val="005A1D48"/>
    <w:rsid w:val="005A40D9"/>
    <w:rsid w:val="005A6248"/>
    <w:rsid w:val="005A66F3"/>
    <w:rsid w:val="005A6A9C"/>
    <w:rsid w:val="005A6AFC"/>
    <w:rsid w:val="005A6EBB"/>
    <w:rsid w:val="005B14EE"/>
    <w:rsid w:val="005B1A8C"/>
    <w:rsid w:val="005B227B"/>
    <w:rsid w:val="005B28BC"/>
    <w:rsid w:val="005B379A"/>
    <w:rsid w:val="005B41CD"/>
    <w:rsid w:val="005B5E10"/>
    <w:rsid w:val="005B5FAE"/>
    <w:rsid w:val="005B63DB"/>
    <w:rsid w:val="005B6B55"/>
    <w:rsid w:val="005B6DDC"/>
    <w:rsid w:val="005B741B"/>
    <w:rsid w:val="005B74F6"/>
    <w:rsid w:val="005B79D1"/>
    <w:rsid w:val="005B7B93"/>
    <w:rsid w:val="005C2148"/>
    <w:rsid w:val="005C2E43"/>
    <w:rsid w:val="005C402D"/>
    <w:rsid w:val="005C6251"/>
    <w:rsid w:val="005C6CA8"/>
    <w:rsid w:val="005C6CDF"/>
    <w:rsid w:val="005C7D0D"/>
    <w:rsid w:val="005C7EB0"/>
    <w:rsid w:val="005D037B"/>
    <w:rsid w:val="005D04BF"/>
    <w:rsid w:val="005D0F6E"/>
    <w:rsid w:val="005D4410"/>
    <w:rsid w:val="005D4E4D"/>
    <w:rsid w:val="005D5599"/>
    <w:rsid w:val="005D7377"/>
    <w:rsid w:val="005D73BD"/>
    <w:rsid w:val="005E0511"/>
    <w:rsid w:val="005E0FF3"/>
    <w:rsid w:val="005E3683"/>
    <w:rsid w:val="005E404D"/>
    <w:rsid w:val="005E5C55"/>
    <w:rsid w:val="005E61DF"/>
    <w:rsid w:val="005E7399"/>
    <w:rsid w:val="005E7AB2"/>
    <w:rsid w:val="005E7C33"/>
    <w:rsid w:val="005F0C2B"/>
    <w:rsid w:val="005F2054"/>
    <w:rsid w:val="005F229C"/>
    <w:rsid w:val="005F2CC0"/>
    <w:rsid w:val="005F3C5E"/>
    <w:rsid w:val="005F44A4"/>
    <w:rsid w:val="005F4AA6"/>
    <w:rsid w:val="005F4FA0"/>
    <w:rsid w:val="005F51E1"/>
    <w:rsid w:val="005F55CE"/>
    <w:rsid w:val="005F59A7"/>
    <w:rsid w:val="005F6E2C"/>
    <w:rsid w:val="005F7777"/>
    <w:rsid w:val="00601420"/>
    <w:rsid w:val="0060156A"/>
    <w:rsid w:val="00602010"/>
    <w:rsid w:val="00603A9A"/>
    <w:rsid w:val="00604691"/>
    <w:rsid w:val="006059F4"/>
    <w:rsid w:val="00605B6B"/>
    <w:rsid w:val="006071B5"/>
    <w:rsid w:val="00607C82"/>
    <w:rsid w:val="00612A74"/>
    <w:rsid w:val="006143CC"/>
    <w:rsid w:val="0061445B"/>
    <w:rsid w:val="00615DCF"/>
    <w:rsid w:val="00616642"/>
    <w:rsid w:val="00617875"/>
    <w:rsid w:val="00620DB9"/>
    <w:rsid w:val="00621DD9"/>
    <w:rsid w:val="00623597"/>
    <w:rsid w:val="0062441C"/>
    <w:rsid w:val="0062481F"/>
    <w:rsid w:val="006248F8"/>
    <w:rsid w:val="00624A30"/>
    <w:rsid w:val="006252C5"/>
    <w:rsid w:val="00625E62"/>
    <w:rsid w:val="0062646A"/>
    <w:rsid w:val="006271B0"/>
    <w:rsid w:val="00627958"/>
    <w:rsid w:val="00627A05"/>
    <w:rsid w:val="00627C51"/>
    <w:rsid w:val="00630027"/>
    <w:rsid w:val="00631694"/>
    <w:rsid w:val="00631A21"/>
    <w:rsid w:val="00633D20"/>
    <w:rsid w:val="00634057"/>
    <w:rsid w:val="00635C58"/>
    <w:rsid w:val="00635EE0"/>
    <w:rsid w:val="00636132"/>
    <w:rsid w:val="006361A3"/>
    <w:rsid w:val="0063762B"/>
    <w:rsid w:val="00637881"/>
    <w:rsid w:val="0064070A"/>
    <w:rsid w:val="006412B0"/>
    <w:rsid w:val="00641883"/>
    <w:rsid w:val="006418E2"/>
    <w:rsid w:val="00643E48"/>
    <w:rsid w:val="00644270"/>
    <w:rsid w:val="00644336"/>
    <w:rsid w:val="00644C4B"/>
    <w:rsid w:val="00645EAB"/>
    <w:rsid w:val="006460C6"/>
    <w:rsid w:val="0064679C"/>
    <w:rsid w:val="0064690F"/>
    <w:rsid w:val="006471E9"/>
    <w:rsid w:val="00647201"/>
    <w:rsid w:val="00651084"/>
    <w:rsid w:val="00651EEA"/>
    <w:rsid w:val="00652B13"/>
    <w:rsid w:val="006533CA"/>
    <w:rsid w:val="00653B9E"/>
    <w:rsid w:val="00653BB9"/>
    <w:rsid w:val="00653CC5"/>
    <w:rsid w:val="00654C56"/>
    <w:rsid w:val="00655D41"/>
    <w:rsid w:val="0065602C"/>
    <w:rsid w:val="006578F9"/>
    <w:rsid w:val="00661505"/>
    <w:rsid w:val="0066191B"/>
    <w:rsid w:val="00663640"/>
    <w:rsid w:val="0066386A"/>
    <w:rsid w:val="00663A58"/>
    <w:rsid w:val="00663C8D"/>
    <w:rsid w:val="00664771"/>
    <w:rsid w:val="00664B7D"/>
    <w:rsid w:val="00665D4F"/>
    <w:rsid w:val="00666968"/>
    <w:rsid w:val="006674BC"/>
    <w:rsid w:val="00667BE2"/>
    <w:rsid w:val="00667D05"/>
    <w:rsid w:val="00670C17"/>
    <w:rsid w:val="006719B9"/>
    <w:rsid w:val="0067205F"/>
    <w:rsid w:val="006725F5"/>
    <w:rsid w:val="0067319E"/>
    <w:rsid w:val="0067345A"/>
    <w:rsid w:val="0067450B"/>
    <w:rsid w:val="006774A6"/>
    <w:rsid w:val="0068028B"/>
    <w:rsid w:val="006804EC"/>
    <w:rsid w:val="0068180E"/>
    <w:rsid w:val="0068255F"/>
    <w:rsid w:val="006825F7"/>
    <w:rsid w:val="0068280E"/>
    <w:rsid w:val="00682E3B"/>
    <w:rsid w:val="006834C3"/>
    <w:rsid w:val="00684F18"/>
    <w:rsid w:val="00684F20"/>
    <w:rsid w:val="00687B78"/>
    <w:rsid w:val="00687F6D"/>
    <w:rsid w:val="0069111A"/>
    <w:rsid w:val="00691A9B"/>
    <w:rsid w:val="00691CE5"/>
    <w:rsid w:val="00692CBE"/>
    <w:rsid w:val="00693E41"/>
    <w:rsid w:val="006948ED"/>
    <w:rsid w:val="00694B04"/>
    <w:rsid w:val="00695070"/>
    <w:rsid w:val="006966A7"/>
    <w:rsid w:val="006970A9"/>
    <w:rsid w:val="0069749B"/>
    <w:rsid w:val="006978A7"/>
    <w:rsid w:val="006978FF"/>
    <w:rsid w:val="006A060D"/>
    <w:rsid w:val="006A0A05"/>
    <w:rsid w:val="006A126B"/>
    <w:rsid w:val="006A1459"/>
    <w:rsid w:val="006A2D80"/>
    <w:rsid w:val="006A2E79"/>
    <w:rsid w:val="006A34F6"/>
    <w:rsid w:val="006A55A0"/>
    <w:rsid w:val="006B11E3"/>
    <w:rsid w:val="006B1A7F"/>
    <w:rsid w:val="006B1CB0"/>
    <w:rsid w:val="006B2AA9"/>
    <w:rsid w:val="006B2E55"/>
    <w:rsid w:val="006B31B6"/>
    <w:rsid w:val="006B39B6"/>
    <w:rsid w:val="006B51F7"/>
    <w:rsid w:val="006B58D8"/>
    <w:rsid w:val="006B5A89"/>
    <w:rsid w:val="006B6353"/>
    <w:rsid w:val="006B754F"/>
    <w:rsid w:val="006B78BE"/>
    <w:rsid w:val="006C04B7"/>
    <w:rsid w:val="006C0535"/>
    <w:rsid w:val="006C140F"/>
    <w:rsid w:val="006C17CD"/>
    <w:rsid w:val="006C1F92"/>
    <w:rsid w:val="006C3FE5"/>
    <w:rsid w:val="006C4C98"/>
    <w:rsid w:val="006C7068"/>
    <w:rsid w:val="006C7BD3"/>
    <w:rsid w:val="006C7CFA"/>
    <w:rsid w:val="006D007A"/>
    <w:rsid w:val="006D2A78"/>
    <w:rsid w:val="006D4810"/>
    <w:rsid w:val="006D621A"/>
    <w:rsid w:val="006D6C94"/>
    <w:rsid w:val="006D7DAA"/>
    <w:rsid w:val="006E00A9"/>
    <w:rsid w:val="006E068B"/>
    <w:rsid w:val="006E07F5"/>
    <w:rsid w:val="006E08C8"/>
    <w:rsid w:val="006E1C49"/>
    <w:rsid w:val="006E2BFF"/>
    <w:rsid w:val="006E5766"/>
    <w:rsid w:val="006E7065"/>
    <w:rsid w:val="006F015A"/>
    <w:rsid w:val="006F03BB"/>
    <w:rsid w:val="006F04AC"/>
    <w:rsid w:val="006F1F88"/>
    <w:rsid w:val="006F35B5"/>
    <w:rsid w:val="006F3B46"/>
    <w:rsid w:val="006F3E9B"/>
    <w:rsid w:val="006F3FBB"/>
    <w:rsid w:val="006F419B"/>
    <w:rsid w:val="006F7FA7"/>
    <w:rsid w:val="00700A71"/>
    <w:rsid w:val="007014A5"/>
    <w:rsid w:val="0070277E"/>
    <w:rsid w:val="00703932"/>
    <w:rsid w:val="00703B46"/>
    <w:rsid w:val="00704B40"/>
    <w:rsid w:val="00704CA8"/>
    <w:rsid w:val="00704DA7"/>
    <w:rsid w:val="007055C9"/>
    <w:rsid w:val="00706D34"/>
    <w:rsid w:val="00707233"/>
    <w:rsid w:val="007076A4"/>
    <w:rsid w:val="00707ACF"/>
    <w:rsid w:val="00707F89"/>
    <w:rsid w:val="00707FEA"/>
    <w:rsid w:val="0071108F"/>
    <w:rsid w:val="007117AC"/>
    <w:rsid w:val="00712547"/>
    <w:rsid w:val="0071254F"/>
    <w:rsid w:val="007126FE"/>
    <w:rsid w:val="00712777"/>
    <w:rsid w:val="00712A71"/>
    <w:rsid w:val="00714A48"/>
    <w:rsid w:val="0071503E"/>
    <w:rsid w:val="00715097"/>
    <w:rsid w:val="00715D24"/>
    <w:rsid w:val="00715DA3"/>
    <w:rsid w:val="00715EF0"/>
    <w:rsid w:val="007178A8"/>
    <w:rsid w:val="00720838"/>
    <w:rsid w:val="00720FD1"/>
    <w:rsid w:val="00721440"/>
    <w:rsid w:val="00723E52"/>
    <w:rsid w:val="007247A7"/>
    <w:rsid w:val="00724F2E"/>
    <w:rsid w:val="00725477"/>
    <w:rsid w:val="00725EDF"/>
    <w:rsid w:val="00726F5D"/>
    <w:rsid w:val="00727886"/>
    <w:rsid w:val="007279EE"/>
    <w:rsid w:val="00727D90"/>
    <w:rsid w:val="00730694"/>
    <w:rsid w:val="00731495"/>
    <w:rsid w:val="0073250A"/>
    <w:rsid w:val="0073394F"/>
    <w:rsid w:val="00733CFA"/>
    <w:rsid w:val="00735242"/>
    <w:rsid w:val="00735BC6"/>
    <w:rsid w:val="00735F48"/>
    <w:rsid w:val="007362EF"/>
    <w:rsid w:val="0073691C"/>
    <w:rsid w:val="00737001"/>
    <w:rsid w:val="00737639"/>
    <w:rsid w:val="00737D16"/>
    <w:rsid w:val="007402C1"/>
    <w:rsid w:val="00741D0F"/>
    <w:rsid w:val="0074296D"/>
    <w:rsid w:val="00742C33"/>
    <w:rsid w:val="00742FAF"/>
    <w:rsid w:val="00743286"/>
    <w:rsid w:val="007437EA"/>
    <w:rsid w:val="00744087"/>
    <w:rsid w:val="00745601"/>
    <w:rsid w:val="00746092"/>
    <w:rsid w:val="0074626D"/>
    <w:rsid w:val="00750439"/>
    <w:rsid w:val="00750772"/>
    <w:rsid w:val="00751435"/>
    <w:rsid w:val="00751EBF"/>
    <w:rsid w:val="00753EBC"/>
    <w:rsid w:val="0075492A"/>
    <w:rsid w:val="00754D7E"/>
    <w:rsid w:val="00756977"/>
    <w:rsid w:val="007578CB"/>
    <w:rsid w:val="0076053B"/>
    <w:rsid w:val="00760C95"/>
    <w:rsid w:val="0076167E"/>
    <w:rsid w:val="007621E8"/>
    <w:rsid w:val="007630C1"/>
    <w:rsid w:val="007636C2"/>
    <w:rsid w:val="00763BAA"/>
    <w:rsid w:val="00764871"/>
    <w:rsid w:val="00765308"/>
    <w:rsid w:val="00765654"/>
    <w:rsid w:val="007661E0"/>
    <w:rsid w:val="00766CE9"/>
    <w:rsid w:val="007678E2"/>
    <w:rsid w:val="00770A3F"/>
    <w:rsid w:val="00770BED"/>
    <w:rsid w:val="00770C7C"/>
    <w:rsid w:val="00772241"/>
    <w:rsid w:val="007741F8"/>
    <w:rsid w:val="00774450"/>
    <w:rsid w:val="00774821"/>
    <w:rsid w:val="00774A48"/>
    <w:rsid w:val="0077652F"/>
    <w:rsid w:val="00777011"/>
    <w:rsid w:val="00777262"/>
    <w:rsid w:val="00777B55"/>
    <w:rsid w:val="00780257"/>
    <w:rsid w:val="00781136"/>
    <w:rsid w:val="007819DF"/>
    <w:rsid w:val="00781A64"/>
    <w:rsid w:val="00790271"/>
    <w:rsid w:val="00791169"/>
    <w:rsid w:val="00791697"/>
    <w:rsid w:val="00791AE8"/>
    <w:rsid w:val="00792505"/>
    <w:rsid w:val="00792AE5"/>
    <w:rsid w:val="00793FC1"/>
    <w:rsid w:val="007946A7"/>
    <w:rsid w:val="007950B3"/>
    <w:rsid w:val="00796FBF"/>
    <w:rsid w:val="007A06E5"/>
    <w:rsid w:val="007A0CC9"/>
    <w:rsid w:val="007A0E85"/>
    <w:rsid w:val="007A125F"/>
    <w:rsid w:val="007A2F3D"/>
    <w:rsid w:val="007A40AF"/>
    <w:rsid w:val="007A426A"/>
    <w:rsid w:val="007A47DE"/>
    <w:rsid w:val="007A4F67"/>
    <w:rsid w:val="007A545F"/>
    <w:rsid w:val="007A6E95"/>
    <w:rsid w:val="007A6FBB"/>
    <w:rsid w:val="007A79EE"/>
    <w:rsid w:val="007A7EDE"/>
    <w:rsid w:val="007B03E1"/>
    <w:rsid w:val="007B0827"/>
    <w:rsid w:val="007B1BD9"/>
    <w:rsid w:val="007B1F46"/>
    <w:rsid w:val="007B27C7"/>
    <w:rsid w:val="007B2944"/>
    <w:rsid w:val="007B41B7"/>
    <w:rsid w:val="007B41CB"/>
    <w:rsid w:val="007B535D"/>
    <w:rsid w:val="007B564F"/>
    <w:rsid w:val="007B5B82"/>
    <w:rsid w:val="007B62AC"/>
    <w:rsid w:val="007B722F"/>
    <w:rsid w:val="007B7565"/>
    <w:rsid w:val="007B794D"/>
    <w:rsid w:val="007C01AE"/>
    <w:rsid w:val="007C099E"/>
    <w:rsid w:val="007C1050"/>
    <w:rsid w:val="007C3352"/>
    <w:rsid w:val="007C38BF"/>
    <w:rsid w:val="007C3F90"/>
    <w:rsid w:val="007C4351"/>
    <w:rsid w:val="007C4794"/>
    <w:rsid w:val="007C4D6E"/>
    <w:rsid w:val="007C5048"/>
    <w:rsid w:val="007C5C8A"/>
    <w:rsid w:val="007C5E97"/>
    <w:rsid w:val="007D0079"/>
    <w:rsid w:val="007D0120"/>
    <w:rsid w:val="007D4119"/>
    <w:rsid w:val="007D41F4"/>
    <w:rsid w:val="007D4A99"/>
    <w:rsid w:val="007D4EE3"/>
    <w:rsid w:val="007D557C"/>
    <w:rsid w:val="007D5843"/>
    <w:rsid w:val="007D6EF6"/>
    <w:rsid w:val="007D797B"/>
    <w:rsid w:val="007E082F"/>
    <w:rsid w:val="007E088D"/>
    <w:rsid w:val="007E2455"/>
    <w:rsid w:val="007E326F"/>
    <w:rsid w:val="007E3C46"/>
    <w:rsid w:val="007E4670"/>
    <w:rsid w:val="007E5465"/>
    <w:rsid w:val="007E5512"/>
    <w:rsid w:val="007E6F33"/>
    <w:rsid w:val="007E705B"/>
    <w:rsid w:val="007E7740"/>
    <w:rsid w:val="007F02CF"/>
    <w:rsid w:val="007F153F"/>
    <w:rsid w:val="007F157F"/>
    <w:rsid w:val="007F2F44"/>
    <w:rsid w:val="007F3924"/>
    <w:rsid w:val="007F40B1"/>
    <w:rsid w:val="007F5163"/>
    <w:rsid w:val="007F537C"/>
    <w:rsid w:val="007F5D71"/>
    <w:rsid w:val="008032D1"/>
    <w:rsid w:val="00803923"/>
    <w:rsid w:val="00803F52"/>
    <w:rsid w:val="008041ED"/>
    <w:rsid w:val="00804C29"/>
    <w:rsid w:val="00806D5C"/>
    <w:rsid w:val="008075D3"/>
    <w:rsid w:val="00810833"/>
    <w:rsid w:val="00811601"/>
    <w:rsid w:val="00811FCF"/>
    <w:rsid w:val="008123B2"/>
    <w:rsid w:val="0081337F"/>
    <w:rsid w:val="00813AE0"/>
    <w:rsid w:val="008144C2"/>
    <w:rsid w:val="00814624"/>
    <w:rsid w:val="00816966"/>
    <w:rsid w:val="00816ADD"/>
    <w:rsid w:val="0082015A"/>
    <w:rsid w:val="008215DE"/>
    <w:rsid w:val="00821A44"/>
    <w:rsid w:val="00821B7B"/>
    <w:rsid w:val="00822801"/>
    <w:rsid w:val="00822D29"/>
    <w:rsid w:val="00823B60"/>
    <w:rsid w:val="008243CB"/>
    <w:rsid w:val="008251AE"/>
    <w:rsid w:val="008254E4"/>
    <w:rsid w:val="00830AAB"/>
    <w:rsid w:val="00830CDB"/>
    <w:rsid w:val="008310BC"/>
    <w:rsid w:val="0083193A"/>
    <w:rsid w:val="00831EB1"/>
    <w:rsid w:val="0083212C"/>
    <w:rsid w:val="008326D0"/>
    <w:rsid w:val="00833967"/>
    <w:rsid w:val="00833C96"/>
    <w:rsid w:val="008351FC"/>
    <w:rsid w:val="00835AB4"/>
    <w:rsid w:val="00837253"/>
    <w:rsid w:val="0083793F"/>
    <w:rsid w:val="00837E00"/>
    <w:rsid w:val="00840305"/>
    <w:rsid w:val="00846348"/>
    <w:rsid w:val="008516C7"/>
    <w:rsid w:val="00851CFA"/>
    <w:rsid w:val="008523D6"/>
    <w:rsid w:val="00852DE6"/>
    <w:rsid w:val="00852E95"/>
    <w:rsid w:val="0085336D"/>
    <w:rsid w:val="00854399"/>
    <w:rsid w:val="008546B4"/>
    <w:rsid w:val="0085483D"/>
    <w:rsid w:val="008550C3"/>
    <w:rsid w:val="0085518A"/>
    <w:rsid w:val="00855AB4"/>
    <w:rsid w:val="00855F32"/>
    <w:rsid w:val="008570E4"/>
    <w:rsid w:val="00857B7A"/>
    <w:rsid w:val="0086091C"/>
    <w:rsid w:val="00861806"/>
    <w:rsid w:val="00861B44"/>
    <w:rsid w:val="008622FD"/>
    <w:rsid w:val="0086288C"/>
    <w:rsid w:val="0086295C"/>
    <w:rsid w:val="0086309E"/>
    <w:rsid w:val="00863516"/>
    <w:rsid w:val="0086391D"/>
    <w:rsid w:val="00863B80"/>
    <w:rsid w:val="0086414F"/>
    <w:rsid w:val="008641B4"/>
    <w:rsid w:val="00864219"/>
    <w:rsid w:val="00864B03"/>
    <w:rsid w:val="0086520F"/>
    <w:rsid w:val="008652ED"/>
    <w:rsid w:val="00870811"/>
    <w:rsid w:val="0087085B"/>
    <w:rsid w:val="0087194A"/>
    <w:rsid w:val="00871DA9"/>
    <w:rsid w:val="008725DB"/>
    <w:rsid w:val="00872AE3"/>
    <w:rsid w:val="00872BCF"/>
    <w:rsid w:val="00873488"/>
    <w:rsid w:val="008741E0"/>
    <w:rsid w:val="00875A78"/>
    <w:rsid w:val="00875E97"/>
    <w:rsid w:val="00876E11"/>
    <w:rsid w:val="00877E16"/>
    <w:rsid w:val="008806AA"/>
    <w:rsid w:val="008806EF"/>
    <w:rsid w:val="00880F21"/>
    <w:rsid w:val="00881A38"/>
    <w:rsid w:val="00882ADD"/>
    <w:rsid w:val="00882D16"/>
    <w:rsid w:val="00882F8E"/>
    <w:rsid w:val="00883C34"/>
    <w:rsid w:val="0088487C"/>
    <w:rsid w:val="008859D8"/>
    <w:rsid w:val="00885E40"/>
    <w:rsid w:val="0088644B"/>
    <w:rsid w:val="00886ED2"/>
    <w:rsid w:val="00887186"/>
    <w:rsid w:val="008871F1"/>
    <w:rsid w:val="0088753C"/>
    <w:rsid w:val="0088788B"/>
    <w:rsid w:val="00890297"/>
    <w:rsid w:val="0089142F"/>
    <w:rsid w:val="00891AA8"/>
    <w:rsid w:val="00893C26"/>
    <w:rsid w:val="008940BC"/>
    <w:rsid w:val="008A063F"/>
    <w:rsid w:val="008A0BAD"/>
    <w:rsid w:val="008A0D74"/>
    <w:rsid w:val="008A12E3"/>
    <w:rsid w:val="008A130C"/>
    <w:rsid w:val="008A1C3E"/>
    <w:rsid w:val="008A2A11"/>
    <w:rsid w:val="008A30A4"/>
    <w:rsid w:val="008A419F"/>
    <w:rsid w:val="008A49CB"/>
    <w:rsid w:val="008A4CA1"/>
    <w:rsid w:val="008A5CA2"/>
    <w:rsid w:val="008A639E"/>
    <w:rsid w:val="008A6E1B"/>
    <w:rsid w:val="008A7CD4"/>
    <w:rsid w:val="008B0262"/>
    <w:rsid w:val="008B1B46"/>
    <w:rsid w:val="008B1B82"/>
    <w:rsid w:val="008B217A"/>
    <w:rsid w:val="008B22A5"/>
    <w:rsid w:val="008B2983"/>
    <w:rsid w:val="008B38E7"/>
    <w:rsid w:val="008B3D5A"/>
    <w:rsid w:val="008B4093"/>
    <w:rsid w:val="008B5964"/>
    <w:rsid w:val="008B61EF"/>
    <w:rsid w:val="008B64BA"/>
    <w:rsid w:val="008B6645"/>
    <w:rsid w:val="008B6B9F"/>
    <w:rsid w:val="008B7051"/>
    <w:rsid w:val="008B7432"/>
    <w:rsid w:val="008C0D93"/>
    <w:rsid w:val="008C0EC3"/>
    <w:rsid w:val="008C1BC8"/>
    <w:rsid w:val="008C1E9B"/>
    <w:rsid w:val="008C2E6F"/>
    <w:rsid w:val="008C3256"/>
    <w:rsid w:val="008C3C95"/>
    <w:rsid w:val="008C44E3"/>
    <w:rsid w:val="008C4987"/>
    <w:rsid w:val="008C5FD3"/>
    <w:rsid w:val="008C611D"/>
    <w:rsid w:val="008C7145"/>
    <w:rsid w:val="008C7AC7"/>
    <w:rsid w:val="008C7B26"/>
    <w:rsid w:val="008D01EA"/>
    <w:rsid w:val="008D039E"/>
    <w:rsid w:val="008D0D42"/>
    <w:rsid w:val="008D14F2"/>
    <w:rsid w:val="008D21C0"/>
    <w:rsid w:val="008D28F9"/>
    <w:rsid w:val="008D2D73"/>
    <w:rsid w:val="008D4BA0"/>
    <w:rsid w:val="008D7E87"/>
    <w:rsid w:val="008E0798"/>
    <w:rsid w:val="008E13E5"/>
    <w:rsid w:val="008E2D95"/>
    <w:rsid w:val="008E52E4"/>
    <w:rsid w:val="008E5CAF"/>
    <w:rsid w:val="008F12FC"/>
    <w:rsid w:val="008F147E"/>
    <w:rsid w:val="008F2E56"/>
    <w:rsid w:val="008F3900"/>
    <w:rsid w:val="008F5568"/>
    <w:rsid w:val="008F568E"/>
    <w:rsid w:val="008F57F3"/>
    <w:rsid w:val="008F5A36"/>
    <w:rsid w:val="008F759F"/>
    <w:rsid w:val="0090023F"/>
    <w:rsid w:val="00900BFD"/>
    <w:rsid w:val="00901049"/>
    <w:rsid w:val="0090143C"/>
    <w:rsid w:val="0090193C"/>
    <w:rsid w:val="0090264E"/>
    <w:rsid w:val="00902ECE"/>
    <w:rsid w:val="0090538C"/>
    <w:rsid w:val="00905632"/>
    <w:rsid w:val="009066B7"/>
    <w:rsid w:val="00906A47"/>
    <w:rsid w:val="00906C93"/>
    <w:rsid w:val="00907909"/>
    <w:rsid w:val="00910A64"/>
    <w:rsid w:val="0091110C"/>
    <w:rsid w:val="00911603"/>
    <w:rsid w:val="00911C17"/>
    <w:rsid w:val="009121A6"/>
    <w:rsid w:val="00913DCC"/>
    <w:rsid w:val="009146D7"/>
    <w:rsid w:val="00914776"/>
    <w:rsid w:val="00914D77"/>
    <w:rsid w:val="0091521A"/>
    <w:rsid w:val="009153F8"/>
    <w:rsid w:val="00916405"/>
    <w:rsid w:val="0091641A"/>
    <w:rsid w:val="00916622"/>
    <w:rsid w:val="00916B96"/>
    <w:rsid w:val="00917E64"/>
    <w:rsid w:val="009206E3"/>
    <w:rsid w:val="0092147D"/>
    <w:rsid w:val="00922AE8"/>
    <w:rsid w:val="00922B8F"/>
    <w:rsid w:val="00922F2C"/>
    <w:rsid w:val="00923796"/>
    <w:rsid w:val="00923A7F"/>
    <w:rsid w:val="0092471E"/>
    <w:rsid w:val="009249C3"/>
    <w:rsid w:val="009255ED"/>
    <w:rsid w:val="00925B05"/>
    <w:rsid w:val="0092616E"/>
    <w:rsid w:val="0092643C"/>
    <w:rsid w:val="00927A17"/>
    <w:rsid w:val="00927C4A"/>
    <w:rsid w:val="00931400"/>
    <w:rsid w:val="00931669"/>
    <w:rsid w:val="009325F2"/>
    <w:rsid w:val="00932DA2"/>
    <w:rsid w:val="00932F4C"/>
    <w:rsid w:val="009337F1"/>
    <w:rsid w:val="00934AC4"/>
    <w:rsid w:val="00934E66"/>
    <w:rsid w:val="00935009"/>
    <w:rsid w:val="009351E4"/>
    <w:rsid w:val="009356C7"/>
    <w:rsid w:val="00936E84"/>
    <w:rsid w:val="00936FF6"/>
    <w:rsid w:val="00937133"/>
    <w:rsid w:val="00937373"/>
    <w:rsid w:val="009374E5"/>
    <w:rsid w:val="00937BE3"/>
    <w:rsid w:val="009404F2"/>
    <w:rsid w:val="009409AE"/>
    <w:rsid w:val="00941637"/>
    <w:rsid w:val="00943026"/>
    <w:rsid w:val="009433D1"/>
    <w:rsid w:val="00943461"/>
    <w:rsid w:val="00945499"/>
    <w:rsid w:val="009455FE"/>
    <w:rsid w:val="009472F4"/>
    <w:rsid w:val="009508E7"/>
    <w:rsid w:val="00951DB4"/>
    <w:rsid w:val="0095226B"/>
    <w:rsid w:val="00952933"/>
    <w:rsid w:val="009530EE"/>
    <w:rsid w:val="00953306"/>
    <w:rsid w:val="00954866"/>
    <w:rsid w:val="00955951"/>
    <w:rsid w:val="00956800"/>
    <w:rsid w:val="0095697A"/>
    <w:rsid w:val="00956EE2"/>
    <w:rsid w:val="00956EFF"/>
    <w:rsid w:val="00957E2A"/>
    <w:rsid w:val="00960B47"/>
    <w:rsid w:val="00960D7D"/>
    <w:rsid w:val="009615D4"/>
    <w:rsid w:val="00961DBC"/>
    <w:rsid w:val="00961FCE"/>
    <w:rsid w:val="009620C1"/>
    <w:rsid w:val="00962446"/>
    <w:rsid w:val="009627F9"/>
    <w:rsid w:val="009643C3"/>
    <w:rsid w:val="00965099"/>
    <w:rsid w:val="00966016"/>
    <w:rsid w:val="00966380"/>
    <w:rsid w:val="009668E1"/>
    <w:rsid w:val="00966F30"/>
    <w:rsid w:val="00967335"/>
    <w:rsid w:val="009674C1"/>
    <w:rsid w:val="009678BD"/>
    <w:rsid w:val="009709DB"/>
    <w:rsid w:val="0097123C"/>
    <w:rsid w:val="00971621"/>
    <w:rsid w:val="00971850"/>
    <w:rsid w:val="009718DE"/>
    <w:rsid w:val="009720EA"/>
    <w:rsid w:val="00973501"/>
    <w:rsid w:val="009736F6"/>
    <w:rsid w:val="0097371F"/>
    <w:rsid w:val="00973836"/>
    <w:rsid w:val="009739DC"/>
    <w:rsid w:val="00973E10"/>
    <w:rsid w:val="00976698"/>
    <w:rsid w:val="00977427"/>
    <w:rsid w:val="00977697"/>
    <w:rsid w:val="00980309"/>
    <w:rsid w:val="00980BB7"/>
    <w:rsid w:val="0098122E"/>
    <w:rsid w:val="00981DB4"/>
    <w:rsid w:val="009822CC"/>
    <w:rsid w:val="009822F5"/>
    <w:rsid w:val="0098235A"/>
    <w:rsid w:val="00982E3F"/>
    <w:rsid w:val="00983437"/>
    <w:rsid w:val="00984631"/>
    <w:rsid w:val="00984FE2"/>
    <w:rsid w:val="0098587F"/>
    <w:rsid w:val="00985C6F"/>
    <w:rsid w:val="0098710E"/>
    <w:rsid w:val="00990307"/>
    <w:rsid w:val="00990377"/>
    <w:rsid w:val="00990766"/>
    <w:rsid w:val="00990F3F"/>
    <w:rsid w:val="00991806"/>
    <w:rsid w:val="00993A1B"/>
    <w:rsid w:val="00993A26"/>
    <w:rsid w:val="00994C6F"/>
    <w:rsid w:val="009950A6"/>
    <w:rsid w:val="0099534B"/>
    <w:rsid w:val="0099553F"/>
    <w:rsid w:val="00995B6E"/>
    <w:rsid w:val="0099655C"/>
    <w:rsid w:val="00996695"/>
    <w:rsid w:val="00997F97"/>
    <w:rsid w:val="009A025B"/>
    <w:rsid w:val="009A087B"/>
    <w:rsid w:val="009A0F34"/>
    <w:rsid w:val="009A1332"/>
    <w:rsid w:val="009A2501"/>
    <w:rsid w:val="009A27F3"/>
    <w:rsid w:val="009A2B26"/>
    <w:rsid w:val="009A3E6F"/>
    <w:rsid w:val="009A50C6"/>
    <w:rsid w:val="009A611E"/>
    <w:rsid w:val="009A64FD"/>
    <w:rsid w:val="009A6C6E"/>
    <w:rsid w:val="009B243C"/>
    <w:rsid w:val="009B2621"/>
    <w:rsid w:val="009B2B19"/>
    <w:rsid w:val="009B2DF9"/>
    <w:rsid w:val="009B35FD"/>
    <w:rsid w:val="009B3D88"/>
    <w:rsid w:val="009B3DD0"/>
    <w:rsid w:val="009B4E30"/>
    <w:rsid w:val="009B4FEF"/>
    <w:rsid w:val="009B5036"/>
    <w:rsid w:val="009B544B"/>
    <w:rsid w:val="009B5BAA"/>
    <w:rsid w:val="009B5F3F"/>
    <w:rsid w:val="009B5FE7"/>
    <w:rsid w:val="009B60BA"/>
    <w:rsid w:val="009B64DD"/>
    <w:rsid w:val="009B7100"/>
    <w:rsid w:val="009B762B"/>
    <w:rsid w:val="009B77D2"/>
    <w:rsid w:val="009C000E"/>
    <w:rsid w:val="009C11C9"/>
    <w:rsid w:val="009C1558"/>
    <w:rsid w:val="009C230E"/>
    <w:rsid w:val="009C2DBC"/>
    <w:rsid w:val="009C3ABD"/>
    <w:rsid w:val="009C3F74"/>
    <w:rsid w:val="009C40A3"/>
    <w:rsid w:val="009C4F57"/>
    <w:rsid w:val="009D0B97"/>
    <w:rsid w:val="009D1C9C"/>
    <w:rsid w:val="009D1FDD"/>
    <w:rsid w:val="009D2701"/>
    <w:rsid w:val="009D2E69"/>
    <w:rsid w:val="009D31FD"/>
    <w:rsid w:val="009D3459"/>
    <w:rsid w:val="009D417A"/>
    <w:rsid w:val="009D432B"/>
    <w:rsid w:val="009D4510"/>
    <w:rsid w:val="009D4D56"/>
    <w:rsid w:val="009D5965"/>
    <w:rsid w:val="009D63BA"/>
    <w:rsid w:val="009D6692"/>
    <w:rsid w:val="009D77F5"/>
    <w:rsid w:val="009D7E2A"/>
    <w:rsid w:val="009E049A"/>
    <w:rsid w:val="009E0EBC"/>
    <w:rsid w:val="009E1197"/>
    <w:rsid w:val="009E14AD"/>
    <w:rsid w:val="009E3DFC"/>
    <w:rsid w:val="009E5232"/>
    <w:rsid w:val="009E5530"/>
    <w:rsid w:val="009E5931"/>
    <w:rsid w:val="009E625A"/>
    <w:rsid w:val="009E668E"/>
    <w:rsid w:val="009E71A6"/>
    <w:rsid w:val="009E73A3"/>
    <w:rsid w:val="009F0584"/>
    <w:rsid w:val="009F09E6"/>
    <w:rsid w:val="009F15E2"/>
    <w:rsid w:val="009F1EA0"/>
    <w:rsid w:val="009F2BA6"/>
    <w:rsid w:val="009F3109"/>
    <w:rsid w:val="009F34A4"/>
    <w:rsid w:val="009F3EA6"/>
    <w:rsid w:val="009F6419"/>
    <w:rsid w:val="009F737D"/>
    <w:rsid w:val="009F7448"/>
    <w:rsid w:val="009F797F"/>
    <w:rsid w:val="009F79AB"/>
    <w:rsid w:val="009F7AAB"/>
    <w:rsid w:val="00A003DE"/>
    <w:rsid w:val="00A00432"/>
    <w:rsid w:val="00A0044F"/>
    <w:rsid w:val="00A014FA"/>
    <w:rsid w:val="00A01F52"/>
    <w:rsid w:val="00A031AC"/>
    <w:rsid w:val="00A03A5C"/>
    <w:rsid w:val="00A05A58"/>
    <w:rsid w:val="00A05AAC"/>
    <w:rsid w:val="00A0632F"/>
    <w:rsid w:val="00A07F22"/>
    <w:rsid w:val="00A10F89"/>
    <w:rsid w:val="00A10FDD"/>
    <w:rsid w:val="00A11024"/>
    <w:rsid w:val="00A119FA"/>
    <w:rsid w:val="00A12B75"/>
    <w:rsid w:val="00A13818"/>
    <w:rsid w:val="00A141F7"/>
    <w:rsid w:val="00A14215"/>
    <w:rsid w:val="00A14CCB"/>
    <w:rsid w:val="00A17097"/>
    <w:rsid w:val="00A179F5"/>
    <w:rsid w:val="00A21434"/>
    <w:rsid w:val="00A21446"/>
    <w:rsid w:val="00A223E4"/>
    <w:rsid w:val="00A23D5A"/>
    <w:rsid w:val="00A24689"/>
    <w:rsid w:val="00A26720"/>
    <w:rsid w:val="00A2688F"/>
    <w:rsid w:val="00A2779A"/>
    <w:rsid w:val="00A27BD7"/>
    <w:rsid w:val="00A304B9"/>
    <w:rsid w:val="00A30B28"/>
    <w:rsid w:val="00A31603"/>
    <w:rsid w:val="00A3256D"/>
    <w:rsid w:val="00A33D1D"/>
    <w:rsid w:val="00A35A88"/>
    <w:rsid w:val="00A35BBC"/>
    <w:rsid w:val="00A3600A"/>
    <w:rsid w:val="00A36F65"/>
    <w:rsid w:val="00A37AB8"/>
    <w:rsid w:val="00A40043"/>
    <w:rsid w:val="00A4046A"/>
    <w:rsid w:val="00A41A5E"/>
    <w:rsid w:val="00A423C1"/>
    <w:rsid w:val="00A4295A"/>
    <w:rsid w:val="00A42DFC"/>
    <w:rsid w:val="00A43BA4"/>
    <w:rsid w:val="00A4560B"/>
    <w:rsid w:val="00A4601F"/>
    <w:rsid w:val="00A471AD"/>
    <w:rsid w:val="00A50889"/>
    <w:rsid w:val="00A50BA6"/>
    <w:rsid w:val="00A514EB"/>
    <w:rsid w:val="00A51D31"/>
    <w:rsid w:val="00A530D6"/>
    <w:rsid w:val="00A536F9"/>
    <w:rsid w:val="00A53D4E"/>
    <w:rsid w:val="00A54411"/>
    <w:rsid w:val="00A547BF"/>
    <w:rsid w:val="00A5664D"/>
    <w:rsid w:val="00A566AB"/>
    <w:rsid w:val="00A5754D"/>
    <w:rsid w:val="00A6178A"/>
    <w:rsid w:val="00A6200E"/>
    <w:rsid w:val="00A621B1"/>
    <w:rsid w:val="00A6360C"/>
    <w:rsid w:val="00A641E2"/>
    <w:rsid w:val="00A64605"/>
    <w:rsid w:val="00A6577C"/>
    <w:rsid w:val="00A65A06"/>
    <w:rsid w:val="00A65A9D"/>
    <w:rsid w:val="00A676FD"/>
    <w:rsid w:val="00A677B4"/>
    <w:rsid w:val="00A67C18"/>
    <w:rsid w:val="00A700D3"/>
    <w:rsid w:val="00A7016C"/>
    <w:rsid w:val="00A70EC4"/>
    <w:rsid w:val="00A7146C"/>
    <w:rsid w:val="00A7148B"/>
    <w:rsid w:val="00A718D3"/>
    <w:rsid w:val="00A71C23"/>
    <w:rsid w:val="00A71EC2"/>
    <w:rsid w:val="00A723CD"/>
    <w:rsid w:val="00A72E23"/>
    <w:rsid w:val="00A72EE6"/>
    <w:rsid w:val="00A7399C"/>
    <w:rsid w:val="00A74C1E"/>
    <w:rsid w:val="00A75C5B"/>
    <w:rsid w:val="00A76D91"/>
    <w:rsid w:val="00A772AC"/>
    <w:rsid w:val="00A7772A"/>
    <w:rsid w:val="00A77AB6"/>
    <w:rsid w:val="00A80E7E"/>
    <w:rsid w:val="00A81944"/>
    <w:rsid w:val="00A81ACB"/>
    <w:rsid w:val="00A82554"/>
    <w:rsid w:val="00A82661"/>
    <w:rsid w:val="00A82B00"/>
    <w:rsid w:val="00A82E7E"/>
    <w:rsid w:val="00A8345F"/>
    <w:rsid w:val="00A83846"/>
    <w:rsid w:val="00A8387D"/>
    <w:rsid w:val="00A83B7D"/>
    <w:rsid w:val="00A84E29"/>
    <w:rsid w:val="00A84FE5"/>
    <w:rsid w:val="00A8520B"/>
    <w:rsid w:val="00A85E14"/>
    <w:rsid w:val="00A87106"/>
    <w:rsid w:val="00A900FA"/>
    <w:rsid w:val="00A9012A"/>
    <w:rsid w:val="00A9078F"/>
    <w:rsid w:val="00A90932"/>
    <w:rsid w:val="00A90C83"/>
    <w:rsid w:val="00A91311"/>
    <w:rsid w:val="00A91577"/>
    <w:rsid w:val="00A917AB"/>
    <w:rsid w:val="00A91E7A"/>
    <w:rsid w:val="00A92473"/>
    <w:rsid w:val="00A926CA"/>
    <w:rsid w:val="00A92770"/>
    <w:rsid w:val="00A92EFD"/>
    <w:rsid w:val="00A92FE7"/>
    <w:rsid w:val="00A93A17"/>
    <w:rsid w:val="00A94070"/>
    <w:rsid w:val="00A95621"/>
    <w:rsid w:val="00A95DD5"/>
    <w:rsid w:val="00A96609"/>
    <w:rsid w:val="00A967FB"/>
    <w:rsid w:val="00A9691E"/>
    <w:rsid w:val="00A97D80"/>
    <w:rsid w:val="00A97E3F"/>
    <w:rsid w:val="00AA13E0"/>
    <w:rsid w:val="00AA1BB4"/>
    <w:rsid w:val="00AA3457"/>
    <w:rsid w:val="00AA3623"/>
    <w:rsid w:val="00AA3AC5"/>
    <w:rsid w:val="00AA53CE"/>
    <w:rsid w:val="00AA5587"/>
    <w:rsid w:val="00AA56CB"/>
    <w:rsid w:val="00AA5DAA"/>
    <w:rsid w:val="00AA7CFD"/>
    <w:rsid w:val="00AB25BA"/>
    <w:rsid w:val="00AB2639"/>
    <w:rsid w:val="00AB3312"/>
    <w:rsid w:val="00AB3763"/>
    <w:rsid w:val="00AB3B88"/>
    <w:rsid w:val="00AB4477"/>
    <w:rsid w:val="00AB454E"/>
    <w:rsid w:val="00AB4864"/>
    <w:rsid w:val="00AB4F08"/>
    <w:rsid w:val="00AC0782"/>
    <w:rsid w:val="00AC0B92"/>
    <w:rsid w:val="00AC11CA"/>
    <w:rsid w:val="00AC1208"/>
    <w:rsid w:val="00AC151A"/>
    <w:rsid w:val="00AC22F5"/>
    <w:rsid w:val="00AC2E2F"/>
    <w:rsid w:val="00AC7E2E"/>
    <w:rsid w:val="00AC7F0A"/>
    <w:rsid w:val="00AD0D70"/>
    <w:rsid w:val="00AD10AB"/>
    <w:rsid w:val="00AD10E5"/>
    <w:rsid w:val="00AD506B"/>
    <w:rsid w:val="00AD5729"/>
    <w:rsid w:val="00AD5E8D"/>
    <w:rsid w:val="00AD69BC"/>
    <w:rsid w:val="00AE032C"/>
    <w:rsid w:val="00AE31D9"/>
    <w:rsid w:val="00AE384B"/>
    <w:rsid w:val="00AE5FB5"/>
    <w:rsid w:val="00AE60D5"/>
    <w:rsid w:val="00AE63E4"/>
    <w:rsid w:val="00AE7521"/>
    <w:rsid w:val="00AE783C"/>
    <w:rsid w:val="00AE7E6E"/>
    <w:rsid w:val="00AF44A4"/>
    <w:rsid w:val="00AF5452"/>
    <w:rsid w:val="00AF5C26"/>
    <w:rsid w:val="00AF6B48"/>
    <w:rsid w:val="00AF7152"/>
    <w:rsid w:val="00B00E6A"/>
    <w:rsid w:val="00B015C0"/>
    <w:rsid w:val="00B0278F"/>
    <w:rsid w:val="00B02A1D"/>
    <w:rsid w:val="00B033D3"/>
    <w:rsid w:val="00B03685"/>
    <w:rsid w:val="00B03770"/>
    <w:rsid w:val="00B06214"/>
    <w:rsid w:val="00B069BD"/>
    <w:rsid w:val="00B07C7F"/>
    <w:rsid w:val="00B07FA4"/>
    <w:rsid w:val="00B112C0"/>
    <w:rsid w:val="00B1136C"/>
    <w:rsid w:val="00B1194D"/>
    <w:rsid w:val="00B1293D"/>
    <w:rsid w:val="00B133D1"/>
    <w:rsid w:val="00B13F40"/>
    <w:rsid w:val="00B146EA"/>
    <w:rsid w:val="00B15242"/>
    <w:rsid w:val="00B1528E"/>
    <w:rsid w:val="00B1559A"/>
    <w:rsid w:val="00B16AE0"/>
    <w:rsid w:val="00B16EAF"/>
    <w:rsid w:val="00B17061"/>
    <w:rsid w:val="00B171C1"/>
    <w:rsid w:val="00B17519"/>
    <w:rsid w:val="00B179ED"/>
    <w:rsid w:val="00B17EB6"/>
    <w:rsid w:val="00B17FAD"/>
    <w:rsid w:val="00B204AE"/>
    <w:rsid w:val="00B20833"/>
    <w:rsid w:val="00B20D8E"/>
    <w:rsid w:val="00B23E05"/>
    <w:rsid w:val="00B24759"/>
    <w:rsid w:val="00B24A61"/>
    <w:rsid w:val="00B24BC2"/>
    <w:rsid w:val="00B252A3"/>
    <w:rsid w:val="00B25722"/>
    <w:rsid w:val="00B25BCA"/>
    <w:rsid w:val="00B26447"/>
    <w:rsid w:val="00B26FA7"/>
    <w:rsid w:val="00B3010D"/>
    <w:rsid w:val="00B30DB0"/>
    <w:rsid w:val="00B346E1"/>
    <w:rsid w:val="00B34A00"/>
    <w:rsid w:val="00B34B6C"/>
    <w:rsid w:val="00B350E3"/>
    <w:rsid w:val="00B36010"/>
    <w:rsid w:val="00B365F9"/>
    <w:rsid w:val="00B42174"/>
    <w:rsid w:val="00B43F56"/>
    <w:rsid w:val="00B44079"/>
    <w:rsid w:val="00B44638"/>
    <w:rsid w:val="00B45366"/>
    <w:rsid w:val="00B45544"/>
    <w:rsid w:val="00B46868"/>
    <w:rsid w:val="00B46E1D"/>
    <w:rsid w:val="00B47BDE"/>
    <w:rsid w:val="00B501E8"/>
    <w:rsid w:val="00B51600"/>
    <w:rsid w:val="00B52A36"/>
    <w:rsid w:val="00B52AA4"/>
    <w:rsid w:val="00B53932"/>
    <w:rsid w:val="00B539DC"/>
    <w:rsid w:val="00B5475A"/>
    <w:rsid w:val="00B552C2"/>
    <w:rsid w:val="00B556AC"/>
    <w:rsid w:val="00B5665C"/>
    <w:rsid w:val="00B573BB"/>
    <w:rsid w:val="00B60623"/>
    <w:rsid w:val="00B60E89"/>
    <w:rsid w:val="00B60FF7"/>
    <w:rsid w:val="00B61814"/>
    <w:rsid w:val="00B61EB5"/>
    <w:rsid w:val="00B620CA"/>
    <w:rsid w:val="00B624B8"/>
    <w:rsid w:val="00B62E35"/>
    <w:rsid w:val="00B63882"/>
    <w:rsid w:val="00B63A6B"/>
    <w:rsid w:val="00B648F9"/>
    <w:rsid w:val="00B64C7B"/>
    <w:rsid w:val="00B65238"/>
    <w:rsid w:val="00B65D88"/>
    <w:rsid w:val="00B6794E"/>
    <w:rsid w:val="00B700C8"/>
    <w:rsid w:val="00B71A58"/>
    <w:rsid w:val="00B71D28"/>
    <w:rsid w:val="00B72508"/>
    <w:rsid w:val="00B72DDE"/>
    <w:rsid w:val="00B72E55"/>
    <w:rsid w:val="00B73AA7"/>
    <w:rsid w:val="00B76303"/>
    <w:rsid w:val="00B76777"/>
    <w:rsid w:val="00B772CF"/>
    <w:rsid w:val="00B80614"/>
    <w:rsid w:val="00B823BA"/>
    <w:rsid w:val="00B82CE4"/>
    <w:rsid w:val="00B838FD"/>
    <w:rsid w:val="00B84539"/>
    <w:rsid w:val="00B84D0D"/>
    <w:rsid w:val="00B8537D"/>
    <w:rsid w:val="00B86CAE"/>
    <w:rsid w:val="00B875BB"/>
    <w:rsid w:val="00B90258"/>
    <w:rsid w:val="00B90E3B"/>
    <w:rsid w:val="00B90F94"/>
    <w:rsid w:val="00B910B3"/>
    <w:rsid w:val="00B912B2"/>
    <w:rsid w:val="00B9250B"/>
    <w:rsid w:val="00B92FDF"/>
    <w:rsid w:val="00B94900"/>
    <w:rsid w:val="00B94932"/>
    <w:rsid w:val="00B9547A"/>
    <w:rsid w:val="00B955C3"/>
    <w:rsid w:val="00B95C86"/>
    <w:rsid w:val="00B95E8A"/>
    <w:rsid w:val="00B9752E"/>
    <w:rsid w:val="00B97BC3"/>
    <w:rsid w:val="00BA042E"/>
    <w:rsid w:val="00BA0BA4"/>
    <w:rsid w:val="00BA17D6"/>
    <w:rsid w:val="00BA2CB0"/>
    <w:rsid w:val="00BA3B2C"/>
    <w:rsid w:val="00BA45C0"/>
    <w:rsid w:val="00BA52F5"/>
    <w:rsid w:val="00BA68BB"/>
    <w:rsid w:val="00BA6CA1"/>
    <w:rsid w:val="00BA7AC8"/>
    <w:rsid w:val="00BB09AB"/>
    <w:rsid w:val="00BB0B39"/>
    <w:rsid w:val="00BB0D8F"/>
    <w:rsid w:val="00BB1122"/>
    <w:rsid w:val="00BB27AC"/>
    <w:rsid w:val="00BB3050"/>
    <w:rsid w:val="00BB409C"/>
    <w:rsid w:val="00BB46F6"/>
    <w:rsid w:val="00BB4BE1"/>
    <w:rsid w:val="00BB58FD"/>
    <w:rsid w:val="00BB6355"/>
    <w:rsid w:val="00BB676D"/>
    <w:rsid w:val="00BB6ADD"/>
    <w:rsid w:val="00BB70FC"/>
    <w:rsid w:val="00BB7BE6"/>
    <w:rsid w:val="00BC00DC"/>
    <w:rsid w:val="00BC0385"/>
    <w:rsid w:val="00BC19B6"/>
    <w:rsid w:val="00BC343C"/>
    <w:rsid w:val="00BC4935"/>
    <w:rsid w:val="00BC4CB4"/>
    <w:rsid w:val="00BC63C9"/>
    <w:rsid w:val="00BC6788"/>
    <w:rsid w:val="00BC68D5"/>
    <w:rsid w:val="00BC6C7A"/>
    <w:rsid w:val="00BD281D"/>
    <w:rsid w:val="00BD28DD"/>
    <w:rsid w:val="00BD2EFD"/>
    <w:rsid w:val="00BD3786"/>
    <w:rsid w:val="00BD5D24"/>
    <w:rsid w:val="00BD5DFF"/>
    <w:rsid w:val="00BD6450"/>
    <w:rsid w:val="00BD799D"/>
    <w:rsid w:val="00BE241B"/>
    <w:rsid w:val="00BE267F"/>
    <w:rsid w:val="00BE3208"/>
    <w:rsid w:val="00BE4598"/>
    <w:rsid w:val="00BE508D"/>
    <w:rsid w:val="00BE541D"/>
    <w:rsid w:val="00BE546E"/>
    <w:rsid w:val="00BE6597"/>
    <w:rsid w:val="00BE6629"/>
    <w:rsid w:val="00BE689C"/>
    <w:rsid w:val="00BE693F"/>
    <w:rsid w:val="00BE6D5B"/>
    <w:rsid w:val="00BE7061"/>
    <w:rsid w:val="00BE70FB"/>
    <w:rsid w:val="00BE726F"/>
    <w:rsid w:val="00BE7BDE"/>
    <w:rsid w:val="00BF03ED"/>
    <w:rsid w:val="00BF13AB"/>
    <w:rsid w:val="00BF149A"/>
    <w:rsid w:val="00BF1C66"/>
    <w:rsid w:val="00BF3B3B"/>
    <w:rsid w:val="00BF4D03"/>
    <w:rsid w:val="00BF5127"/>
    <w:rsid w:val="00BF5640"/>
    <w:rsid w:val="00BF5C62"/>
    <w:rsid w:val="00BF685A"/>
    <w:rsid w:val="00BF6997"/>
    <w:rsid w:val="00C01E75"/>
    <w:rsid w:val="00C01EDE"/>
    <w:rsid w:val="00C0205C"/>
    <w:rsid w:val="00C02590"/>
    <w:rsid w:val="00C03F55"/>
    <w:rsid w:val="00C045B1"/>
    <w:rsid w:val="00C04795"/>
    <w:rsid w:val="00C050B4"/>
    <w:rsid w:val="00C0576E"/>
    <w:rsid w:val="00C06F49"/>
    <w:rsid w:val="00C07393"/>
    <w:rsid w:val="00C07660"/>
    <w:rsid w:val="00C0774E"/>
    <w:rsid w:val="00C07F13"/>
    <w:rsid w:val="00C10621"/>
    <w:rsid w:val="00C10C79"/>
    <w:rsid w:val="00C1124B"/>
    <w:rsid w:val="00C11E62"/>
    <w:rsid w:val="00C12896"/>
    <w:rsid w:val="00C12EA1"/>
    <w:rsid w:val="00C12EC3"/>
    <w:rsid w:val="00C13A25"/>
    <w:rsid w:val="00C1432F"/>
    <w:rsid w:val="00C14619"/>
    <w:rsid w:val="00C14CFC"/>
    <w:rsid w:val="00C1512C"/>
    <w:rsid w:val="00C151F6"/>
    <w:rsid w:val="00C162A4"/>
    <w:rsid w:val="00C17087"/>
    <w:rsid w:val="00C173A2"/>
    <w:rsid w:val="00C1775C"/>
    <w:rsid w:val="00C17BD1"/>
    <w:rsid w:val="00C17E4C"/>
    <w:rsid w:val="00C20310"/>
    <w:rsid w:val="00C20B5B"/>
    <w:rsid w:val="00C20DB5"/>
    <w:rsid w:val="00C211C2"/>
    <w:rsid w:val="00C212D6"/>
    <w:rsid w:val="00C21C23"/>
    <w:rsid w:val="00C22691"/>
    <w:rsid w:val="00C24045"/>
    <w:rsid w:val="00C2409E"/>
    <w:rsid w:val="00C24615"/>
    <w:rsid w:val="00C24647"/>
    <w:rsid w:val="00C246CF"/>
    <w:rsid w:val="00C259C0"/>
    <w:rsid w:val="00C264D7"/>
    <w:rsid w:val="00C30843"/>
    <w:rsid w:val="00C30923"/>
    <w:rsid w:val="00C3099A"/>
    <w:rsid w:val="00C31710"/>
    <w:rsid w:val="00C31FEF"/>
    <w:rsid w:val="00C32486"/>
    <w:rsid w:val="00C32776"/>
    <w:rsid w:val="00C333FA"/>
    <w:rsid w:val="00C33B21"/>
    <w:rsid w:val="00C3400A"/>
    <w:rsid w:val="00C3432B"/>
    <w:rsid w:val="00C363C9"/>
    <w:rsid w:val="00C36EBC"/>
    <w:rsid w:val="00C4137B"/>
    <w:rsid w:val="00C41E35"/>
    <w:rsid w:val="00C42F53"/>
    <w:rsid w:val="00C43174"/>
    <w:rsid w:val="00C44489"/>
    <w:rsid w:val="00C45B3C"/>
    <w:rsid w:val="00C45C01"/>
    <w:rsid w:val="00C461C0"/>
    <w:rsid w:val="00C46DD4"/>
    <w:rsid w:val="00C46FDA"/>
    <w:rsid w:val="00C501C4"/>
    <w:rsid w:val="00C5030C"/>
    <w:rsid w:val="00C50B30"/>
    <w:rsid w:val="00C51953"/>
    <w:rsid w:val="00C530B0"/>
    <w:rsid w:val="00C53506"/>
    <w:rsid w:val="00C53F85"/>
    <w:rsid w:val="00C54052"/>
    <w:rsid w:val="00C5414C"/>
    <w:rsid w:val="00C54818"/>
    <w:rsid w:val="00C553A0"/>
    <w:rsid w:val="00C56044"/>
    <w:rsid w:val="00C5644A"/>
    <w:rsid w:val="00C56509"/>
    <w:rsid w:val="00C56735"/>
    <w:rsid w:val="00C56971"/>
    <w:rsid w:val="00C56E63"/>
    <w:rsid w:val="00C607C0"/>
    <w:rsid w:val="00C611EA"/>
    <w:rsid w:val="00C61672"/>
    <w:rsid w:val="00C61FD6"/>
    <w:rsid w:val="00C62D2B"/>
    <w:rsid w:val="00C63AAB"/>
    <w:rsid w:val="00C63E4A"/>
    <w:rsid w:val="00C643F3"/>
    <w:rsid w:val="00C6453C"/>
    <w:rsid w:val="00C64B65"/>
    <w:rsid w:val="00C65240"/>
    <w:rsid w:val="00C6556E"/>
    <w:rsid w:val="00C65FDE"/>
    <w:rsid w:val="00C67D38"/>
    <w:rsid w:val="00C70E41"/>
    <w:rsid w:val="00C7163D"/>
    <w:rsid w:val="00C72592"/>
    <w:rsid w:val="00C72AF6"/>
    <w:rsid w:val="00C7433B"/>
    <w:rsid w:val="00C74870"/>
    <w:rsid w:val="00C75B96"/>
    <w:rsid w:val="00C76A57"/>
    <w:rsid w:val="00C77911"/>
    <w:rsid w:val="00C82A2D"/>
    <w:rsid w:val="00C82C31"/>
    <w:rsid w:val="00C839F9"/>
    <w:rsid w:val="00C841F4"/>
    <w:rsid w:val="00C85735"/>
    <w:rsid w:val="00C857B9"/>
    <w:rsid w:val="00C85BAE"/>
    <w:rsid w:val="00C8744A"/>
    <w:rsid w:val="00C87A09"/>
    <w:rsid w:val="00C906E6"/>
    <w:rsid w:val="00C90C7D"/>
    <w:rsid w:val="00C90DAF"/>
    <w:rsid w:val="00C915C6"/>
    <w:rsid w:val="00C924CA"/>
    <w:rsid w:val="00C94840"/>
    <w:rsid w:val="00C94A6F"/>
    <w:rsid w:val="00C94AA0"/>
    <w:rsid w:val="00C94D7A"/>
    <w:rsid w:val="00C950F0"/>
    <w:rsid w:val="00C96240"/>
    <w:rsid w:val="00CA0AEE"/>
    <w:rsid w:val="00CA0D1F"/>
    <w:rsid w:val="00CA29BD"/>
    <w:rsid w:val="00CA2C69"/>
    <w:rsid w:val="00CA370B"/>
    <w:rsid w:val="00CA3E73"/>
    <w:rsid w:val="00CA3F5D"/>
    <w:rsid w:val="00CA5CB7"/>
    <w:rsid w:val="00CA7C04"/>
    <w:rsid w:val="00CA7C49"/>
    <w:rsid w:val="00CB03CD"/>
    <w:rsid w:val="00CB0A92"/>
    <w:rsid w:val="00CB14AE"/>
    <w:rsid w:val="00CB1E2D"/>
    <w:rsid w:val="00CB208F"/>
    <w:rsid w:val="00CB2160"/>
    <w:rsid w:val="00CB2503"/>
    <w:rsid w:val="00CB34B4"/>
    <w:rsid w:val="00CB487C"/>
    <w:rsid w:val="00CB6380"/>
    <w:rsid w:val="00CB6965"/>
    <w:rsid w:val="00CB697D"/>
    <w:rsid w:val="00CB6C77"/>
    <w:rsid w:val="00CB6F3F"/>
    <w:rsid w:val="00CB749C"/>
    <w:rsid w:val="00CB79BD"/>
    <w:rsid w:val="00CB7E5F"/>
    <w:rsid w:val="00CC0111"/>
    <w:rsid w:val="00CC04E3"/>
    <w:rsid w:val="00CC1F64"/>
    <w:rsid w:val="00CC2423"/>
    <w:rsid w:val="00CC34DD"/>
    <w:rsid w:val="00CC41E8"/>
    <w:rsid w:val="00CC4465"/>
    <w:rsid w:val="00CC4871"/>
    <w:rsid w:val="00CC5F47"/>
    <w:rsid w:val="00CC60D0"/>
    <w:rsid w:val="00CC6158"/>
    <w:rsid w:val="00CC6220"/>
    <w:rsid w:val="00CC667E"/>
    <w:rsid w:val="00CC69F0"/>
    <w:rsid w:val="00CC705D"/>
    <w:rsid w:val="00CC747F"/>
    <w:rsid w:val="00CD0086"/>
    <w:rsid w:val="00CD0C76"/>
    <w:rsid w:val="00CD1648"/>
    <w:rsid w:val="00CD21A1"/>
    <w:rsid w:val="00CD31CC"/>
    <w:rsid w:val="00CD3697"/>
    <w:rsid w:val="00CD380D"/>
    <w:rsid w:val="00CD3F49"/>
    <w:rsid w:val="00CD47B5"/>
    <w:rsid w:val="00CD48DC"/>
    <w:rsid w:val="00CD5BE2"/>
    <w:rsid w:val="00CE0E4D"/>
    <w:rsid w:val="00CE10CC"/>
    <w:rsid w:val="00CE18BF"/>
    <w:rsid w:val="00CE20A3"/>
    <w:rsid w:val="00CE23D0"/>
    <w:rsid w:val="00CE2DE7"/>
    <w:rsid w:val="00CE319C"/>
    <w:rsid w:val="00CE3EEB"/>
    <w:rsid w:val="00CE404E"/>
    <w:rsid w:val="00CE46DA"/>
    <w:rsid w:val="00CE5053"/>
    <w:rsid w:val="00CE5607"/>
    <w:rsid w:val="00CE6575"/>
    <w:rsid w:val="00CE66B0"/>
    <w:rsid w:val="00CE70F8"/>
    <w:rsid w:val="00CE7CF5"/>
    <w:rsid w:val="00CE7EC8"/>
    <w:rsid w:val="00CF1067"/>
    <w:rsid w:val="00CF10B1"/>
    <w:rsid w:val="00CF244E"/>
    <w:rsid w:val="00CF2571"/>
    <w:rsid w:val="00CF292F"/>
    <w:rsid w:val="00CF2A15"/>
    <w:rsid w:val="00CF2E60"/>
    <w:rsid w:val="00CF40C8"/>
    <w:rsid w:val="00CF45DD"/>
    <w:rsid w:val="00CF507F"/>
    <w:rsid w:val="00CF54F0"/>
    <w:rsid w:val="00CF5795"/>
    <w:rsid w:val="00CF6DE3"/>
    <w:rsid w:val="00CF7395"/>
    <w:rsid w:val="00CF777B"/>
    <w:rsid w:val="00CF7ED5"/>
    <w:rsid w:val="00D00194"/>
    <w:rsid w:val="00D00253"/>
    <w:rsid w:val="00D005B6"/>
    <w:rsid w:val="00D01195"/>
    <w:rsid w:val="00D01D21"/>
    <w:rsid w:val="00D0219A"/>
    <w:rsid w:val="00D027D2"/>
    <w:rsid w:val="00D046E7"/>
    <w:rsid w:val="00D0561B"/>
    <w:rsid w:val="00D0681B"/>
    <w:rsid w:val="00D0730A"/>
    <w:rsid w:val="00D1070F"/>
    <w:rsid w:val="00D10A3F"/>
    <w:rsid w:val="00D10F04"/>
    <w:rsid w:val="00D12555"/>
    <w:rsid w:val="00D13CFA"/>
    <w:rsid w:val="00D14C48"/>
    <w:rsid w:val="00D1584B"/>
    <w:rsid w:val="00D15886"/>
    <w:rsid w:val="00D167EF"/>
    <w:rsid w:val="00D16F08"/>
    <w:rsid w:val="00D20D6F"/>
    <w:rsid w:val="00D20E30"/>
    <w:rsid w:val="00D21143"/>
    <w:rsid w:val="00D242B6"/>
    <w:rsid w:val="00D24381"/>
    <w:rsid w:val="00D24421"/>
    <w:rsid w:val="00D27546"/>
    <w:rsid w:val="00D27670"/>
    <w:rsid w:val="00D277FE"/>
    <w:rsid w:val="00D31742"/>
    <w:rsid w:val="00D323F3"/>
    <w:rsid w:val="00D32B4A"/>
    <w:rsid w:val="00D336A7"/>
    <w:rsid w:val="00D35105"/>
    <w:rsid w:val="00D35D9C"/>
    <w:rsid w:val="00D362BB"/>
    <w:rsid w:val="00D3656D"/>
    <w:rsid w:val="00D37DF8"/>
    <w:rsid w:val="00D404E4"/>
    <w:rsid w:val="00D40571"/>
    <w:rsid w:val="00D40670"/>
    <w:rsid w:val="00D40755"/>
    <w:rsid w:val="00D413C4"/>
    <w:rsid w:val="00D434BA"/>
    <w:rsid w:val="00D435AD"/>
    <w:rsid w:val="00D43771"/>
    <w:rsid w:val="00D44CF5"/>
    <w:rsid w:val="00D452A3"/>
    <w:rsid w:val="00D4684B"/>
    <w:rsid w:val="00D469BF"/>
    <w:rsid w:val="00D471C7"/>
    <w:rsid w:val="00D47ADC"/>
    <w:rsid w:val="00D47B45"/>
    <w:rsid w:val="00D501A2"/>
    <w:rsid w:val="00D516BD"/>
    <w:rsid w:val="00D522B2"/>
    <w:rsid w:val="00D522FC"/>
    <w:rsid w:val="00D52762"/>
    <w:rsid w:val="00D53E4F"/>
    <w:rsid w:val="00D54299"/>
    <w:rsid w:val="00D54F19"/>
    <w:rsid w:val="00D55D48"/>
    <w:rsid w:val="00D56921"/>
    <w:rsid w:val="00D573B0"/>
    <w:rsid w:val="00D57743"/>
    <w:rsid w:val="00D600F6"/>
    <w:rsid w:val="00D603BC"/>
    <w:rsid w:val="00D620D9"/>
    <w:rsid w:val="00D6210C"/>
    <w:rsid w:val="00D62421"/>
    <w:rsid w:val="00D62831"/>
    <w:rsid w:val="00D637F7"/>
    <w:rsid w:val="00D6385F"/>
    <w:rsid w:val="00D65CF3"/>
    <w:rsid w:val="00D67BE6"/>
    <w:rsid w:val="00D724C3"/>
    <w:rsid w:val="00D73969"/>
    <w:rsid w:val="00D73DED"/>
    <w:rsid w:val="00D73E53"/>
    <w:rsid w:val="00D74049"/>
    <w:rsid w:val="00D74781"/>
    <w:rsid w:val="00D75366"/>
    <w:rsid w:val="00D75C44"/>
    <w:rsid w:val="00D7634C"/>
    <w:rsid w:val="00D76A62"/>
    <w:rsid w:val="00D80116"/>
    <w:rsid w:val="00D8049C"/>
    <w:rsid w:val="00D80748"/>
    <w:rsid w:val="00D80BE7"/>
    <w:rsid w:val="00D81B93"/>
    <w:rsid w:val="00D82092"/>
    <w:rsid w:val="00D820E4"/>
    <w:rsid w:val="00D830B2"/>
    <w:rsid w:val="00D84A69"/>
    <w:rsid w:val="00D85342"/>
    <w:rsid w:val="00D854EB"/>
    <w:rsid w:val="00D8555E"/>
    <w:rsid w:val="00D871B7"/>
    <w:rsid w:val="00D878C2"/>
    <w:rsid w:val="00D912B4"/>
    <w:rsid w:val="00D92222"/>
    <w:rsid w:val="00D92D39"/>
    <w:rsid w:val="00D939E4"/>
    <w:rsid w:val="00D94C88"/>
    <w:rsid w:val="00D952F1"/>
    <w:rsid w:val="00D95354"/>
    <w:rsid w:val="00D95ECC"/>
    <w:rsid w:val="00D9764F"/>
    <w:rsid w:val="00D97DF0"/>
    <w:rsid w:val="00DA0C31"/>
    <w:rsid w:val="00DA0C97"/>
    <w:rsid w:val="00DA2D45"/>
    <w:rsid w:val="00DA3B4C"/>
    <w:rsid w:val="00DA41E6"/>
    <w:rsid w:val="00DA4DF5"/>
    <w:rsid w:val="00DA6502"/>
    <w:rsid w:val="00DA71CF"/>
    <w:rsid w:val="00DA78D9"/>
    <w:rsid w:val="00DB14D2"/>
    <w:rsid w:val="00DB1B3C"/>
    <w:rsid w:val="00DB292B"/>
    <w:rsid w:val="00DB3D88"/>
    <w:rsid w:val="00DB5D09"/>
    <w:rsid w:val="00DB5DA5"/>
    <w:rsid w:val="00DB67C3"/>
    <w:rsid w:val="00DB6835"/>
    <w:rsid w:val="00DB7145"/>
    <w:rsid w:val="00DB73B2"/>
    <w:rsid w:val="00DB7485"/>
    <w:rsid w:val="00DB7800"/>
    <w:rsid w:val="00DC0534"/>
    <w:rsid w:val="00DC0D18"/>
    <w:rsid w:val="00DC11E2"/>
    <w:rsid w:val="00DC1A43"/>
    <w:rsid w:val="00DC20B4"/>
    <w:rsid w:val="00DC23B7"/>
    <w:rsid w:val="00DC59FC"/>
    <w:rsid w:val="00DC6516"/>
    <w:rsid w:val="00DC769D"/>
    <w:rsid w:val="00DD0058"/>
    <w:rsid w:val="00DD0326"/>
    <w:rsid w:val="00DD11DF"/>
    <w:rsid w:val="00DD126C"/>
    <w:rsid w:val="00DD24B8"/>
    <w:rsid w:val="00DD2538"/>
    <w:rsid w:val="00DD271E"/>
    <w:rsid w:val="00DD30C6"/>
    <w:rsid w:val="00DD31FE"/>
    <w:rsid w:val="00DD585D"/>
    <w:rsid w:val="00DD79CF"/>
    <w:rsid w:val="00DE0715"/>
    <w:rsid w:val="00DE2533"/>
    <w:rsid w:val="00DE48F6"/>
    <w:rsid w:val="00DE5B88"/>
    <w:rsid w:val="00DE6112"/>
    <w:rsid w:val="00DE70A6"/>
    <w:rsid w:val="00DE71C8"/>
    <w:rsid w:val="00DE73FC"/>
    <w:rsid w:val="00DF016F"/>
    <w:rsid w:val="00DF2848"/>
    <w:rsid w:val="00DF36F4"/>
    <w:rsid w:val="00DF378A"/>
    <w:rsid w:val="00DF4E24"/>
    <w:rsid w:val="00DF5081"/>
    <w:rsid w:val="00DF5451"/>
    <w:rsid w:val="00DF5461"/>
    <w:rsid w:val="00DF5545"/>
    <w:rsid w:val="00DF55CD"/>
    <w:rsid w:val="00DF5AD5"/>
    <w:rsid w:val="00DF6148"/>
    <w:rsid w:val="00DF6284"/>
    <w:rsid w:val="00DF63F6"/>
    <w:rsid w:val="00DF65EB"/>
    <w:rsid w:val="00DF67EC"/>
    <w:rsid w:val="00DF6B7A"/>
    <w:rsid w:val="00DF71F8"/>
    <w:rsid w:val="00E01713"/>
    <w:rsid w:val="00E01B99"/>
    <w:rsid w:val="00E02476"/>
    <w:rsid w:val="00E036D2"/>
    <w:rsid w:val="00E0373F"/>
    <w:rsid w:val="00E03AF8"/>
    <w:rsid w:val="00E043B7"/>
    <w:rsid w:val="00E04DBC"/>
    <w:rsid w:val="00E04E3B"/>
    <w:rsid w:val="00E0590C"/>
    <w:rsid w:val="00E068F4"/>
    <w:rsid w:val="00E06A6F"/>
    <w:rsid w:val="00E06F51"/>
    <w:rsid w:val="00E076CA"/>
    <w:rsid w:val="00E07C4D"/>
    <w:rsid w:val="00E07E7A"/>
    <w:rsid w:val="00E07F6F"/>
    <w:rsid w:val="00E10B9A"/>
    <w:rsid w:val="00E10BFF"/>
    <w:rsid w:val="00E12640"/>
    <w:rsid w:val="00E12732"/>
    <w:rsid w:val="00E13FA4"/>
    <w:rsid w:val="00E157F2"/>
    <w:rsid w:val="00E16AFF"/>
    <w:rsid w:val="00E16F85"/>
    <w:rsid w:val="00E1711F"/>
    <w:rsid w:val="00E1780B"/>
    <w:rsid w:val="00E21213"/>
    <w:rsid w:val="00E2191C"/>
    <w:rsid w:val="00E21DCE"/>
    <w:rsid w:val="00E22181"/>
    <w:rsid w:val="00E24163"/>
    <w:rsid w:val="00E260C6"/>
    <w:rsid w:val="00E271DB"/>
    <w:rsid w:val="00E273DE"/>
    <w:rsid w:val="00E3053B"/>
    <w:rsid w:val="00E308B6"/>
    <w:rsid w:val="00E30B9C"/>
    <w:rsid w:val="00E30C38"/>
    <w:rsid w:val="00E30D4C"/>
    <w:rsid w:val="00E31618"/>
    <w:rsid w:val="00E31C02"/>
    <w:rsid w:val="00E32DCE"/>
    <w:rsid w:val="00E33A75"/>
    <w:rsid w:val="00E34582"/>
    <w:rsid w:val="00E35DE3"/>
    <w:rsid w:val="00E3683E"/>
    <w:rsid w:val="00E36C52"/>
    <w:rsid w:val="00E36E9C"/>
    <w:rsid w:val="00E37B09"/>
    <w:rsid w:val="00E40BB5"/>
    <w:rsid w:val="00E41706"/>
    <w:rsid w:val="00E42785"/>
    <w:rsid w:val="00E42D1F"/>
    <w:rsid w:val="00E43017"/>
    <w:rsid w:val="00E431E8"/>
    <w:rsid w:val="00E45C4C"/>
    <w:rsid w:val="00E462F1"/>
    <w:rsid w:val="00E47561"/>
    <w:rsid w:val="00E475F2"/>
    <w:rsid w:val="00E47B32"/>
    <w:rsid w:val="00E501C7"/>
    <w:rsid w:val="00E50576"/>
    <w:rsid w:val="00E505B7"/>
    <w:rsid w:val="00E51793"/>
    <w:rsid w:val="00E519CA"/>
    <w:rsid w:val="00E535D7"/>
    <w:rsid w:val="00E53A18"/>
    <w:rsid w:val="00E53C6D"/>
    <w:rsid w:val="00E5440F"/>
    <w:rsid w:val="00E5513C"/>
    <w:rsid w:val="00E5528D"/>
    <w:rsid w:val="00E5561E"/>
    <w:rsid w:val="00E55C7E"/>
    <w:rsid w:val="00E579B7"/>
    <w:rsid w:val="00E57CA5"/>
    <w:rsid w:val="00E6018C"/>
    <w:rsid w:val="00E60AFD"/>
    <w:rsid w:val="00E610A2"/>
    <w:rsid w:val="00E616BE"/>
    <w:rsid w:val="00E6188D"/>
    <w:rsid w:val="00E622B2"/>
    <w:rsid w:val="00E630F5"/>
    <w:rsid w:val="00E63429"/>
    <w:rsid w:val="00E6473C"/>
    <w:rsid w:val="00E65DF3"/>
    <w:rsid w:val="00E6612C"/>
    <w:rsid w:val="00E662FB"/>
    <w:rsid w:val="00E66554"/>
    <w:rsid w:val="00E66589"/>
    <w:rsid w:val="00E66ACE"/>
    <w:rsid w:val="00E66E1A"/>
    <w:rsid w:val="00E67119"/>
    <w:rsid w:val="00E67423"/>
    <w:rsid w:val="00E6745B"/>
    <w:rsid w:val="00E675F9"/>
    <w:rsid w:val="00E67DBB"/>
    <w:rsid w:val="00E67FCD"/>
    <w:rsid w:val="00E70566"/>
    <w:rsid w:val="00E70BCF"/>
    <w:rsid w:val="00E72635"/>
    <w:rsid w:val="00E7269C"/>
    <w:rsid w:val="00E7357B"/>
    <w:rsid w:val="00E735D4"/>
    <w:rsid w:val="00E73FF1"/>
    <w:rsid w:val="00E741A8"/>
    <w:rsid w:val="00E748AB"/>
    <w:rsid w:val="00E74AC1"/>
    <w:rsid w:val="00E756D3"/>
    <w:rsid w:val="00E75D97"/>
    <w:rsid w:val="00E75F43"/>
    <w:rsid w:val="00E7619B"/>
    <w:rsid w:val="00E774FA"/>
    <w:rsid w:val="00E778EE"/>
    <w:rsid w:val="00E80A14"/>
    <w:rsid w:val="00E81257"/>
    <w:rsid w:val="00E81292"/>
    <w:rsid w:val="00E8199A"/>
    <w:rsid w:val="00E82895"/>
    <w:rsid w:val="00E9169D"/>
    <w:rsid w:val="00E91858"/>
    <w:rsid w:val="00E92DB8"/>
    <w:rsid w:val="00E92FAF"/>
    <w:rsid w:val="00E932BC"/>
    <w:rsid w:val="00E937F5"/>
    <w:rsid w:val="00E9389A"/>
    <w:rsid w:val="00E95B1B"/>
    <w:rsid w:val="00E964F2"/>
    <w:rsid w:val="00E96530"/>
    <w:rsid w:val="00E96DB6"/>
    <w:rsid w:val="00E97232"/>
    <w:rsid w:val="00EA0523"/>
    <w:rsid w:val="00EA06E8"/>
    <w:rsid w:val="00EA15B4"/>
    <w:rsid w:val="00EA15DD"/>
    <w:rsid w:val="00EA18D7"/>
    <w:rsid w:val="00EA21C2"/>
    <w:rsid w:val="00EA274E"/>
    <w:rsid w:val="00EA3098"/>
    <w:rsid w:val="00EA3CC9"/>
    <w:rsid w:val="00EA407B"/>
    <w:rsid w:val="00EA4CEF"/>
    <w:rsid w:val="00EA5628"/>
    <w:rsid w:val="00EB0515"/>
    <w:rsid w:val="00EB0CB5"/>
    <w:rsid w:val="00EB190D"/>
    <w:rsid w:val="00EB1AC7"/>
    <w:rsid w:val="00EB2B6C"/>
    <w:rsid w:val="00EB2F80"/>
    <w:rsid w:val="00EB3091"/>
    <w:rsid w:val="00EB3194"/>
    <w:rsid w:val="00EB3E85"/>
    <w:rsid w:val="00EB4A76"/>
    <w:rsid w:val="00EB5993"/>
    <w:rsid w:val="00EB64D9"/>
    <w:rsid w:val="00EB672A"/>
    <w:rsid w:val="00EB7C6F"/>
    <w:rsid w:val="00EB7CBA"/>
    <w:rsid w:val="00EC001D"/>
    <w:rsid w:val="00EC081A"/>
    <w:rsid w:val="00EC1511"/>
    <w:rsid w:val="00EC170F"/>
    <w:rsid w:val="00EC1A97"/>
    <w:rsid w:val="00EC1E30"/>
    <w:rsid w:val="00EC2996"/>
    <w:rsid w:val="00EC72CD"/>
    <w:rsid w:val="00EC72E3"/>
    <w:rsid w:val="00EC7A41"/>
    <w:rsid w:val="00ED0FAA"/>
    <w:rsid w:val="00ED109D"/>
    <w:rsid w:val="00ED1F99"/>
    <w:rsid w:val="00ED24D7"/>
    <w:rsid w:val="00ED2528"/>
    <w:rsid w:val="00ED27BC"/>
    <w:rsid w:val="00ED2ABB"/>
    <w:rsid w:val="00ED3504"/>
    <w:rsid w:val="00ED35DE"/>
    <w:rsid w:val="00ED368F"/>
    <w:rsid w:val="00ED5484"/>
    <w:rsid w:val="00ED5A78"/>
    <w:rsid w:val="00ED60A9"/>
    <w:rsid w:val="00ED619B"/>
    <w:rsid w:val="00ED6865"/>
    <w:rsid w:val="00ED6C48"/>
    <w:rsid w:val="00ED747D"/>
    <w:rsid w:val="00EE17A8"/>
    <w:rsid w:val="00EE1997"/>
    <w:rsid w:val="00EE1D15"/>
    <w:rsid w:val="00EE1DB7"/>
    <w:rsid w:val="00EE460A"/>
    <w:rsid w:val="00EE5846"/>
    <w:rsid w:val="00EE5C86"/>
    <w:rsid w:val="00EE6180"/>
    <w:rsid w:val="00EE6686"/>
    <w:rsid w:val="00EE6FDE"/>
    <w:rsid w:val="00EF030A"/>
    <w:rsid w:val="00EF040F"/>
    <w:rsid w:val="00EF09DC"/>
    <w:rsid w:val="00EF0C8E"/>
    <w:rsid w:val="00EF159B"/>
    <w:rsid w:val="00EF1859"/>
    <w:rsid w:val="00EF399F"/>
    <w:rsid w:val="00EF3BD5"/>
    <w:rsid w:val="00EF58C4"/>
    <w:rsid w:val="00EF6677"/>
    <w:rsid w:val="00EF70EB"/>
    <w:rsid w:val="00F0025D"/>
    <w:rsid w:val="00F00C3A"/>
    <w:rsid w:val="00F012A8"/>
    <w:rsid w:val="00F01466"/>
    <w:rsid w:val="00F01A21"/>
    <w:rsid w:val="00F03CB3"/>
    <w:rsid w:val="00F04312"/>
    <w:rsid w:val="00F0581F"/>
    <w:rsid w:val="00F06383"/>
    <w:rsid w:val="00F06478"/>
    <w:rsid w:val="00F06C52"/>
    <w:rsid w:val="00F06DCF"/>
    <w:rsid w:val="00F0744E"/>
    <w:rsid w:val="00F07571"/>
    <w:rsid w:val="00F0768F"/>
    <w:rsid w:val="00F0775C"/>
    <w:rsid w:val="00F07788"/>
    <w:rsid w:val="00F07F5F"/>
    <w:rsid w:val="00F106FC"/>
    <w:rsid w:val="00F11335"/>
    <w:rsid w:val="00F12BF4"/>
    <w:rsid w:val="00F140FB"/>
    <w:rsid w:val="00F14A44"/>
    <w:rsid w:val="00F14FBB"/>
    <w:rsid w:val="00F1518E"/>
    <w:rsid w:val="00F15A0E"/>
    <w:rsid w:val="00F16031"/>
    <w:rsid w:val="00F162BD"/>
    <w:rsid w:val="00F17488"/>
    <w:rsid w:val="00F178DB"/>
    <w:rsid w:val="00F20DB9"/>
    <w:rsid w:val="00F21776"/>
    <w:rsid w:val="00F21903"/>
    <w:rsid w:val="00F22DB5"/>
    <w:rsid w:val="00F3036A"/>
    <w:rsid w:val="00F3080C"/>
    <w:rsid w:val="00F316E4"/>
    <w:rsid w:val="00F31D18"/>
    <w:rsid w:val="00F32739"/>
    <w:rsid w:val="00F328DA"/>
    <w:rsid w:val="00F32AB6"/>
    <w:rsid w:val="00F32BE4"/>
    <w:rsid w:val="00F33215"/>
    <w:rsid w:val="00F3359C"/>
    <w:rsid w:val="00F33D04"/>
    <w:rsid w:val="00F33F84"/>
    <w:rsid w:val="00F34B9C"/>
    <w:rsid w:val="00F3526A"/>
    <w:rsid w:val="00F35FE6"/>
    <w:rsid w:val="00F36149"/>
    <w:rsid w:val="00F37C24"/>
    <w:rsid w:val="00F40972"/>
    <w:rsid w:val="00F42CB5"/>
    <w:rsid w:val="00F42E69"/>
    <w:rsid w:val="00F42ED3"/>
    <w:rsid w:val="00F436F2"/>
    <w:rsid w:val="00F442C7"/>
    <w:rsid w:val="00F4470E"/>
    <w:rsid w:val="00F451DC"/>
    <w:rsid w:val="00F454E4"/>
    <w:rsid w:val="00F45875"/>
    <w:rsid w:val="00F46C2D"/>
    <w:rsid w:val="00F50AFC"/>
    <w:rsid w:val="00F513E1"/>
    <w:rsid w:val="00F515B1"/>
    <w:rsid w:val="00F5171F"/>
    <w:rsid w:val="00F5323C"/>
    <w:rsid w:val="00F53292"/>
    <w:rsid w:val="00F53D4A"/>
    <w:rsid w:val="00F54731"/>
    <w:rsid w:val="00F5532B"/>
    <w:rsid w:val="00F559BA"/>
    <w:rsid w:val="00F61621"/>
    <w:rsid w:val="00F618CC"/>
    <w:rsid w:val="00F61E38"/>
    <w:rsid w:val="00F62532"/>
    <w:rsid w:val="00F62F0C"/>
    <w:rsid w:val="00F633E9"/>
    <w:rsid w:val="00F63774"/>
    <w:rsid w:val="00F65BCE"/>
    <w:rsid w:val="00F65CAD"/>
    <w:rsid w:val="00F66855"/>
    <w:rsid w:val="00F668A1"/>
    <w:rsid w:val="00F66A05"/>
    <w:rsid w:val="00F67F2B"/>
    <w:rsid w:val="00F718C2"/>
    <w:rsid w:val="00F73C0A"/>
    <w:rsid w:val="00F74615"/>
    <w:rsid w:val="00F748EE"/>
    <w:rsid w:val="00F7700E"/>
    <w:rsid w:val="00F7794D"/>
    <w:rsid w:val="00F80D95"/>
    <w:rsid w:val="00F81D9A"/>
    <w:rsid w:val="00F82E97"/>
    <w:rsid w:val="00F83850"/>
    <w:rsid w:val="00F844F5"/>
    <w:rsid w:val="00F84D4E"/>
    <w:rsid w:val="00F85889"/>
    <w:rsid w:val="00F85F87"/>
    <w:rsid w:val="00F868B2"/>
    <w:rsid w:val="00F869CB"/>
    <w:rsid w:val="00F86D1A"/>
    <w:rsid w:val="00F8715D"/>
    <w:rsid w:val="00F876CE"/>
    <w:rsid w:val="00F879CE"/>
    <w:rsid w:val="00F90430"/>
    <w:rsid w:val="00F90B17"/>
    <w:rsid w:val="00F91969"/>
    <w:rsid w:val="00F91E1A"/>
    <w:rsid w:val="00F92F2E"/>
    <w:rsid w:val="00F932C4"/>
    <w:rsid w:val="00F937CA"/>
    <w:rsid w:val="00F944A7"/>
    <w:rsid w:val="00F94716"/>
    <w:rsid w:val="00F9514C"/>
    <w:rsid w:val="00F95836"/>
    <w:rsid w:val="00F95B70"/>
    <w:rsid w:val="00F973F3"/>
    <w:rsid w:val="00F97B7E"/>
    <w:rsid w:val="00FA1D1F"/>
    <w:rsid w:val="00FA1F3A"/>
    <w:rsid w:val="00FA235A"/>
    <w:rsid w:val="00FA2CE1"/>
    <w:rsid w:val="00FA3E73"/>
    <w:rsid w:val="00FA48F2"/>
    <w:rsid w:val="00FA4942"/>
    <w:rsid w:val="00FA5336"/>
    <w:rsid w:val="00FA5CEB"/>
    <w:rsid w:val="00FA66B1"/>
    <w:rsid w:val="00FA704D"/>
    <w:rsid w:val="00FB0BE3"/>
    <w:rsid w:val="00FB1110"/>
    <w:rsid w:val="00FB11BC"/>
    <w:rsid w:val="00FB1C37"/>
    <w:rsid w:val="00FB24DC"/>
    <w:rsid w:val="00FB2B75"/>
    <w:rsid w:val="00FB2D17"/>
    <w:rsid w:val="00FB48A3"/>
    <w:rsid w:val="00FB6402"/>
    <w:rsid w:val="00FB64F4"/>
    <w:rsid w:val="00FB6519"/>
    <w:rsid w:val="00FB6D49"/>
    <w:rsid w:val="00FB73AD"/>
    <w:rsid w:val="00FC064F"/>
    <w:rsid w:val="00FC0EC3"/>
    <w:rsid w:val="00FC1CD1"/>
    <w:rsid w:val="00FC2494"/>
    <w:rsid w:val="00FC24B4"/>
    <w:rsid w:val="00FC2CB4"/>
    <w:rsid w:val="00FC344E"/>
    <w:rsid w:val="00FC3C67"/>
    <w:rsid w:val="00FC3F90"/>
    <w:rsid w:val="00FD04F0"/>
    <w:rsid w:val="00FD0E9B"/>
    <w:rsid w:val="00FD24C7"/>
    <w:rsid w:val="00FD3402"/>
    <w:rsid w:val="00FD3657"/>
    <w:rsid w:val="00FE0974"/>
    <w:rsid w:val="00FE2A52"/>
    <w:rsid w:val="00FE3588"/>
    <w:rsid w:val="00FE3590"/>
    <w:rsid w:val="00FE3777"/>
    <w:rsid w:val="00FE3B1A"/>
    <w:rsid w:val="00FE3E12"/>
    <w:rsid w:val="00FE4260"/>
    <w:rsid w:val="00FE4384"/>
    <w:rsid w:val="00FE5146"/>
    <w:rsid w:val="00FE627D"/>
    <w:rsid w:val="00FE66AB"/>
    <w:rsid w:val="00FE6E77"/>
    <w:rsid w:val="00FE7A02"/>
    <w:rsid w:val="00FF12CE"/>
    <w:rsid w:val="00FF2F00"/>
    <w:rsid w:val="00FF45B8"/>
    <w:rsid w:val="00FF5455"/>
    <w:rsid w:val="00FF61A9"/>
    <w:rsid w:val="00FF68FE"/>
    <w:rsid w:val="00FF6E5D"/>
    <w:rsid w:val="00FF7EFB"/>
    <w:rsid w:val="016C2C80"/>
    <w:rsid w:val="01836082"/>
    <w:rsid w:val="022543E1"/>
    <w:rsid w:val="026352FF"/>
    <w:rsid w:val="029D1478"/>
    <w:rsid w:val="0422572C"/>
    <w:rsid w:val="048B3E34"/>
    <w:rsid w:val="04AF0F37"/>
    <w:rsid w:val="04E80917"/>
    <w:rsid w:val="050B20AC"/>
    <w:rsid w:val="05411A66"/>
    <w:rsid w:val="057B4A35"/>
    <w:rsid w:val="05A2371D"/>
    <w:rsid w:val="05A97C32"/>
    <w:rsid w:val="05E01F5E"/>
    <w:rsid w:val="060A6B11"/>
    <w:rsid w:val="06192E70"/>
    <w:rsid w:val="0666542D"/>
    <w:rsid w:val="066C0609"/>
    <w:rsid w:val="06F44FA6"/>
    <w:rsid w:val="06FB6627"/>
    <w:rsid w:val="073C1C37"/>
    <w:rsid w:val="07631CF3"/>
    <w:rsid w:val="07762B7A"/>
    <w:rsid w:val="07995400"/>
    <w:rsid w:val="083352BC"/>
    <w:rsid w:val="08821592"/>
    <w:rsid w:val="08FA0D1B"/>
    <w:rsid w:val="090E6972"/>
    <w:rsid w:val="09417318"/>
    <w:rsid w:val="096376A9"/>
    <w:rsid w:val="099E3711"/>
    <w:rsid w:val="09F32507"/>
    <w:rsid w:val="0A6B2B30"/>
    <w:rsid w:val="0ADD3919"/>
    <w:rsid w:val="0B996540"/>
    <w:rsid w:val="0C545BCE"/>
    <w:rsid w:val="0CB36DB8"/>
    <w:rsid w:val="0CC96335"/>
    <w:rsid w:val="0D2865BB"/>
    <w:rsid w:val="0D7B3EF6"/>
    <w:rsid w:val="0E2437B9"/>
    <w:rsid w:val="0E3E4334"/>
    <w:rsid w:val="0E414363"/>
    <w:rsid w:val="0E536938"/>
    <w:rsid w:val="0E7236D5"/>
    <w:rsid w:val="0E920295"/>
    <w:rsid w:val="0EB67BBA"/>
    <w:rsid w:val="0EBC4BEA"/>
    <w:rsid w:val="0F366B85"/>
    <w:rsid w:val="0F896577"/>
    <w:rsid w:val="0F902E66"/>
    <w:rsid w:val="0FB0473E"/>
    <w:rsid w:val="1043528A"/>
    <w:rsid w:val="10566922"/>
    <w:rsid w:val="10690A9D"/>
    <w:rsid w:val="107C2667"/>
    <w:rsid w:val="10B61F5A"/>
    <w:rsid w:val="10EC3BDB"/>
    <w:rsid w:val="113C081C"/>
    <w:rsid w:val="119F019B"/>
    <w:rsid w:val="11F92775"/>
    <w:rsid w:val="130E3A71"/>
    <w:rsid w:val="137E1470"/>
    <w:rsid w:val="138A382B"/>
    <w:rsid w:val="139502A6"/>
    <w:rsid w:val="140F001F"/>
    <w:rsid w:val="14517E1B"/>
    <w:rsid w:val="146E6986"/>
    <w:rsid w:val="14BF0A96"/>
    <w:rsid w:val="14D77426"/>
    <w:rsid w:val="14FF42CB"/>
    <w:rsid w:val="155E49B7"/>
    <w:rsid w:val="15766727"/>
    <w:rsid w:val="15E9247F"/>
    <w:rsid w:val="15F51B05"/>
    <w:rsid w:val="164D19BE"/>
    <w:rsid w:val="16661417"/>
    <w:rsid w:val="16BF4F47"/>
    <w:rsid w:val="173373BB"/>
    <w:rsid w:val="174D02EF"/>
    <w:rsid w:val="175C0D22"/>
    <w:rsid w:val="176F027A"/>
    <w:rsid w:val="17CC7320"/>
    <w:rsid w:val="18D04A6F"/>
    <w:rsid w:val="18E67BD0"/>
    <w:rsid w:val="18FE59C0"/>
    <w:rsid w:val="191B268A"/>
    <w:rsid w:val="196F1343"/>
    <w:rsid w:val="19EE5E7B"/>
    <w:rsid w:val="1A0341CF"/>
    <w:rsid w:val="1AAF37AA"/>
    <w:rsid w:val="1AC74F29"/>
    <w:rsid w:val="1B37238E"/>
    <w:rsid w:val="1B463D9C"/>
    <w:rsid w:val="1C1E572A"/>
    <w:rsid w:val="1C4000D8"/>
    <w:rsid w:val="1C4E64FA"/>
    <w:rsid w:val="1C501D3C"/>
    <w:rsid w:val="1C691570"/>
    <w:rsid w:val="1C843553"/>
    <w:rsid w:val="1CE71420"/>
    <w:rsid w:val="1CEA2872"/>
    <w:rsid w:val="1CEF7CDB"/>
    <w:rsid w:val="1D2D035C"/>
    <w:rsid w:val="1D6C4B36"/>
    <w:rsid w:val="1D833896"/>
    <w:rsid w:val="1DBA4AF6"/>
    <w:rsid w:val="1DCE0743"/>
    <w:rsid w:val="1DFC1EA5"/>
    <w:rsid w:val="1E0E056C"/>
    <w:rsid w:val="1E1E432E"/>
    <w:rsid w:val="1E24089C"/>
    <w:rsid w:val="1E2B7105"/>
    <w:rsid w:val="1E42178B"/>
    <w:rsid w:val="1E7A6A5C"/>
    <w:rsid w:val="1E841747"/>
    <w:rsid w:val="1EB97CF4"/>
    <w:rsid w:val="1EC21137"/>
    <w:rsid w:val="208122A6"/>
    <w:rsid w:val="20A369D0"/>
    <w:rsid w:val="20EB4C2B"/>
    <w:rsid w:val="215E07FA"/>
    <w:rsid w:val="219D60B9"/>
    <w:rsid w:val="21DE43A9"/>
    <w:rsid w:val="21E42F15"/>
    <w:rsid w:val="21FE759C"/>
    <w:rsid w:val="22581416"/>
    <w:rsid w:val="22842ECC"/>
    <w:rsid w:val="22AF6C16"/>
    <w:rsid w:val="231C1323"/>
    <w:rsid w:val="23577E20"/>
    <w:rsid w:val="23A155F4"/>
    <w:rsid w:val="23BA0C31"/>
    <w:rsid w:val="24057477"/>
    <w:rsid w:val="240C5A82"/>
    <w:rsid w:val="244E2074"/>
    <w:rsid w:val="24766AEA"/>
    <w:rsid w:val="2482379E"/>
    <w:rsid w:val="25135B61"/>
    <w:rsid w:val="25211B1E"/>
    <w:rsid w:val="256246EC"/>
    <w:rsid w:val="25815208"/>
    <w:rsid w:val="25A645C5"/>
    <w:rsid w:val="25BE5943"/>
    <w:rsid w:val="25FF5527"/>
    <w:rsid w:val="26576177"/>
    <w:rsid w:val="2662402D"/>
    <w:rsid w:val="26663667"/>
    <w:rsid w:val="266F3EA1"/>
    <w:rsid w:val="26D1395E"/>
    <w:rsid w:val="26EB7AB1"/>
    <w:rsid w:val="270E13FF"/>
    <w:rsid w:val="271972DE"/>
    <w:rsid w:val="271A22DF"/>
    <w:rsid w:val="2735148B"/>
    <w:rsid w:val="277F5379"/>
    <w:rsid w:val="27865231"/>
    <w:rsid w:val="27C776A5"/>
    <w:rsid w:val="27CE3E30"/>
    <w:rsid w:val="27F05BD9"/>
    <w:rsid w:val="282F1EFF"/>
    <w:rsid w:val="289475DA"/>
    <w:rsid w:val="295D5FD1"/>
    <w:rsid w:val="29713B4C"/>
    <w:rsid w:val="29F6169E"/>
    <w:rsid w:val="2A4B3773"/>
    <w:rsid w:val="2AD96B6D"/>
    <w:rsid w:val="2B231329"/>
    <w:rsid w:val="2B373B1E"/>
    <w:rsid w:val="2B3C17D4"/>
    <w:rsid w:val="2B57477C"/>
    <w:rsid w:val="2B6E2FA5"/>
    <w:rsid w:val="2BB3169F"/>
    <w:rsid w:val="2BBF7E78"/>
    <w:rsid w:val="2BD426CB"/>
    <w:rsid w:val="2BD9748C"/>
    <w:rsid w:val="2BF65788"/>
    <w:rsid w:val="2C3D704D"/>
    <w:rsid w:val="2C9E347E"/>
    <w:rsid w:val="2CBA3809"/>
    <w:rsid w:val="2D0C2F21"/>
    <w:rsid w:val="2D2A1F96"/>
    <w:rsid w:val="2D5B37D2"/>
    <w:rsid w:val="2D6263F4"/>
    <w:rsid w:val="2D754E59"/>
    <w:rsid w:val="2DCD7D8C"/>
    <w:rsid w:val="2DDB5BD5"/>
    <w:rsid w:val="2E593F83"/>
    <w:rsid w:val="2E904057"/>
    <w:rsid w:val="2E9E3FDF"/>
    <w:rsid w:val="2EA4688E"/>
    <w:rsid w:val="2F260509"/>
    <w:rsid w:val="2F326ACC"/>
    <w:rsid w:val="2FE74E54"/>
    <w:rsid w:val="300D55ED"/>
    <w:rsid w:val="30244BD9"/>
    <w:rsid w:val="303B761A"/>
    <w:rsid w:val="30E67858"/>
    <w:rsid w:val="318B5FDE"/>
    <w:rsid w:val="318F34CE"/>
    <w:rsid w:val="319D64AB"/>
    <w:rsid w:val="328E25FA"/>
    <w:rsid w:val="32986212"/>
    <w:rsid w:val="32CF0B91"/>
    <w:rsid w:val="32D73BF7"/>
    <w:rsid w:val="33D400E9"/>
    <w:rsid w:val="33F263DC"/>
    <w:rsid w:val="34237CE4"/>
    <w:rsid w:val="3444089F"/>
    <w:rsid w:val="34883F20"/>
    <w:rsid w:val="34CC45A8"/>
    <w:rsid w:val="3519055A"/>
    <w:rsid w:val="35861850"/>
    <w:rsid w:val="359004E0"/>
    <w:rsid w:val="35D43F3F"/>
    <w:rsid w:val="35DB5E83"/>
    <w:rsid w:val="360151CA"/>
    <w:rsid w:val="36800AF8"/>
    <w:rsid w:val="368F71C0"/>
    <w:rsid w:val="36DC4ECC"/>
    <w:rsid w:val="36F03B27"/>
    <w:rsid w:val="37347065"/>
    <w:rsid w:val="37486789"/>
    <w:rsid w:val="37701A65"/>
    <w:rsid w:val="37DE5126"/>
    <w:rsid w:val="3812270A"/>
    <w:rsid w:val="38285A49"/>
    <w:rsid w:val="39523447"/>
    <w:rsid w:val="39D442EE"/>
    <w:rsid w:val="3A2865BC"/>
    <w:rsid w:val="3AC96E8B"/>
    <w:rsid w:val="3AE222C7"/>
    <w:rsid w:val="3AE975F7"/>
    <w:rsid w:val="3AF603C1"/>
    <w:rsid w:val="3B3E65FB"/>
    <w:rsid w:val="3BB47F5C"/>
    <w:rsid w:val="3BC04DED"/>
    <w:rsid w:val="3BCD77A2"/>
    <w:rsid w:val="3BFA3712"/>
    <w:rsid w:val="3CAD59EE"/>
    <w:rsid w:val="3D100A62"/>
    <w:rsid w:val="3D3E3DFF"/>
    <w:rsid w:val="3DEF1188"/>
    <w:rsid w:val="3E52056F"/>
    <w:rsid w:val="3E676885"/>
    <w:rsid w:val="3E6A79C9"/>
    <w:rsid w:val="3E792073"/>
    <w:rsid w:val="3E7D6DCB"/>
    <w:rsid w:val="3EE14D97"/>
    <w:rsid w:val="3F327FE5"/>
    <w:rsid w:val="3FF23EFB"/>
    <w:rsid w:val="40A65198"/>
    <w:rsid w:val="40B809F7"/>
    <w:rsid w:val="40BD093E"/>
    <w:rsid w:val="40D928FC"/>
    <w:rsid w:val="40FF3270"/>
    <w:rsid w:val="41584F88"/>
    <w:rsid w:val="416208C1"/>
    <w:rsid w:val="419F68C9"/>
    <w:rsid w:val="422F0D3F"/>
    <w:rsid w:val="424339FD"/>
    <w:rsid w:val="427214ED"/>
    <w:rsid w:val="42A315B1"/>
    <w:rsid w:val="433F40DB"/>
    <w:rsid w:val="43541ABC"/>
    <w:rsid w:val="43664DF1"/>
    <w:rsid w:val="43837C7B"/>
    <w:rsid w:val="43966076"/>
    <w:rsid w:val="43A5354B"/>
    <w:rsid w:val="43D877F5"/>
    <w:rsid w:val="44276CF1"/>
    <w:rsid w:val="44AE4117"/>
    <w:rsid w:val="44CC6C2E"/>
    <w:rsid w:val="44DF767A"/>
    <w:rsid w:val="44FB64D6"/>
    <w:rsid w:val="45175DD3"/>
    <w:rsid w:val="45720514"/>
    <w:rsid w:val="459F2D14"/>
    <w:rsid w:val="45F65242"/>
    <w:rsid w:val="46006689"/>
    <w:rsid w:val="46312D61"/>
    <w:rsid w:val="46ED003F"/>
    <w:rsid w:val="47273FF5"/>
    <w:rsid w:val="47407DA5"/>
    <w:rsid w:val="47892D87"/>
    <w:rsid w:val="47A27EB9"/>
    <w:rsid w:val="48073FCE"/>
    <w:rsid w:val="48083DD9"/>
    <w:rsid w:val="48322C9B"/>
    <w:rsid w:val="48AB73D9"/>
    <w:rsid w:val="4986294D"/>
    <w:rsid w:val="49CD025F"/>
    <w:rsid w:val="4A220541"/>
    <w:rsid w:val="4A2C364D"/>
    <w:rsid w:val="4A4739C5"/>
    <w:rsid w:val="4AA2102B"/>
    <w:rsid w:val="4AB1258E"/>
    <w:rsid w:val="4ADA5803"/>
    <w:rsid w:val="4B233BC3"/>
    <w:rsid w:val="4B5D1886"/>
    <w:rsid w:val="4B8F7C01"/>
    <w:rsid w:val="4C4B5AB0"/>
    <w:rsid w:val="4C5264FF"/>
    <w:rsid w:val="4C9330A2"/>
    <w:rsid w:val="4C964C3A"/>
    <w:rsid w:val="4CA044A1"/>
    <w:rsid w:val="4CCB6BAC"/>
    <w:rsid w:val="4D080496"/>
    <w:rsid w:val="4D774889"/>
    <w:rsid w:val="4D8A7E66"/>
    <w:rsid w:val="4E7F11CE"/>
    <w:rsid w:val="4FBE3E2F"/>
    <w:rsid w:val="50014977"/>
    <w:rsid w:val="50210B71"/>
    <w:rsid w:val="510E1E70"/>
    <w:rsid w:val="51DE1040"/>
    <w:rsid w:val="521266DD"/>
    <w:rsid w:val="52545573"/>
    <w:rsid w:val="528C3463"/>
    <w:rsid w:val="52A83936"/>
    <w:rsid w:val="52CD0782"/>
    <w:rsid w:val="52D27B05"/>
    <w:rsid w:val="52FF6F1F"/>
    <w:rsid w:val="537651D7"/>
    <w:rsid w:val="54247CF0"/>
    <w:rsid w:val="546A57EB"/>
    <w:rsid w:val="546C6642"/>
    <w:rsid w:val="54C47700"/>
    <w:rsid w:val="54CC1E41"/>
    <w:rsid w:val="55FF981F"/>
    <w:rsid w:val="560631D4"/>
    <w:rsid w:val="562E42CB"/>
    <w:rsid w:val="56661C65"/>
    <w:rsid w:val="56D50399"/>
    <w:rsid w:val="571A6FA8"/>
    <w:rsid w:val="576A6C0C"/>
    <w:rsid w:val="579565F2"/>
    <w:rsid w:val="57C36D81"/>
    <w:rsid w:val="58106386"/>
    <w:rsid w:val="58992F18"/>
    <w:rsid w:val="58AE17C9"/>
    <w:rsid w:val="58E72826"/>
    <w:rsid w:val="58FD2CDB"/>
    <w:rsid w:val="59324302"/>
    <w:rsid w:val="59D578D8"/>
    <w:rsid w:val="5A276988"/>
    <w:rsid w:val="5A433D89"/>
    <w:rsid w:val="5A483C3E"/>
    <w:rsid w:val="5A761FD5"/>
    <w:rsid w:val="5A8661D2"/>
    <w:rsid w:val="5AAB117E"/>
    <w:rsid w:val="5AB95F1F"/>
    <w:rsid w:val="5ABC09FD"/>
    <w:rsid w:val="5B173696"/>
    <w:rsid w:val="5B760479"/>
    <w:rsid w:val="5BA0052D"/>
    <w:rsid w:val="5C025F17"/>
    <w:rsid w:val="5C085962"/>
    <w:rsid w:val="5C417BE2"/>
    <w:rsid w:val="5CAF1ADA"/>
    <w:rsid w:val="5CBB4783"/>
    <w:rsid w:val="5D8C1687"/>
    <w:rsid w:val="5DAF4C86"/>
    <w:rsid w:val="5DC17E3D"/>
    <w:rsid w:val="5DC249DD"/>
    <w:rsid w:val="5DED6431"/>
    <w:rsid w:val="5E66337E"/>
    <w:rsid w:val="5EC510E8"/>
    <w:rsid w:val="5ED63017"/>
    <w:rsid w:val="5F613B9E"/>
    <w:rsid w:val="5FD81226"/>
    <w:rsid w:val="60192173"/>
    <w:rsid w:val="60387B57"/>
    <w:rsid w:val="608135A3"/>
    <w:rsid w:val="6099694B"/>
    <w:rsid w:val="60A15D34"/>
    <w:rsid w:val="60D3466B"/>
    <w:rsid w:val="60D86C2E"/>
    <w:rsid w:val="6136625D"/>
    <w:rsid w:val="615310C9"/>
    <w:rsid w:val="6172289F"/>
    <w:rsid w:val="61B564FF"/>
    <w:rsid w:val="61F36AC5"/>
    <w:rsid w:val="61F519E1"/>
    <w:rsid w:val="62016624"/>
    <w:rsid w:val="620F72B5"/>
    <w:rsid w:val="62467E63"/>
    <w:rsid w:val="62697BFB"/>
    <w:rsid w:val="62707713"/>
    <w:rsid w:val="62E0571D"/>
    <w:rsid w:val="63252EFD"/>
    <w:rsid w:val="634C1382"/>
    <w:rsid w:val="637439B9"/>
    <w:rsid w:val="63EB44F5"/>
    <w:rsid w:val="64024100"/>
    <w:rsid w:val="643C02DD"/>
    <w:rsid w:val="643F7B6E"/>
    <w:rsid w:val="64642F07"/>
    <w:rsid w:val="648F4401"/>
    <w:rsid w:val="64DB58BD"/>
    <w:rsid w:val="64DD230E"/>
    <w:rsid w:val="64E334DE"/>
    <w:rsid w:val="655D1838"/>
    <w:rsid w:val="65F0141F"/>
    <w:rsid w:val="66002373"/>
    <w:rsid w:val="66046B70"/>
    <w:rsid w:val="664B34AE"/>
    <w:rsid w:val="668D6FD3"/>
    <w:rsid w:val="668E4909"/>
    <w:rsid w:val="669B5629"/>
    <w:rsid w:val="66D44679"/>
    <w:rsid w:val="66E93F99"/>
    <w:rsid w:val="66EE015D"/>
    <w:rsid w:val="676654E8"/>
    <w:rsid w:val="677F045A"/>
    <w:rsid w:val="67A040B8"/>
    <w:rsid w:val="68737E15"/>
    <w:rsid w:val="68BE58DC"/>
    <w:rsid w:val="696D6BC2"/>
    <w:rsid w:val="697877CE"/>
    <w:rsid w:val="69DA6FA5"/>
    <w:rsid w:val="6A0A687D"/>
    <w:rsid w:val="6A4E6E82"/>
    <w:rsid w:val="6A6138FA"/>
    <w:rsid w:val="6B5E7989"/>
    <w:rsid w:val="6C0078A4"/>
    <w:rsid w:val="6C963D51"/>
    <w:rsid w:val="6C9B4CDC"/>
    <w:rsid w:val="6CB9683A"/>
    <w:rsid w:val="6CFA475A"/>
    <w:rsid w:val="6CFF10D5"/>
    <w:rsid w:val="6D2E3177"/>
    <w:rsid w:val="6D8A305E"/>
    <w:rsid w:val="6D8C4944"/>
    <w:rsid w:val="6DB17FA9"/>
    <w:rsid w:val="6DBA4806"/>
    <w:rsid w:val="6DC101B6"/>
    <w:rsid w:val="6E2D1D2E"/>
    <w:rsid w:val="6E5017D6"/>
    <w:rsid w:val="6F1A0AA4"/>
    <w:rsid w:val="6F224701"/>
    <w:rsid w:val="6F252F18"/>
    <w:rsid w:val="6F6B422D"/>
    <w:rsid w:val="6F923AA3"/>
    <w:rsid w:val="6FA6352A"/>
    <w:rsid w:val="6FE912BC"/>
    <w:rsid w:val="6FEC0623"/>
    <w:rsid w:val="6FFE1AE2"/>
    <w:rsid w:val="70357889"/>
    <w:rsid w:val="707B1805"/>
    <w:rsid w:val="70B75027"/>
    <w:rsid w:val="7113068E"/>
    <w:rsid w:val="715115C3"/>
    <w:rsid w:val="716B08D0"/>
    <w:rsid w:val="71732672"/>
    <w:rsid w:val="718A5A63"/>
    <w:rsid w:val="71CE6856"/>
    <w:rsid w:val="72A83587"/>
    <w:rsid w:val="72DD522F"/>
    <w:rsid w:val="732117B3"/>
    <w:rsid w:val="740206A7"/>
    <w:rsid w:val="741E2CED"/>
    <w:rsid w:val="742C4F53"/>
    <w:rsid w:val="74E35240"/>
    <w:rsid w:val="758A621B"/>
    <w:rsid w:val="75C01187"/>
    <w:rsid w:val="76466F51"/>
    <w:rsid w:val="76503C9C"/>
    <w:rsid w:val="76A87F06"/>
    <w:rsid w:val="76F00514"/>
    <w:rsid w:val="773C57D1"/>
    <w:rsid w:val="779A3945"/>
    <w:rsid w:val="779F159E"/>
    <w:rsid w:val="77E51F05"/>
    <w:rsid w:val="77F550D1"/>
    <w:rsid w:val="7800292B"/>
    <w:rsid w:val="78463893"/>
    <w:rsid w:val="79930E64"/>
    <w:rsid w:val="79A52E52"/>
    <w:rsid w:val="79C26192"/>
    <w:rsid w:val="79CE15F7"/>
    <w:rsid w:val="79D52FAC"/>
    <w:rsid w:val="79DF75C6"/>
    <w:rsid w:val="7A521369"/>
    <w:rsid w:val="7AB961D2"/>
    <w:rsid w:val="7ADC2400"/>
    <w:rsid w:val="7AF12C35"/>
    <w:rsid w:val="7AF815E6"/>
    <w:rsid w:val="7BFB7EC6"/>
    <w:rsid w:val="7C1B1AD6"/>
    <w:rsid w:val="7C5E3D24"/>
    <w:rsid w:val="7D045527"/>
    <w:rsid w:val="7D702BE3"/>
    <w:rsid w:val="7D8A165C"/>
    <w:rsid w:val="7E14785D"/>
    <w:rsid w:val="7E437E58"/>
    <w:rsid w:val="7E86347C"/>
    <w:rsid w:val="7ED20D8D"/>
    <w:rsid w:val="7EEA61BC"/>
    <w:rsid w:val="7EFB5A2C"/>
    <w:rsid w:val="7F1D5CFA"/>
    <w:rsid w:val="7F6F40E9"/>
    <w:rsid w:val="7F7E77BA"/>
    <w:rsid w:val="7F8F0E80"/>
    <w:rsid w:val="7FEA573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5">
    <w:name w:val="toc 7"/>
    <w:basedOn w:val="1"/>
    <w:next w:val="1"/>
    <w:uiPriority w:val="0"/>
    <w:pPr>
      <w:ind w:left="1260"/>
      <w:jc w:val="left"/>
    </w:pPr>
    <w:rPr>
      <w:rFonts w:ascii="Calibri" w:hAnsi="Calibri" w:cs="Calibri"/>
      <w:sz w:val="18"/>
      <w:szCs w:val="18"/>
    </w:rPr>
  </w:style>
  <w:style w:type="paragraph" w:styleId="6">
    <w:name w:val="Document Map"/>
    <w:basedOn w:val="1"/>
    <w:link w:val="37"/>
    <w:uiPriority w:val="0"/>
    <w:rPr>
      <w:rFonts w:ascii="宋体"/>
      <w:sz w:val="18"/>
      <w:szCs w:val="18"/>
    </w:rPr>
  </w:style>
  <w:style w:type="paragraph" w:styleId="7">
    <w:name w:val="annotation text"/>
    <w:basedOn w:val="1"/>
    <w:semiHidden/>
    <w:uiPriority w:val="0"/>
    <w:pPr>
      <w:jc w:val="left"/>
    </w:pPr>
  </w:style>
  <w:style w:type="paragraph" w:styleId="8">
    <w:name w:val="Body Text"/>
    <w:basedOn w:val="1"/>
    <w:link w:val="38"/>
    <w:uiPriority w:val="0"/>
    <w:pPr>
      <w:spacing w:after="120"/>
    </w:pPr>
  </w:style>
  <w:style w:type="paragraph" w:styleId="9">
    <w:name w:val="Body Text Indent"/>
    <w:basedOn w:val="1"/>
    <w:uiPriority w:val="0"/>
    <w:pPr>
      <w:ind w:left="636"/>
    </w:pPr>
    <w:rPr>
      <w:rFonts w:ascii="仿宋_GB2312" w:eastAsia="仿宋_GB2312"/>
      <w:sz w:val="32"/>
    </w:rPr>
  </w:style>
  <w:style w:type="paragraph" w:styleId="10">
    <w:name w:val="Block Text"/>
    <w:basedOn w:val="1"/>
    <w:uiPriority w:val="0"/>
    <w:pPr>
      <w:spacing w:line="562" w:lineRule="exact"/>
      <w:ind w:left="-359" w:leftChars="-171" w:right="-540" w:rightChars="-257" w:firstLine="714" w:firstLineChars="238"/>
    </w:pPr>
    <w:rPr>
      <w:rFonts w:ascii="仿宋_GB2312" w:eastAsia="仿宋_GB2312"/>
      <w:sz w:val="30"/>
      <w:szCs w:val="30"/>
    </w:rPr>
  </w:style>
  <w:style w:type="paragraph" w:styleId="11">
    <w:name w:val="toc 5"/>
    <w:basedOn w:val="1"/>
    <w:next w:val="1"/>
    <w:uiPriority w:val="0"/>
    <w:pPr>
      <w:ind w:left="840"/>
      <w:jc w:val="left"/>
    </w:pPr>
    <w:rPr>
      <w:rFonts w:ascii="Calibri" w:hAnsi="Calibri" w:cs="Calibri"/>
      <w:sz w:val="18"/>
      <w:szCs w:val="18"/>
    </w:rPr>
  </w:style>
  <w:style w:type="paragraph" w:styleId="12">
    <w:name w:val="toc 3"/>
    <w:basedOn w:val="1"/>
    <w:next w:val="1"/>
    <w:uiPriority w:val="0"/>
    <w:pPr>
      <w:ind w:left="420"/>
      <w:jc w:val="left"/>
    </w:pPr>
    <w:rPr>
      <w:rFonts w:ascii="Calibri" w:hAnsi="Calibri" w:cs="Calibri"/>
      <w:i/>
      <w:iCs/>
      <w:sz w:val="20"/>
    </w:rPr>
  </w:style>
  <w:style w:type="paragraph" w:styleId="13">
    <w:name w:val="toc 8"/>
    <w:basedOn w:val="1"/>
    <w:next w:val="1"/>
    <w:uiPriority w:val="0"/>
    <w:pPr>
      <w:ind w:left="1470"/>
      <w:jc w:val="left"/>
    </w:pPr>
    <w:rPr>
      <w:rFonts w:ascii="Calibri" w:hAnsi="Calibri" w:cs="Calibri"/>
      <w:sz w:val="18"/>
      <w:szCs w:val="18"/>
    </w:rPr>
  </w:style>
  <w:style w:type="paragraph" w:styleId="14">
    <w:name w:val="Date"/>
    <w:basedOn w:val="1"/>
    <w:next w:val="1"/>
    <w:uiPriority w:val="0"/>
  </w:style>
  <w:style w:type="paragraph" w:styleId="15">
    <w:name w:val="Body Text Indent 2"/>
    <w:basedOn w:val="1"/>
    <w:uiPriority w:val="0"/>
    <w:pPr>
      <w:ind w:left="720" w:firstLine="555"/>
    </w:pPr>
    <w:rPr>
      <w:rFonts w:ascii="仿宋_GB2312" w:eastAsia="仿宋_GB2312"/>
      <w:sz w:val="32"/>
    </w:rPr>
  </w:style>
  <w:style w:type="paragraph" w:styleId="16">
    <w:name w:val="Balloon Text"/>
    <w:basedOn w:val="1"/>
    <w:semiHidden/>
    <w:uiPriority w:val="0"/>
    <w:rPr>
      <w:sz w:val="18"/>
      <w:szCs w:val="18"/>
    </w:rPr>
  </w:style>
  <w:style w:type="paragraph" w:styleId="17">
    <w:name w:val="footer"/>
    <w:basedOn w:val="1"/>
    <w:link w:val="39"/>
    <w:uiPriority w:val="0"/>
    <w:pPr>
      <w:tabs>
        <w:tab w:val="center" w:pos="4153"/>
        <w:tab w:val="right" w:pos="8306"/>
      </w:tabs>
      <w:snapToGrid w:val="0"/>
      <w:jc w:val="left"/>
    </w:pPr>
    <w:rPr>
      <w:sz w:val="18"/>
    </w:rPr>
  </w:style>
  <w:style w:type="paragraph" w:styleId="18">
    <w:name w:val="header"/>
    <w:basedOn w:val="1"/>
    <w:link w:val="40"/>
    <w:uiPriority w:val="99"/>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spacing w:before="120" w:after="120"/>
      <w:jc w:val="left"/>
    </w:pPr>
    <w:rPr>
      <w:rFonts w:ascii="Calibri" w:hAnsi="Calibri" w:cs="Calibri"/>
      <w:b/>
      <w:bCs/>
      <w:caps/>
      <w:sz w:val="20"/>
    </w:rPr>
  </w:style>
  <w:style w:type="paragraph" w:styleId="20">
    <w:name w:val="toc 4"/>
    <w:basedOn w:val="1"/>
    <w:next w:val="1"/>
    <w:uiPriority w:val="0"/>
    <w:pPr>
      <w:ind w:left="630"/>
      <w:jc w:val="left"/>
    </w:pPr>
    <w:rPr>
      <w:rFonts w:ascii="Calibri" w:hAnsi="Calibri" w:cs="Calibri"/>
      <w:sz w:val="18"/>
      <w:szCs w:val="18"/>
    </w:rPr>
  </w:style>
  <w:style w:type="paragraph" w:styleId="21">
    <w:name w:val="toc 6"/>
    <w:basedOn w:val="1"/>
    <w:next w:val="1"/>
    <w:uiPriority w:val="0"/>
    <w:pPr>
      <w:ind w:left="1050"/>
      <w:jc w:val="left"/>
    </w:pPr>
    <w:rPr>
      <w:rFonts w:ascii="Calibri" w:hAnsi="Calibri" w:cs="Calibri"/>
      <w:sz w:val="18"/>
      <w:szCs w:val="18"/>
    </w:rPr>
  </w:style>
  <w:style w:type="paragraph" w:styleId="22">
    <w:name w:val="Body Text Indent 3"/>
    <w:basedOn w:val="1"/>
    <w:uiPriority w:val="0"/>
    <w:pPr>
      <w:spacing w:after="120"/>
      <w:ind w:left="420" w:leftChars="200"/>
    </w:pPr>
    <w:rPr>
      <w:sz w:val="16"/>
      <w:szCs w:val="16"/>
    </w:rPr>
  </w:style>
  <w:style w:type="paragraph" w:styleId="23">
    <w:name w:val="toc 2"/>
    <w:basedOn w:val="1"/>
    <w:next w:val="1"/>
    <w:uiPriority w:val="39"/>
    <w:pPr>
      <w:ind w:left="210"/>
      <w:jc w:val="left"/>
    </w:pPr>
    <w:rPr>
      <w:rFonts w:ascii="Calibri" w:hAnsi="Calibri" w:cs="Calibri"/>
      <w:smallCaps/>
      <w:sz w:val="20"/>
    </w:rPr>
  </w:style>
  <w:style w:type="paragraph" w:styleId="24">
    <w:name w:val="toc 9"/>
    <w:basedOn w:val="1"/>
    <w:next w:val="1"/>
    <w:uiPriority w:val="0"/>
    <w:pPr>
      <w:ind w:left="1680"/>
      <w:jc w:val="left"/>
    </w:pPr>
    <w:rPr>
      <w:rFonts w:ascii="Calibri" w:hAnsi="Calibri" w:cs="Calibri"/>
      <w:sz w:val="18"/>
      <w:szCs w:val="18"/>
    </w:rPr>
  </w:style>
  <w:style w:type="paragraph" w:styleId="25">
    <w:name w:val="HTML Preformatted"/>
    <w:basedOn w:val="1"/>
    <w:link w:val="4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7"/>
    <w:next w:val="7"/>
    <w:semiHidden/>
    <w:uiPriority w:val="0"/>
    <w:rPr>
      <w:b/>
      <w:bCs/>
    </w:rPr>
  </w:style>
  <w:style w:type="table" w:styleId="29">
    <w:name w:val="Table Grid"/>
    <w:basedOn w:val="28"/>
    <w:unhideWhenUsed/>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uiPriority w:val="0"/>
  </w:style>
  <w:style w:type="character" w:styleId="33">
    <w:name w:val="Emphasis"/>
    <w:qFormat/>
    <w:uiPriority w:val="0"/>
    <w:rPr>
      <w:color w:val="CC0000"/>
    </w:rPr>
  </w:style>
  <w:style w:type="character" w:styleId="34">
    <w:name w:val="Hyperlink"/>
    <w:uiPriority w:val="99"/>
    <w:rPr>
      <w:color w:val="0000FF"/>
      <w:u w:val="single"/>
    </w:rPr>
  </w:style>
  <w:style w:type="character" w:styleId="35">
    <w:name w:val="annotation reference"/>
    <w:semiHidden/>
    <w:uiPriority w:val="0"/>
    <w:rPr>
      <w:sz w:val="21"/>
      <w:szCs w:val="21"/>
    </w:rPr>
  </w:style>
  <w:style w:type="character" w:customStyle="1" w:styleId="36">
    <w:name w:val="标题 1 字符"/>
    <w:link w:val="2"/>
    <w:uiPriority w:val="0"/>
    <w:rPr>
      <w:b/>
      <w:bCs/>
      <w:kern w:val="44"/>
      <w:sz w:val="44"/>
      <w:szCs w:val="44"/>
    </w:rPr>
  </w:style>
  <w:style w:type="character" w:customStyle="1" w:styleId="37">
    <w:name w:val="文档结构图 字符"/>
    <w:link w:val="6"/>
    <w:uiPriority w:val="0"/>
    <w:rPr>
      <w:rFonts w:ascii="宋体"/>
      <w:kern w:val="2"/>
      <w:sz w:val="18"/>
      <w:szCs w:val="18"/>
    </w:rPr>
  </w:style>
  <w:style w:type="character" w:customStyle="1" w:styleId="38">
    <w:name w:val="正文文本 字符"/>
    <w:link w:val="8"/>
    <w:uiPriority w:val="0"/>
    <w:rPr>
      <w:kern w:val="2"/>
      <w:sz w:val="21"/>
    </w:rPr>
  </w:style>
  <w:style w:type="character" w:customStyle="1" w:styleId="39">
    <w:name w:val="页脚 字符"/>
    <w:link w:val="17"/>
    <w:uiPriority w:val="99"/>
    <w:rPr>
      <w:kern w:val="2"/>
      <w:sz w:val="18"/>
    </w:rPr>
  </w:style>
  <w:style w:type="character" w:customStyle="1" w:styleId="40">
    <w:name w:val="页眉 字符"/>
    <w:link w:val="18"/>
    <w:uiPriority w:val="99"/>
    <w:rPr>
      <w:kern w:val="2"/>
      <w:sz w:val="18"/>
    </w:rPr>
  </w:style>
  <w:style w:type="character" w:customStyle="1" w:styleId="41">
    <w:name w:val="HTML 预设格式 字符"/>
    <w:link w:val="25"/>
    <w:uiPriority w:val="99"/>
    <w:rPr>
      <w:rFonts w:ascii="宋体" w:hAnsi="宋体" w:cs="宋体"/>
      <w:sz w:val="24"/>
      <w:szCs w:val="24"/>
    </w:rPr>
  </w:style>
  <w:style w:type="character" w:customStyle="1" w:styleId="42">
    <w:name w:val="font31"/>
    <w:uiPriority w:val="0"/>
    <w:rPr>
      <w:rFonts w:hint="eastAsia" w:ascii="宋体" w:hAnsi="宋体" w:eastAsia="宋体" w:cs="宋体"/>
      <w:color w:val="000000"/>
      <w:sz w:val="24"/>
      <w:szCs w:val="24"/>
      <w:u w:val="none"/>
    </w:rPr>
  </w:style>
  <w:style w:type="character" w:customStyle="1" w:styleId="43">
    <w:name w:val="font11"/>
    <w:qFormat/>
    <w:uiPriority w:val="0"/>
    <w:rPr>
      <w:rFonts w:hint="eastAsia" w:ascii="宋体" w:hAnsi="宋体" w:eastAsia="宋体" w:cs="宋体"/>
      <w:color w:val="000000"/>
      <w:sz w:val="24"/>
      <w:szCs w:val="24"/>
      <w:u w:val="none"/>
    </w:rPr>
  </w:style>
  <w:style w:type="character" w:customStyle="1" w:styleId="44">
    <w:name w:val="hui141"/>
    <w:uiPriority w:val="0"/>
    <w:rPr>
      <w:color w:val="B3B2B2"/>
      <w:sz w:val="21"/>
      <w:szCs w:val="21"/>
    </w:rPr>
  </w:style>
  <w:style w:type="character" w:customStyle="1" w:styleId="45">
    <w:name w:val="apple-converted-space"/>
    <w:uiPriority w:val="0"/>
  </w:style>
  <w:style w:type="character" w:customStyle="1" w:styleId="46">
    <w:name w:val="font21"/>
    <w:uiPriority w:val="0"/>
    <w:rPr>
      <w:rFonts w:hint="eastAsia" w:ascii="宋体" w:hAnsi="宋体" w:eastAsia="宋体" w:cs="宋体"/>
      <w:color w:val="000000"/>
      <w:sz w:val="24"/>
      <w:szCs w:val="24"/>
      <w:u w:val="none"/>
    </w:rPr>
  </w:style>
  <w:style w:type="character" w:customStyle="1" w:styleId="47">
    <w:name w:val="font01"/>
    <w:uiPriority w:val="0"/>
    <w:rPr>
      <w:rFonts w:ascii="宋体" w:hAnsi="宋体" w:eastAsia="宋体" w:cs="宋体"/>
      <w:color w:val="000000"/>
      <w:sz w:val="24"/>
      <w:szCs w:val="24"/>
      <w:u w:val="none"/>
    </w:rPr>
  </w:style>
  <w:style w:type="paragraph" w:customStyle="1" w:styleId="48">
    <w:name w:val="默认段落字体 Para Char Char Char Char Char Char Char"/>
    <w:basedOn w:val="1"/>
    <w:uiPriority w:val="0"/>
    <w:rPr>
      <w:rFonts w:ascii="Tahoma" w:hAnsi="Tahoma" w:cs="Tahoma"/>
      <w:sz w:val="24"/>
      <w:szCs w:val="24"/>
    </w:rPr>
  </w:style>
  <w:style w:type="paragraph" w:customStyle="1" w:styleId="49">
    <w:name w:val="f_cent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0">
    <w:name w:val="text"/>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1">
    <w:name w:val="报告正文"/>
    <w:basedOn w:val="1"/>
    <w:qFormat/>
    <w:uiPriority w:val="0"/>
    <w:pPr>
      <w:spacing w:line="500" w:lineRule="atLeast"/>
      <w:ind w:firstLine="567"/>
    </w:pPr>
    <w:rPr>
      <w:rFonts w:hint="eastAsia" w:ascii="仿宋_GB2312" w:hAnsi="Courier New" w:eastAsia="仿宋_GB2312"/>
      <w:color w:val="000000"/>
      <w:kern w:val="0"/>
      <w:sz w:val="28"/>
    </w:rPr>
  </w:style>
  <w:style w:type="paragraph" w:styleId="52">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53">
    <w:name w:val="表格文字"/>
    <w:basedOn w:val="1"/>
    <w:next w:val="8"/>
    <w:qFormat/>
    <w:uiPriority w:val="0"/>
    <w:rPr>
      <w:sz w:val="18"/>
      <w:szCs w:val="24"/>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3914</Words>
  <Characters>4103</Characters>
  <Lines>90</Lines>
  <Paragraphs>25</Paragraphs>
  <TotalTime>4</TotalTime>
  <ScaleCrop>false</ScaleCrop>
  <LinksUpToDate>false</LinksUpToDate>
  <CharactersWithSpaces>4177</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2014-05-05T14:49:00Z</dcterms:created>
  <dc:creator>Administrator</dc:creator>
  <cp:lastModifiedBy>gresham</cp:lastModifiedBy>
  <cp:lastPrinted>2025-11-14T15:13:00Z</cp:lastPrinted>
  <dcterms:modified xsi:type="dcterms:W3CDTF">2026-07-15T15:25:12Z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eyJoZGlkIjoiZTQ4NzZiOTkyNGIxZjE0MTc2MjJhMzA3N2RmYTlmMTMiLCJ1c2VySWQiOiIxNTkxMTE2NDU5In0=</vt:lpwstr>
  </property>
  <property fmtid="{D5CDD505-2E9C-101B-9397-08002B2CF9AE}" pid="4" name="ICV">
    <vt:lpwstr>8D59D10929CC0EC2D835576A17AFCF5B_43</vt:lpwstr>
  </property>
</Properties>
</file>