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AED29">
      <w:pPr>
        <w:jc w:val="center"/>
        <w:rPr>
          <w:rFonts w:hint="eastAsia" w:ascii="楷体" w:hAnsi="楷体" w:eastAsia="楷体"/>
          <w:b/>
          <w:sz w:val="72"/>
          <w:szCs w:val="72"/>
        </w:rPr>
      </w:pPr>
      <w:bookmarkStart w:id="109" w:name="_GoBack"/>
      <w:bookmarkEnd w:id="109"/>
    </w:p>
    <w:p w14:paraId="5210FAD7">
      <w:pPr>
        <w:jc w:val="center"/>
        <w:rPr>
          <w:rFonts w:hint="eastAsia" w:ascii="楷体" w:hAnsi="楷体" w:eastAsia="楷体"/>
          <w:b/>
          <w:sz w:val="72"/>
          <w:szCs w:val="72"/>
        </w:rPr>
      </w:pPr>
    </w:p>
    <w:p w14:paraId="2F0A2819">
      <w:pPr>
        <w:spacing w:line="600" w:lineRule="exact"/>
        <w:jc w:val="center"/>
      </w:pPr>
      <w:bookmarkStart w:id="0" w:name="OLE_LINK5_ai"/>
      <w:bookmarkStart w:id="1" w:name="OLE_LINK6"/>
      <w:r>
        <w:rPr>
          <w:rFonts w:hint="eastAsia" w:ascii="楷体" w:hAnsi="楷体" w:eastAsia="楷体"/>
          <w:kern w:val="2"/>
          <w:sz w:val="32"/>
          <w:szCs w:val="32"/>
          <w:lang w:val="en-US" w:eastAsia="zh-CN" w:bidi="ar-SA"/>
        </w:rPr>
        <w:t>{{ owner }}位于</w:t>
      </w:r>
      <w:bookmarkEnd w:id="0"/>
    </w:p>
    <w:bookmarkEnd w:id="1"/>
    <w:p w14:paraId="13F19385">
      <w:pPr>
        <w:spacing w:line="600" w:lineRule="exact"/>
        <w:jc w:val="center"/>
      </w:pPr>
      <w:r>
        <w:rPr>
          <w:rFonts w:hint="eastAsia" w:ascii="楷体" w:hAnsi="楷体" w:eastAsia="楷体"/>
          <w:kern w:val="2"/>
          <w:sz w:val="32"/>
          <w:szCs w:val="32"/>
          <w:lang w:val="en-US" w:eastAsia="zh-CN" w:bidi="ar-SA"/>
        </w:rPr>
        <w:t>{{ address }}</w:t>
      </w:r>
      <w:bookmarkStart w:id="2" w:name="OLE_LINK6_ai"/>
      <w:bookmarkEnd w:id="2"/>
    </w:p>
    <w:p w14:paraId="016E5380">
      <w:pPr>
        <w:spacing w:line="600" w:lineRule="exact"/>
        <w:jc w:val="center"/>
      </w:pPr>
      <w:r>
        <w:rPr>
          <w:rFonts w:hint="eastAsia" w:ascii="楷体" w:hAnsi="楷体" w:eastAsia="楷体"/>
          <w:kern w:val="2"/>
          <w:sz w:val="32"/>
          <w:szCs w:val="32"/>
          <w:lang w:val="en-US" w:eastAsia="zh-CN" w:bidi="ar-SA"/>
        </w:rPr>
        <w:t>的土地租赁价值评估项目</w:t>
      </w:r>
    </w:p>
    <w:p w14:paraId="490DFAA2">
      <w:pPr>
        <w:spacing w:line="1000" w:lineRule="exact"/>
        <w:jc w:val="center"/>
        <w:rPr>
          <w:rFonts w:hint="eastAsia" w:ascii="楷体" w:hAnsi="楷体" w:eastAsia="楷体"/>
          <w:b/>
          <w:sz w:val="52"/>
          <w:szCs w:val="52"/>
        </w:rPr>
      </w:pPr>
      <w:r>
        <w:rPr>
          <w:rFonts w:hint="eastAsia" w:ascii="楷体" w:hAnsi="楷体" w:eastAsia="楷体"/>
          <w:b/>
          <w:sz w:val="52"/>
          <w:szCs w:val="52"/>
        </w:rPr>
        <w:t>房地产估价报告</w:t>
      </w:r>
    </w:p>
    <w:p w14:paraId="4C7BC9DA">
      <w:pPr>
        <w:spacing w:line="500" w:lineRule="exact"/>
        <w:jc w:val="center"/>
      </w:pPr>
      <w:r>
        <w:rPr>
          <w:rFonts w:hint="eastAsia" w:ascii="楷体" w:hAnsi="楷体" w:eastAsia="楷体"/>
          <w:b/>
          <w:kern w:val="2"/>
          <w:sz w:val="24"/>
          <w:szCs w:val="24"/>
          <w:lang w:val="en-US" w:eastAsia="zh-CN" w:bidi="ar-SA"/>
        </w:rPr>
        <w:t>{{ report_no }}</w:t>
      </w:r>
    </w:p>
    <w:p w14:paraId="4A7D2606">
      <w:pPr>
        <w:spacing w:line="500" w:lineRule="exact"/>
        <w:jc w:val="center"/>
        <w:rPr>
          <w:rFonts w:hint="eastAsia" w:ascii="楷体" w:hAnsi="楷体" w:eastAsia="楷体"/>
          <w:b/>
          <w:sz w:val="52"/>
          <w:szCs w:val="52"/>
        </w:rPr>
      </w:pPr>
    </w:p>
    <w:p w14:paraId="0E578791">
      <w:pPr>
        <w:spacing w:line="500" w:lineRule="exact"/>
        <w:jc w:val="center"/>
        <w:rPr>
          <w:rFonts w:hint="eastAsia" w:ascii="楷体" w:hAnsi="楷体" w:eastAsia="楷体"/>
          <w:b/>
          <w:sz w:val="52"/>
          <w:szCs w:val="52"/>
        </w:rPr>
      </w:pPr>
    </w:p>
    <w:p w14:paraId="1186A68A">
      <w:pPr>
        <w:tabs>
          <w:tab w:val="right" w:pos="9000"/>
        </w:tabs>
        <w:spacing w:line="1000" w:lineRule="exact"/>
        <w:rPr>
          <w:rFonts w:hint="eastAsia" w:ascii="楷体" w:hAnsi="楷体" w:eastAsia="楷体"/>
          <w:b/>
          <w:kern w:val="0"/>
          <w:sz w:val="32"/>
          <w:szCs w:val="32"/>
        </w:rPr>
      </w:pPr>
    </w:p>
    <w:p w14:paraId="0E6CC592">
      <w:pPr>
        <w:spacing w:line="1000" w:lineRule="exact"/>
      </w:pPr>
      <w:r>
        <w:rPr>
          <w:rFonts w:hint="eastAsia" w:ascii="楷体" w:hAnsi="楷体" w:eastAsia="楷体"/>
          <w:b/>
          <w:kern w:val="2"/>
          <w:sz w:val="32"/>
          <w:szCs w:val="32"/>
          <w:lang w:val="en-US" w:eastAsia="zh-CN" w:bidi="ar-SA"/>
        </w:rPr>
        <w:t>估 价 委 托 人：{{ owner }}</w:t>
      </w:r>
      <w:r>
        <w:rPr>
          <w:rFonts w:hint="eastAsia" w:ascii="楷体" w:hAnsi="楷体" w:eastAsia="楷体"/>
          <w:kern w:val="2"/>
          <w:sz w:val="32"/>
          <w:szCs w:val="32"/>
          <w:lang w:val="en-US" w:eastAsia="zh-CN" w:bidi="ar-SA"/>
        </w:rPr>
        <w:t/>
      </w:r>
    </w:p>
    <w:p w14:paraId="0E59BB18">
      <w:pPr>
        <w:spacing w:line="1000" w:lineRule="exact"/>
        <w:rPr>
          <w:rFonts w:hint="eastAsia" w:ascii="楷体" w:hAnsi="楷体" w:eastAsia="楷体"/>
          <w:b/>
          <w:sz w:val="32"/>
          <w:szCs w:val="32"/>
        </w:rPr>
      </w:pPr>
      <w:r>
        <w:rPr>
          <w:rFonts w:hint="eastAsia" w:ascii="楷体" w:hAnsi="楷体" w:eastAsia="楷体"/>
          <w:b/>
          <w:spacing w:val="160"/>
          <w:kern w:val="0"/>
          <w:sz w:val="32"/>
          <w:szCs w:val="32"/>
          <w:fitText w:val="2240" w:id="907555445"/>
        </w:rPr>
        <w:t>估价机</w:t>
      </w:r>
      <w:r>
        <w:rPr>
          <w:rFonts w:hint="eastAsia" w:ascii="楷体" w:hAnsi="楷体" w:eastAsia="楷体"/>
          <w:b/>
          <w:spacing w:val="0"/>
          <w:kern w:val="0"/>
          <w:sz w:val="32"/>
          <w:szCs w:val="32"/>
          <w:fitText w:val="2240" w:id="907555445"/>
        </w:rPr>
        <w:t>构</w:t>
      </w:r>
      <w:r>
        <w:rPr>
          <w:rFonts w:hint="eastAsia" w:ascii="楷体" w:hAnsi="楷体" w:eastAsia="楷体"/>
          <w:b/>
          <w:sz w:val="32"/>
          <w:szCs w:val="32"/>
        </w:rPr>
        <w:t>：</w:t>
      </w:r>
      <w:r>
        <w:rPr>
          <w:rFonts w:hint="eastAsia" w:ascii="楷体" w:hAnsi="楷体" w:eastAsia="楷体"/>
          <w:w w:val="98"/>
          <w:kern w:val="32"/>
          <w:sz w:val="32"/>
          <w:szCs w:val="32"/>
        </w:rPr>
        <w:t>浙江正恒房地产土地资产评估咨询有限公司</w:t>
      </w:r>
    </w:p>
    <w:p w14:paraId="732F1B6D">
      <w:pPr>
        <w:spacing w:line="1000" w:lineRule="exact"/>
        <w:rPr>
          <w:rFonts w:hint="eastAsia" w:ascii="楷体" w:hAnsi="楷体" w:eastAsia="楷体"/>
          <w:sz w:val="32"/>
          <w:szCs w:val="32"/>
        </w:rPr>
      </w:pPr>
      <w:r>
        <w:rPr>
          <w:rFonts w:hint="eastAsia" w:ascii="楷体" w:hAnsi="楷体" w:eastAsia="楷体"/>
          <w:b/>
          <w:spacing w:val="0"/>
          <w:w w:val="86"/>
          <w:kern w:val="0"/>
          <w:sz w:val="32"/>
          <w:szCs w:val="32"/>
          <w:fitText w:val="2202" w:id="1411546570"/>
        </w:rPr>
        <w:t>注册房地产估价师</w:t>
      </w:r>
      <w:r>
        <w:rPr>
          <w:rFonts w:hint="eastAsia" w:ascii="楷体" w:hAnsi="楷体" w:eastAsia="楷体"/>
          <w:b/>
          <w:sz w:val="32"/>
          <w:szCs w:val="32"/>
        </w:rPr>
        <w:t>：</w:t>
      </w:r>
      <w:r>
        <w:rPr>
          <w:rFonts w:hint="eastAsia" w:ascii="楷体" w:hAnsi="楷体" w:eastAsia="楷体"/>
          <w:sz w:val="32"/>
          <w:szCs w:val="32"/>
        </w:rPr>
        <w:t>韩  伟   注册号</w:t>
      </w:r>
      <w:r>
        <w:rPr>
          <w:rFonts w:hint="eastAsia" w:ascii="楷体" w:hAnsi="楷体" w:eastAsia="楷体"/>
          <w:sz w:val="32"/>
          <w:szCs w:val="32"/>
          <w:lang w:eastAsia="zh-CN"/>
        </w:rPr>
        <w:t>：</w:t>
      </w:r>
      <w:r>
        <w:rPr>
          <w:rFonts w:hint="eastAsia" w:ascii="楷体" w:hAnsi="楷体" w:eastAsia="楷体"/>
          <w:sz w:val="32"/>
          <w:szCs w:val="32"/>
        </w:rPr>
        <w:t>3320130071</w:t>
      </w:r>
    </w:p>
    <w:p w14:paraId="51924416">
      <w:pPr>
        <w:spacing w:line="1000" w:lineRule="exact"/>
        <w:ind w:firstLine="2560" w:firstLineChars="800"/>
        <w:rPr>
          <w:rFonts w:hint="eastAsia" w:ascii="楷体" w:hAnsi="楷体" w:eastAsia="楷体"/>
          <w:b/>
          <w:sz w:val="32"/>
          <w:szCs w:val="32"/>
        </w:rPr>
      </w:pPr>
      <w:r>
        <w:rPr>
          <w:rFonts w:hint="eastAsia" w:ascii="楷体" w:hAnsi="楷体" w:eastAsia="楷体"/>
          <w:sz w:val="32"/>
          <w:szCs w:val="32"/>
        </w:rPr>
        <w:t>胡  柯   注册号</w:t>
      </w:r>
      <w:r>
        <w:rPr>
          <w:rFonts w:hint="eastAsia" w:ascii="楷体" w:hAnsi="楷体" w:eastAsia="楷体"/>
          <w:sz w:val="32"/>
          <w:szCs w:val="32"/>
          <w:lang w:eastAsia="zh-CN"/>
        </w:rPr>
        <w:t>：</w:t>
      </w:r>
      <w:r>
        <w:rPr>
          <w:rFonts w:ascii="楷体" w:hAnsi="楷体" w:eastAsia="楷体"/>
          <w:sz w:val="32"/>
          <w:szCs w:val="32"/>
        </w:rPr>
        <w:t>3320190174</w:t>
      </w:r>
    </w:p>
    <w:p w14:paraId="7998D517">
      <w:pPr>
        <w:spacing w:line="1000" w:lineRule="exact"/>
      </w:pPr>
      <w:r>
        <w:rPr>
          <w:rFonts w:hint="eastAsia" w:ascii="楷体" w:hAnsi="楷体" w:eastAsia="楷体"/>
          <w:b/>
          <w:kern w:val="2"/>
          <w:sz w:val="32"/>
          <w:szCs w:val="32"/>
          <w:lang w:val="en-US" w:eastAsia="zh-CN" w:bidi="ar-SA"/>
        </w:rPr>
        <w:t>估价报告出具日期：{{ issue_date_cn }}</w:t>
      </w:r>
      <w:r>
        <w:rPr>
          <w:rFonts w:hint="eastAsia" w:ascii="楷体" w:hAnsi="楷体" w:eastAsia="楷体"/>
          <w:kern w:val="2"/>
          <w:sz w:val="32"/>
          <w:szCs w:val="32"/>
          <w:lang w:val="en-US" w:eastAsia="zh-CN" w:bidi="ar-SA"/>
        </w:rPr>
        <w:t/>
      </w:r>
    </w:p>
    <w:p w14:paraId="67650D81">
      <w:pPr>
        <w:jc w:val="center"/>
        <w:rPr>
          <w:rFonts w:hint="eastAsia" w:ascii="楷体" w:hAnsi="楷体" w:eastAsia="楷体"/>
          <w:b/>
          <w:sz w:val="44"/>
          <w:szCs w:val="44"/>
        </w:rPr>
        <w:sectPr>
          <w:headerReference r:id="rId3" w:type="default"/>
          <w:footerReference r:id="rId4" w:type="default"/>
          <w:type w:val="continuous"/>
          <w:pgSz w:w="11906" w:h="16838"/>
          <w:pgMar w:top="1418" w:right="1134" w:bottom="1134" w:left="1418" w:header="850" w:footer="851" w:gutter="284"/>
          <w:pgNumType w:chapStyle="1"/>
          <w:cols w:space="720" w:num="1"/>
          <w:docGrid w:type="lines" w:linePitch="312" w:charSpace="0"/>
        </w:sectPr>
      </w:pPr>
    </w:p>
    <w:p w14:paraId="2F99877D">
      <w:pPr>
        <w:spacing w:before="312" w:beforeLines="100"/>
        <w:jc w:val="center"/>
        <w:rPr>
          <w:rFonts w:hint="eastAsia" w:ascii="楷体" w:hAnsi="楷体" w:eastAsia="楷体"/>
          <w:b/>
          <w:sz w:val="44"/>
          <w:szCs w:val="44"/>
        </w:rPr>
      </w:pPr>
      <w:r>
        <w:rPr>
          <w:rFonts w:hint="eastAsia" w:ascii="楷体" w:hAnsi="楷体" w:eastAsia="楷体"/>
          <w:b/>
          <w:sz w:val="44"/>
          <w:szCs w:val="44"/>
        </w:rPr>
        <w:t>致估价委托人函</w:t>
      </w:r>
    </w:p>
    <w:p w14:paraId="523D8C00">
      <w:pPr>
        <w:spacing w:before="156" w:beforeLines="50" w:line="510" w:lineRule="exact"/>
        <w:jc w:val="left"/>
        <w:outlineLvl w:val="1"/>
      </w:pPr>
      <w:bookmarkStart w:id="3" w:name="_Toc30128_ai"/>
      <w:bookmarkStart w:id="4" w:name="_Toc221711012_ai"/>
      <w:bookmarkStart w:id="5" w:name="_Toc221710846_ai"/>
      <w:r>
        <w:rPr>
          <w:rFonts w:hint="eastAsia" w:ascii="楷体" w:hAnsi="楷体" w:eastAsia="楷体"/>
          <w:b/>
          <w:kern w:val="2"/>
          <w:sz w:val="28"/>
          <w:szCs w:val="28"/>
          <w:lang w:val="en-US" w:eastAsia="zh-CN" w:bidi="ar-SA"/>
        </w:rPr>
        <w:t>{{ owner }}：</w:t>
      </w:r>
      <w:bookmarkEnd w:id="3"/>
      <w:bookmarkEnd w:id="4"/>
      <w:bookmarkEnd w:id="5"/>
    </w:p>
    <w:p w14:paraId="47A92887">
      <w:pPr>
        <w:spacing w:line="500" w:lineRule="exact"/>
        <w:ind w:firstLine="560" w:firstLineChars="2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受贵方的委托，我公司对{{ owner }}位于{{ address }}的土地进行了租赁价值评估。现综述如下：</w:t>
      </w:r>
    </w:p>
    <w:p w14:paraId="24035015">
      <w:pPr>
        <w:snapToGrid w:val="0"/>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估价目的</w:t>
      </w:r>
      <w:r>
        <w:rPr>
          <w:rFonts w:hint="eastAsia" w:ascii="楷体" w:hAnsi="楷体" w:eastAsia="楷体" w:cs="仿宋"/>
          <w:sz w:val="28"/>
          <w:szCs w:val="28"/>
        </w:rPr>
        <w:t>：为委托人确定拟出租房地产市场租金提供价格参考，而评估房地产租赁价值。</w:t>
      </w:r>
    </w:p>
    <w:p w14:paraId="2F443BCD">
      <w:pPr>
        <w:spacing w:line="500" w:lineRule="exact"/>
        <w:ind w:right="97" w:rightChars="46" w:firstLine="561" w:firstLineChars="200"/>
        <w:rPr>
          <w:rFonts w:hint="eastAsia" w:ascii="楷体" w:hAnsi="楷体" w:eastAsia="楷体" w:cs="仿宋"/>
          <w:kern w:val="2"/>
          <w:sz w:val="28"/>
          <w:szCs w:val="28"/>
          <w:lang w:val="en-US" w:eastAsia="zh-CN" w:bidi="ar-SA"/>
        </w:rPr>
      </w:pPr>
      <w:bookmarkStart w:id="6" w:name="OLE_LINK4"/>
      <w:r>
        <w:rPr>
          <w:rFonts w:hint="eastAsia" w:ascii="楷体" w:hAnsi="楷体" w:eastAsia="楷体"/>
          <w:b/>
          <w:kern w:val="2"/>
          <w:sz w:val="28"/>
          <w:szCs w:val="28"/>
          <w:lang w:val="en-US" w:eastAsia="zh-CN" w:bidi="ar-SA"/>
        </w:rPr>
        <w:t>估价对象：{{ owner }}位于{{ address }}的土地。估价对象未取得《不动产权证》，根据《委托评估协议书》记载估价对象基本情况如下：</w:t>
      </w:r>
      <w:r>
        <w:rPr>
          <w:rFonts w:hint="eastAsia" w:ascii="楷体" w:hAnsi="楷体" w:eastAsia="楷体" w:cs="宋体"/>
          <w:kern w:val="2"/>
          <w:sz w:val="28"/>
          <w:szCs w:val="28"/>
          <w:lang w:val="en-US" w:eastAsia="zh-CN" w:bidi="ar-SA"/>
        </w:rPr>
        <w:t/>
      </w:r>
      <w:bookmarkStart w:id="7" w:name="OLE_LINK1_ai"/>
      <w:r>
        <w:rPr>
          <w:rFonts w:hint="eastAsia" w:ascii="楷体" w:hAnsi="楷体" w:eastAsia="楷体" w:cs="宋体"/>
          <w:kern w:val="2"/>
          <w:sz w:val="28"/>
          <w:szCs w:val="28"/>
          <w:lang w:val="en-US" w:eastAsia="zh-CN" w:bidi="ar-SA"/>
        </w:rPr>
        <w:t/>
      </w:r>
      <w:bookmarkEnd w:id="7"/>
      <w:r>
        <w:rPr>
          <w:rFonts w:hint="eastAsia" w:ascii="楷体" w:hAnsi="楷体" w:eastAsia="楷体" w:cs="宋体"/>
          <w:kern w:val="2"/>
          <w:sz w:val="28"/>
          <w:szCs w:val="28"/>
          <w:lang w:val="en-US" w:eastAsia="zh-CN" w:bidi="ar-SA"/>
        </w:rPr>
        <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2579"/>
        <w:gridCol w:w="2464"/>
        <w:gridCol w:w="1520"/>
        <w:gridCol w:w="1987"/>
      </w:tblGrid>
      <w:tr w14:paraId="7FAFC0AE">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CAD87F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8A797F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6"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35515E9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5D1AA42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69"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70914D1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面积（亩）</w:t>
            </w:r>
          </w:p>
        </w:tc>
      </w:tr>
      <w:tr w14:paraId="16219B8E">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1638D2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7CEDA53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18E16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7E324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E5099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r w14:paraId="16219B8E">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1638D2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7CEDA53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18E16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7E324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E5099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16219B8E">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1638D2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7CEDA53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6"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218E16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57E324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69"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0E5099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bl>
    <w:p w14:paraId="7894E5DE"/>
    <w:bookmarkEnd w:id="6"/>
    <w:p w14:paraId="6180B667">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本次估价范围包含土地使用权，不包含水电费、债权债务、特许经营权等其他权利。</w:t>
      </w:r>
      <w:bookmarkStart w:id="8" w:name="OLE_LINK4_ai"/>
      <w:bookmarkEnd w:id="8"/>
    </w:p>
    <w:p w14:paraId="4AEFB794">
      <w:pPr>
        <w:spacing w:line="500" w:lineRule="exact"/>
        <w:ind w:right="97" w:rightChars="46" w:firstLine="561" w:firstLineChars="200"/>
        <w:rPr>
          <w:rFonts w:hint="eastAsia" w:ascii="楷体" w:hAnsi="楷体" w:eastAsia="楷体" w:cs="仿宋"/>
          <w:kern w:val="2"/>
          <w:sz w:val="28"/>
          <w:szCs w:val="28"/>
          <w:lang w:val="en-US" w:eastAsia="zh-CN" w:bidi="ar-SA"/>
        </w:rPr>
      </w:pPr>
      <w:r>
        <w:rPr>
          <w:rFonts w:hint="eastAsia" w:ascii="楷体" w:hAnsi="楷体" w:eastAsia="楷体"/>
          <w:b/>
          <w:kern w:val="2"/>
          <w:sz w:val="28"/>
          <w:szCs w:val="28"/>
          <w:lang w:val="en-US" w:eastAsia="zh-CN" w:bidi="ar-SA"/>
        </w:rPr>
        <w:t>价值时点</w:t>
      </w:r>
      <w:r>
        <w:rPr>
          <w:rFonts w:hint="eastAsia" w:ascii="楷体" w:hAnsi="楷体" w:eastAsia="楷体" w:cs="宋体"/>
          <w:kern w:val="2"/>
          <w:sz w:val="28"/>
          <w:szCs w:val="28"/>
          <w:lang w:val="en-US" w:eastAsia="zh-CN" w:bidi="ar-SA"/>
        </w:rPr>
        <w:t>：2026年4月20日（实地查勘之日）。</w:t>
      </w:r>
    </w:p>
    <w:p w14:paraId="07431C33">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价值类型</w:t>
      </w:r>
      <w:r>
        <w:rPr>
          <w:rFonts w:hint="eastAsia" w:ascii="楷体" w:hAnsi="楷体" w:eastAsia="楷体" w:cs="仿宋"/>
          <w:sz w:val="28"/>
          <w:szCs w:val="28"/>
        </w:rPr>
        <w:t>：市场租赁价值。</w:t>
      </w:r>
    </w:p>
    <w:p w14:paraId="3EFF3E7C">
      <w:pPr>
        <w:spacing w:line="500" w:lineRule="exact"/>
        <w:ind w:right="97" w:rightChars="46" w:firstLine="561" w:firstLineChars="200"/>
        <w:rPr>
          <w:rFonts w:hint="eastAsia" w:ascii="楷体" w:hAnsi="楷体" w:eastAsia="楷体" w:cs="仿宋"/>
          <w:sz w:val="28"/>
          <w:szCs w:val="28"/>
        </w:rPr>
      </w:pPr>
      <w:r>
        <w:rPr>
          <w:rFonts w:hint="eastAsia" w:ascii="楷体" w:hAnsi="楷体" w:eastAsia="楷体" w:cs="仿宋"/>
          <w:b/>
          <w:sz w:val="28"/>
          <w:szCs w:val="28"/>
        </w:rPr>
        <w:t>估价方法</w:t>
      </w:r>
      <w:r>
        <w:rPr>
          <w:rFonts w:hint="eastAsia" w:ascii="楷体" w:hAnsi="楷体" w:eastAsia="楷体" w:cs="仿宋"/>
          <w:sz w:val="28"/>
          <w:szCs w:val="28"/>
        </w:rPr>
        <w:t>：比较法。</w:t>
      </w:r>
    </w:p>
    <w:p w14:paraId="7930A85A">
      <w:pPr>
        <w:snapToGrid w:val="0"/>
        <w:spacing w:line="500" w:lineRule="exact"/>
        <w:ind w:left="71" w:leftChars="0" w:firstLine="493" w:firstLineChars="176"/>
        <w:jc w:val="left"/>
        <w:rPr>
          <w:rFonts w:hint="eastAsia" w:ascii="楷体" w:hAnsi="楷体" w:eastAsia="楷体" w:cs="仿宋"/>
          <w:b/>
          <w:bCs/>
          <w:kern w:val="2"/>
          <w:sz w:val="28"/>
          <w:szCs w:val="28"/>
          <w:lang w:val="en-US" w:eastAsia="zh-CN" w:bidi="ar-SA"/>
        </w:rPr>
      </w:pPr>
      <w:r>
        <w:rPr>
          <w:rFonts w:hint="eastAsia" w:ascii="楷体" w:hAnsi="楷体" w:eastAsia="楷体"/>
          <w:b/>
          <w:kern w:val="2"/>
          <w:sz w:val="28"/>
          <w:szCs w:val="28"/>
          <w:lang w:val="en-US" w:eastAsia="zh-CN" w:bidi="ar-SA"/>
        </w:rPr>
        <w:t>估价结果：我公司根据估价目的，遵循估价原则，采用上述方法，在认真分析估价委托人提供的资料以及估价人员实地查勘和市场调查取得的资料基础上，对影响房地产价值的因素进行了分析，经过测算，结合估价经验，于价值时点在满足所有估价假设和限制条件下，确定估价对象的年租赁价值为{{ total_value }}元，大写：人民币{{ total_value_capital }}，详见下表。</w:t>
      </w:r>
      <w:r>
        <w:rPr>
          <w:rFonts w:hint="eastAsia" w:ascii="楷体" w:hAnsi="楷体" w:eastAsia="楷体" w:cs="宋体"/>
          <w:kern w:val="2"/>
          <w:sz w:val="28"/>
          <w:szCs w:val="28"/>
          <w:lang w:val="en-US" w:eastAsia="zh-CN" w:bidi="ar-SA"/>
        </w:rPr>
        <w:t/>
      </w:r>
      <w:r>
        <w:rPr>
          <w:rFonts w:hint="eastAsia" w:ascii="楷体" w:hAnsi="楷体" w:eastAsia="楷体"/>
          <w:b/>
          <w:kern w:val="2"/>
          <w:sz w:val="28"/>
          <w:szCs w:val="28"/>
          <w:lang w:val="en-US" w:eastAsia="zh-CN" w:bidi="ar-SA"/>
        </w:rPr>
        <w:t/>
      </w:r>
    </w:p>
    <w:p w14:paraId="0811C221">
      <w:pPr>
        <w:snapToGrid w:val="0"/>
        <w:spacing w:line="500" w:lineRule="exact"/>
        <w:ind w:left="71" w:firstLine="493" w:firstLineChars="176"/>
        <w:jc w:val="left"/>
        <w:rPr>
          <w:rFonts w:hint="eastAsia" w:ascii="楷体" w:hAnsi="楷体" w:eastAsia="楷体" w:cs="仿宋"/>
          <w:b/>
          <w:bCs/>
          <w:sz w:val="28"/>
          <w:szCs w:val="28"/>
        </w:rPr>
      </w:pPr>
    </w:p>
    <w:p w14:paraId="0AAA4C44">
      <w:pPr>
        <w:snapToGrid w:val="0"/>
        <w:spacing w:line="500" w:lineRule="exact"/>
        <w:ind w:left="71" w:firstLine="493" w:firstLineChars="176"/>
        <w:jc w:val="left"/>
        <w:rPr>
          <w:rFonts w:hint="eastAsia" w:ascii="楷体" w:hAnsi="楷体" w:eastAsia="楷体" w:cs="仿宋"/>
          <w:b/>
          <w:bCs/>
          <w:sz w:val="28"/>
          <w:szCs w:val="28"/>
        </w:rPr>
      </w:pPr>
    </w:p>
    <w:p w14:paraId="18B90AA9">
      <w:pPr>
        <w:snapToGrid w:val="0"/>
        <w:spacing w:line="500" w:lineRule="exact"/>
        <w:ind w:left="71" w:firstLine="493" w:firstLineChars="176"/>
        <w:jc w:val="left"/>
        <w:rPr>
          <w:rFonts w:hint="eastAsia" w:ascii="楷体" w:hAnsi="楷体" w:eastAsia="楷体" w:cs="仿宋"/>
          <w:b/>
          <w:bCs/>
          <w:sz w:val="28"/>
          <w:szCs w:val="28"/>
        </w:rPr>
      </w:pPr>
    </w:p>
    <w:tbl>
      <w:tblPr>
        <w:tblStyle w:val="28"/>
        <w:tblW w:w="513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9"/>
        <w:gridCol w:w="2361"/>
        <w:gridCol w:w="1775"/>
        <w:gridCol w:w="1084"/>
        <w:gridCol w:w="1334"/>
        <w:gridCol w:w="1361"/>
        <w:gridCol w:w="1266"/>
      </w:tblGrid>
      <w:tr w14:paraId="51162719">
        <w:trPr>
          <w:trHeight w:val="720" w:hRule="atLeast"/>
          <w:jc w:val="center"/>
        </w:trPr>
        <w:tc>
          <w:tcPr>
            <w:tcW w:w="183"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C742F8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23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2D51B93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93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58EF09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56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58F4E6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699"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6E826B0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面积（亩）</w:t>
            </w:r>
          </w:p>
        </w:tc>
        <w:tc>
          <w:tcPr>
            <w:tcW w:w="71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4503C46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年租赁单价       （元/亩・年）</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0B7EC07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年租赁价值（元）</w:t>
            </w:r>
          </w:p>
        </w:tc>
      </w:tr>
      <w:tr w14:paraId="49B8AD86">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5F0DB3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1BC87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1062FD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A6115F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0B8E8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90E33D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1400</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526650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70000</w:t>
            </w:r>
          </w:p>
        </w:tc>
      </w:tr>
      <w:tr w14:paraId="49B8AD86">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5F0DB3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1BC87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1062FD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A6115F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0B8E8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90E33D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s.unit_price }}</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526650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s.annual_value }}</w:t>
            </w:r>
          </w:p>
        </w:tc>
      </w:tr>
      <w:tr w14:paraId="49B8AD86">
        <w:trPr>
          <w:trHeight w:val="285"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75F0DB3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01BC87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1062FD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A6115F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0B8E8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90E33D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1400</w:t>
            </w:r>
          </w:p>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2526650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70000</w:t>
            </w:r>
          </w:p>
        </w:tc>
      </w:tr>
      <w:tr w14:paraId="05E73AC6">
        <w:trPr>
          <w:trHeight w:val="582" w:hRule="atLeast"/>
          <w:jc w:val="center"/>
        </w:trPr>
        <w:tc>
          <w:tcPr>
            <w:tcW w:w="183"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BE4F732"/>
        </w:tc>
        <w:tc>
          <w:tcPr>
            <w:tcW w:w="123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4DF5ED7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合计</w:t>
            </w:r>
          </w:p>
        </w:tc>
        <w:tc>
          <w:tcPr>
            <w:tcW w:w="93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649A749F"/>
        </w:tc>
        <w:tc>
          <w:tcPr>
            <w:tcW w:w="56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4CB076D2"/>
        </w:tc>
        <w:tc>
          <w:tcPr>
            <w:tcW w:w="699" w:type="pct"/>
            <w:tcBorders>
              <w:top w:val="single" w:color="000000" w:sz="4" w:space="0"/>
              <w:left w:val="single" w:color="auto" w:sz="4" w:space="0"/>
              <w:bottom w:val="single" w:color="000000" w:sz="4" w:space="0"/>
              <w:right w:val="single" w:color="auto" w:sz="4" w:space="0"/>
            </w:tcBorders>
            <w:noWrap w:val="0"/>
            <w:tcMar>
              <w:left w:w="108" w:type="dxa"/>
              <w:right w:w="108" w:type="dxa"/>
            </w:tcMar>
            <w:vAlign w:val="center"/>
          </w:tcPr>
          <w:p w14:paraId="0F36C27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total_area }}</w:t>
            </w:r>
          </w:p>
        </w:tc>
        <w:tc>
          <w:tcPr>
            <w:tcW w:w="714" w:type="pct"/>
            <w:tcBorders>
              <w:top w:val="single" w:color="000000" w:sz="4" w:space="0"/>
              <w:left w:val="single" w:color="auto" w:sz="4" w:space="0"/>
              <w:bottom w:val="single" w:color="000000" w:sz="4" w:space="0"/>
              <w:right w:val="single" w:color="000000" w:sz="4" w:space="0"/>
            </w:tcBorders>
            <w:noWrap w:val="0"/>
            <w:tcMar>
              <w:left w:w="108" w:type="dxa"/>
              <w:right w:w="108" w:type="dxa"/>
            </w:tcMar>
            <w:vAlign w:val="center"/>
          </w:tcPr>
          <w:p w14:paraId="46C0E897"/>
        </w:tc>
        <w:tc>
          <w:tcPr>
            <w:tcW w:w="664"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5FF4E1C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total_value }}</w:t>
            </w:r>
          </w:p>
        </w:tc>
      </w:tr>
    </w:tbl>
    <w:p w14:paraId="2FCC5BFD"/>
    <w:p w14:paraId="74452FED">
      <w:pPr>
        <w:spacing w:line="500" w:lineRule="exact"/>
        <w:ind w:firstLine="561" w:firstLineChars="200"/>
        <w:rPr>
          <w:rFonts w:hint="eastAsia" w:ascii="楷体" w:hAnsi="楷体" w:eastAsia="楷体" w:cs="仿宋"/>
          <w:b/>
          <w:sz w:val="28"/>
          <w:szCs w:val="28"/>
        </w:rPr>
      </w:pPr>
      <w:r>
        <w:rPr>
          <w:rFonts w:hint="eastAsia" w:ascii="楷体" w:hAnsi="楷体" w:eastAsia="楷体" w:cs="仿宋"/>
          <w:b/>
          <w:sz w:val="28"/>
          <w:szCs w:val="28"/>
        </w:rPr>
        <w:t>特别提示：</w:t>
      </w:r>
    </w:p>
    <w:p w14:paraId="1FA15D1B">
      <w:pPr>
        <w:spacing w:line="500" w:lineRule="exact"/>
        <w:ind w:firstLine="560" w:firstLineChars="200"/>
        <w:rPr>
          <w:rFonts w:hint="eastAsia" w:ascii="楷体" w:hAnsi="楷体" w:eastAsia="楷体" w:cs="仿宋"/>
          <w:kern w:val="2"/>
          <w:sz w:val="28"/>
          <w:szCs w:val="28"/>
          <w:lang w:val="en-US" w:eastAsia="zh-CN" w:bidi="ar-SA"/>
        </w:rPr>
      </w:pPr>
      <w:bookmarkStart w:id="9" w:name="_Toc221710847"/>
      <w:bookmarkStart w:id="10" w:name="_Toc221711013"/>
      <w:bookmarkStart w:id="11" w:name="_Toc787"/>
      <w:r>
        <w:rPr>
          <w:rFonts w:hint="eastAsia" w:ascii="楷体" w:hAnsi="楷体" w:eastAsia="楷体" w:cs="宋体"/>
          <w:kern w:val="2"/>
          <w:sz w:val="28"/>
          <w:szCs w:val="28"/>
          <w:lang w:val="en-US" w:eastAsia="zh-CN" w:bidi="ar-SA"/>
        </w:rPr>
        <w:t>（1）本估价结果使用有效期限为从本报告出具之日起一年（{{ issue_date_cn }}至{{ validity_end_cn }}止），若未满足上述条件，需重新估价。</w:t>
      </w:r>
    </w:p>
    <w:p w14:paraId="1253FE2E">
      <w:pPr>
        <w:autoSpaceDE w:val="0"/>
        <w:autoSpaceDN w:val="0"/>
        <w:adjustRightInd w:val="0"/>
        <w:spacing w:line="500" w:lineRule="exact"/>
        <w:ind w:firstLine="560" w:firstLineChars="200"/>
        <w:jc w:val="left"/>
        <w:outlineLvl w:val="0"/>
        <w:rPr>
          <w:rFonts w:hint="eastAsia" w:ascii="楷体" w:hAnsi="楷体" w:eastAsia="楷体"/>
          <w:sz w:val="28"/>
        </w:rPr>
      </w:pPr>
      <w:r>
        <w:rPr>
          <w:rFonts w:hint="eastAsia" w:ascii="楷体" w:hAnsi="楷体" w:eastAsia="楷体" w:cs="仿宋"/>
          <w:sz w:val="28"/>
          <w:szCs w:val="28"/>
        </w:rPr>
        <w:t>（2）本次估价结果为整体租赁下的价值。</w:t>
      </w:r>
      <w:bookmarkEnd w:id="9"/>
      <w:bookmarkEnd w:id="10"/>
      <w:bookmarkEnd w:id="11"/>
    </w:p>
    <w:p w14:paraId="7B01C9CC">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lang w:eastAsia="zh-CN"/>
        </w:rPr>
        <w:t>（3）</w:t>
      </w:r>
      <w:r>
        <w:rPr>
          <w:rFonts w:hint="eastAsia" w:ascii="楷体" w:hAnsi="楷体" w:eastAsia="楷体" w:cs="仿宋"/>
          <w:sz w:val="28"/>
          <w:szCs w:val="28"/>
        </w:rPr>
        <w:t>本次估价对象未取得《不动产权证》，使用无证</w:t>
      </w:r>
      <w:r>
        <w:rPr>
          <w:rFonts w:hint="eastAsia" w:ascii="楷体" w:hAnsi="楷体" w:eastAsia="楷体" w:cs="仿宋"/>
          <w:sz w:val="28"/>
          <w:szCs w:val="28"/>
          <w:lang w:val="en-US" w:eastAsia="zh-CN"/>
        </w:rPr>
        <w:t>土地</w:t>
      </w:r>
      <w:r>
        <w:rPr>
          <w:rFonts w:hint="eastAsia" w:ascii="楷体" w:hAnsi="楷体" w:eastAsia="楷体" w:cs="仿宋"/>
          <w:sz w:val="28"/>
          <w:szCs w:val="28"/>
        </w:rPr>
        <w:t>存在一定风险，提请委托人及报告使用者注意。</w:t>
      </w:r>
    </w:p>
    <w:p w14:paraId="466D46C7">
      <w:pPr>
        <w:spacing w:line="500" w:lineRule="exact"/>
        <w:ind w:firstLine="560" w:firstLineChars="200"/>
        <w:jc w:val="left"/>
        <w:rPr>
          <w:rFonts w:hint="eastAsia" w:ascii="楷体" w:hAnsi="楷体" w:eastAsia="楷体" w:cs="仿宋"/>
          <w:sz w:val="28"/>
          <w:szCs w:val="28"/>
        </w:rPr>
      </w:pPr>
      <w:r>
        <w:rPr>
          <w:rFonts w:hint="eastAsia" w:ascii="楷体" w:hAnsi="楷体" w:eastAsia="楷体"/>
          <w:sz w:val="28"/>
          <w:lang w:eastAsia="zh-CN"/>
        </w:rPr>
        <w:t>（4）</w:t>
      </w:r>
      <w:r>
        <w:rPr>
          <w:rFonts w:hint="eastAsia" w:ascii="楷体" w:hAnsi="楷体" w:eastAsia="楷体"/>
          <w:sz w:val="28"/>
        </w:rPr>
        <w:t>本函仅为估价报告的内容摘要，请估价委托人和估价报告使用者全面仔细地阅读估价报告全文。</w:t>
      </w:r>
    </w:p>
    <w:p w14:paraId="0CB24CB1">
      <w:pPr>
        <w:spacing w:line="500" w:lineRule="exact"/>
        <w:ind w:left="420" w:leftChars="200" w:firstLine="3080" w:firstLineChars="1100"/>
        <w:rPr>
          <w:rFonts w:hint="eastAsia" w:ascii="楷体" w:hAnsi="楷体" w:eastAsia="楷体" w:cs="仿宋"/>
          <w:sz w:val="28"/>
          <w:szCs w:val="28"/>
        </w:rPr>
      </w:pPr>
    </w:p>
    <w:p w14:paraId="1ACF1658">
      <w:pPr>
        <w:spacing w:line="500" w:lineRule="exact"/>
        <w:ind w:left="420" w:leftChars="200" w:firstLine="3080" w:firstLineChars="1100"/>
        <w:rPr>
          <w:rFonts w:hint="eastAsia" w:ascii="楷体" w:hAnsi="楷体" w:eastAsia="楷体" w:cs="仿宋"/>
          <w:sz w:val="28"/>
          <w:szCs w:val="28"/>
        </w:rPr>
      </w:pPr>
      <w:r>
        <w:rPr>
          <w:rFonts w:hint="eastAsia" w:ascii="楷体" w:hAnsi="楷体" w:eastAsia="楷体" w:cs="仿宋"/>
          <w:sz w:val="28"/>
          <w:szCs w:val="28"/>
        </w:rPr>
        <w:t>浙江正恒房地产土地资产评估咨询有限公司</w:t>
      </w:r>
    </w:p>
    <w:p w14:paraId="270BA745">
      <w:pPr>
        <w:spacing w:line="500" w:lineRule="exact"/>
        <w:ind w:left="420" w:leftChars="200" w:firstLine="4760" w:firstLineChars="1700"/>
        <w:rPr>
          <w:rFonts w:hint="eastAsia" w:ascii="楷体" w:hAnsi="楷体" w:eastAsia="楷体" w:cs="仿宋"/>
          <w:sz w:val="28"/>
          <w:szCs w:val="28"/>
        </w:rPr>
      </w:pPr>
      <w:r>
        <w:rPr>
          <w:rFonts w:hint="eastAsia" w:ascii="楷体" w:hAnsi="楷体" w:eastAsia="楷体" w:cs="仿宋"/>
          <w:sz w:val="28"/>
          <w:szCs w:val="28"/>
        </w:rPr>
        <w:t>法人代表：韩伟</w:t>
      </w:r>
    </w:p>
    <w:p w14:paraId="77B064B3">
      <w:pPr>
        <w:spacing w:line="500" w:lineRule="exact"/>
        <w:ind w:firstLine="5040" w:firstLineChars="1800"/>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issue_date_cn }}</w:t>
      </w:r>
    </w:p>
    <w:p w14:paraId="44406123">
      <w:pPr>
        <w:spacing w:line="400" w:lineRule="exact"/>
        <w:rPr>
          <w:rFonts w:hint="eastAsia" w:ascii="楷体" w:hAnsi="楷体" w:eastAsia="楷体" w:cs="仿宋"/>
          <w:bCs/>
          <w:sz w:val="28"/>
          <w:szCs w:val="28"/>
        </w:rPr>
        <w:sectPr>
          <w:footerReference r:id="rId5" w:type="default"/>
          <w:pgSz w:w="11906" w:h="16838"/>
          <w:pgMar w:top="1418" w:right="1134" w:bottom="1134" w:left="1418" w:header="850" w:footer="851" w:gutter="284"/>
          <w:pgNumType w:start="1" w:chapStyle="1"/>
          <w:cols w:space="720" w:num="1"/>
          <w:docGrid w:type="lines" w:linePitch="312" w:charSpace="0"/>
        </w:sectPr>
      </w:pPr>
    </w:p>
    <w:p w14:paraId="0008A130">
      <w:pPr>
        <w:spacing w:before="312" w:beforeLines="100" w:line="480" w:lineRule="auto"/>
        <w:jc w:val="center"/>
        <w:rPr>
          <w:rFonts w:ascii="楷体" w:hAnsi="楷体" w:eastAsia="楷体"/>
          <w:b/>
          <w:sz w:val="52"/>
          <w:szCs w:val="52"/>
        </w:rPr>
      </w:pPr>
      <w:r>
        <w:rPr>
          <w:rFonts w:hint="eastAsia" w:ascii="楷体" w:hAnsi="楷体" w:eastAsia="楷体"/>
          <w:b/>
          <w:sz w:val="52"/>
          <w:szCs w:val="52"/>
        </w:rPr>
        <w:t>目 录</w:t>
      </w:r>
    </w:p>
    <w:p w14:paraId="547DDAD0">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TOC \o "1-3" \h \z \u </w:instrText>
      </w:r>
      <w:r>
        <w:rPr>
          <w:rFonts w:hint="eastAsia" w:ascii="楷体" w:hAnsi="楷体" w:eastAsia="楷体" w:cs="楷体"/>
          <w:sz w:val="28"/>
          <w:szCs w:val="28"/>
        </w:rPr>
        <w:fldChar w:fldCharType="separate"/>
      </w: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_Toc25605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估价师声明</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_Toc25605 \h </w:instrText>
      </w:r>
      <w:r>
        <w:rPr>
          <w:rFonts w:hint="eastAsia" w:ascii="楷体" w:hAnsi="楷体" w:eastAsia="楷体" w:cs="楷体"/>
          <w:sz w:val="28"/>
          <w:szCs w:val="28"/>
        </w:rPr>
        <w:fldChar w:fldCharType="separate"/>
      </w:r>
      <w:r>
        <w:rPr>
          <w:rFonts w:hint="eastAsia" w:ascii="楷体" w:hAnsi="楷体" w:eastAsia="楷体" w:cs="楷体"/>
          <w:sz w:val="28"/>
          <w:szCs w:val="28"/>
        </w:rPr>
        <w:t>1</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18108B60">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_Toc9611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估价假设和限制条件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_Toc9611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67CBD37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_Toc29912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一、一般性假设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_Toc29912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013672F">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_Toc18567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二、未定事项假设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_Toc18567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AFA5BA7">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_Toc20772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三、背离事实假设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_Toc20772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1C585BB">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_Toc4865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四、不相一致假设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_Toc4865 \h </w:instrText>
      </w:r>
      <w:r>
        <w:rPr>
          <w:rFonts w:hint="eastAsia" w:ascii="楷体" w:hAnsi="楷体" w:eastAsia="楷体" w:cs="楷体"/>
          <w:sz w:val="28"/>
          <w:szCs w:val="28"/>
        </w:rPr>
        <w:fldChar w:fldCharType="separate"/>
      </w:r>
      <w:r>
        <w:rPr>
          <w:rFonts w:hint="eastAsia" w:ascii="楷体" w:hAnsi="楷体" w:eastAsia="楷体" w:cs="楷体"/>
          <w:sz w:val="28"/>
          <w:szCs w:val="28"/>
        </w:rPr>
        <w:t>2</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928BC76">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_Toc17987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五、依据不足假设</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_Toc17987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5A23A7A">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_Toc24096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六、报告使用限制条件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_Toc24096 \h </w:instrText>
      </w:r>
      <w:r>
        <w:rPr>
          <w:rFonts w:hint="eastAsia" w:ascii="楷体" w:hAnsi="楷体" w:eastAsia="楷体" w:cs="楷体"/>
          <w:sz w:val="28"/>
          <w:szCs w:val="28"/>
        </w:rPr>
        <w:fldChar w:fldCharType="separate"/>
      </w:r>
      <w:r>
        <w:rPr>
          <w:rFonts w:hint="eastAsia" w:ascii="楷体" w:hAnsi="楷体" w:eastAsia="楷体" w:cs="楷体"/>
          <w:sz w:val="28"/>
          <w:szCs w:val="28"/>
        </w:rPr>
        <w:t>3</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0CC25CEE">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_Toc27918 </w:instrText>
      </w:r>
      <w:r>
        <w:rPr>
          <w:rFonts w:hint="eastAsia" w:ascii="楷体" w:hAnsi="楷体" w:eastAsia="楷体" w:cs="楷体"/>
          <w:bCs w:val="0"/>
          <w:sz w:val="28"/>
          <w:szCs w:val="28"/>
          <w:lang w:val="zh-CN"/>
        </w:rPr>
        <w:fldChar w:fldCharType="separate"/>
      </w:r>
      <w:r>
        <w:rPr>
          <w:rFonts w:hint="eastAsia" w:ascii="楷体" w:hAnsi="楷体" w:eastAsia="楷体" w:cs="楷体"/>
          <w:bCs/>
          <w:sz w:val="28"/>
          <w:szCs w:val="28"/>
        </w:rPr>
        <w:t>估价结果报告</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_Toc27918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34CC651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_Toc14953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一、估价委托人</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_Toc14953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61027B9">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_Toc10968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二、房地产估价机构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_Toc10968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14FEF59">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_Toc15159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三、估价目的</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_Toc15159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B9A9A3E">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_Toc25476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四、估价对象</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_Toc25476 \h </w:instrText>
      </w:r>
      <w:r>
        <w:rPr>
          <w:rFonts w:hint="eastAsia" w:ascii="楷体" w:hAnsi="楷体" w:eastAsia="楷体" w:cs="楷体"/>
          <w:sz w:val="28"/>
          <w:szCs w:val="28"/>
        </w:rPr>
        <w:fldChar w:fldCharType="separate"/>
      </w:r>
      <w:r>
        <w:rPr>
          <w:rFonts w:hint="eastAsia" w:ascii="楷体" w:hAnsi="楷体" w:eastAsia="楷体" w:cs="楷体"/>
          <w:sz w:val="28"/>
          <w:szCs w:val="28"/>
        </w:rPr>
        <w:t>5</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6D727C69">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_Toc8975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五、价值时点</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_Toc8975 \h </w:instrText>
      </w:r>
      <w:r>
        <w:rPr>
          <w:rFonts w:hint="eastAsia" w:ascii="楷体" w:hAnsi="楷体" w:eastAsia="楷体" w:cs="楷体"/>
          <w:sz w:val="28"/>
          <w:szCs w:val="28"/>
        </w:rPr>
        <w:fldChar w:fldCharType="separate"/>
      </w:r>
      <w:r>
        <w:rPr>
          <w:rFonts w:hint="eastAsia" w:ascii="楷体" w:hAnsi="楷体" w:eastAsia="楷体" w:cs="楷体"/>
          <w:sz w:val="28"/>
          <w:szCs w:val="28"/>
        </w:rPr>
        <w:t>7</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12D5782D">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_Toc11524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六、价值类型</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_Toc11524 \h </w:instrText>
      </w:r>
      <w:r>
        <w:rPr>
          <w:rFonts w:hint="eastAsia" w:ascii="楷体" w:hAnsi="楷体" w:eastAsia="楷体" w:cs="楷体"/>
          <w:sz w:val="28"/>
          <w:szCs w:val="28"/>
        </w:rPr>
        <w:fldChar w:fldCharType="separate"/>
      </w:r>
      <w:r>
        <w:rPr>
          <w:rFonts w:hint="eastAsia" w:ascii="楷体" w:hAnsi="楷体" w:eastAsia="楷体" w:cs="楷体"/>
          <w:sz w:val="28"/>
          <w:szCs w:val="28"/>
        </w:rPr>
        <w:t>7</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1E2A7C44">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_Toc8087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七、估价原则</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_Toc8087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120CD436">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_Toc6137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八、估价依据</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_Toc6137 \h </w:instrText>
      </w:r>
      <w:r>
        <w:rPr>
          <w:rFonts w:hint="eastAsia" w:ascii="楷体" w:hAnsi="楷体" w:eastAsia="楷体" w:cs="楷体"/>
          <w:sz w:val="28"/>
          <w:szCs w:val="28"/>
        </w:rPr>
        <w:fldChar w:fldCharType="separate"/>
      </w:r>
      <w:r>
        <w:rPr>
          <w:rFonts w:hint="eastAsia" w:ascii="楷体" w:hAnsi="楷体" w:eastAsia="楷体" w:cs="楷体"/>
          <w:sz w:val="28"/>
          <w:szCs w:val="28"/>
        </w:rPr>
        <w:t>8</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0F5EF55">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_Toc31282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九、估价方法</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_Toc31282 \h </w:instrText>
      </w:r>
      <w:r>
        <w:rPr>
          <w:rFonts w:hint="eastAsia" w:ascii="楷体" w:hAnsi="楷体" w:eastAsia="楷体" w:cs="楷体"/>
          <w:sz w:val="28"/>
          <w:szCs w:val="28"/>
        </w:rPr>
        <w:fldChar w:fldCharType="separate"/>
      </w:r>
      <w:r>
        <w:rPr>
          <w:rFonts w:hint="eastAsia" w:ascii="楷体" w:hAnsi="楷体" w:eastAsia="楷体" w:cs="楷体"/>
          <w:sz w:val="28"/>
          <w:szCs w:val="28"/>
        </w:rPr>
        <w:t>9</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5105212">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_Toc32348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十、估价结果</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_Toc32348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2E02A8FD">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_Toc2703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十一、注册房地产估价师</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_Toc2703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4F56AD58">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_Toc4175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十二、实地查勘期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_Toc4175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79786E30">
      <w:pPr>
        <w:pStyle w:val="23"/>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sz w:val="28"/>
          <w:szCs w:val="28"/>
          <w:lang w:val="zh-CN"/>
        </w:rPr>
        <w:fldChar w:fldCharType="begin"/>
      </w:r>
      <w:r>
        <w:rPr>
          <w:rFonts w:hint="eastAsia" w:ascii="楷体" w:hAnsi="楷体" w:eastAsia="楷体" w:cs="楷体"/>
          <w:bCs/>
          <w:sz w:val="28"/>
          <w:szCs w:val="28"/>
          <w:lang w:val="zh-CN"/>
        </w:rPr>
        <w:instrText xml:space="preserve"> HYPERLINK \l _Toc25269 </w:instrText>
      </w:r>
      <w:r>
        <w:rPr>
          <w:rFonts w:hint="eastAsia" w:ascii="楷体" w:hAnsi="楷体" w:eastAsia="楷体" w:cs="楷体"/>
          <w:bCs/>
          <w:sz w:val="28"/>
          <w:szCs w:val="28"/>
          <w:lang w:val="zh-CN"/>
        </w:rPr>
        <w:fldChar w:fldCharType="separate"/>
      </w:r>
      <w:r>
        <w:rPr>
          <w:rFonts w:hint="eastAsia" w:ascii="楷体" w:hAnsi="楷体" w:eastAsia="楷体" w:cs="楷体"/>
          <w:bCs/>
          <w:sz w:val="28"/>
          <w:szCs w:val="28"/>
        </w:rPr>
        <w:t>十三、估价作业期</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_Toc25269 \h </w:instrText>
      </w:r>
      <w:r>
        <w:rPr>
          <w:rFonts w:hint="eastAsia" w:ascii="楷体" w:hAnsi="楷体" w:eastAsia="楷体" w:cs="楷体"/>
          <w:sz w:val="28"/>
          <w:szCs w:val="28"/>
        </w:rPr>
        <w:fldChar w:fldCharType="separate"/>
      </w:r>
      <w:r>
        <w:rPr>
          <w:rFonts w:hint="eastAsia" w:ascii="楷体" w:hAnsi="楷体" w:eastAsia="楷体" w:cs="楷体"/>
          <w:sz w:val="28"/>
          <w:szCs w:val="28"/>
        </w:rPr>
        <w:t>10</w:t>
      </w:r>
      <w:r>
        <w:rPr>
          <w:rFonts w:hint="eastAsia" w:ascii="楷体" w:hAnsi="楷体" w:eastAsia="楷体" w:cs="楷体"/>
          <w:sz w:val="28"/>
          <w:szCs w:val="28"/>
        </w:rPr>
        <w:fldChar w:fldCharType="end"/>
      </w:r>
      <w:r>
        <w:rPr>
          <w:rFonts w:hint="eastAsia" w:ascii="楷体" w:hAnsi="楷体" w:eastAsia="楷体" w:cs="楷体"/>
          <w:bCs/>
          <w:sz w:val="28"/>
          <w:szCs w:val="28"/>
          <w:lang w:val="zh-CN"/>
        </w:rPr>
        <w:fldChar w:fldCharType="end"/>
      </w:r>
    </w:p>
    <w:p w14:paraId="52C96FEB">
      <w:pPr>
        <w:pStyle w:val="19"/>
        <w:keepNext w:val="0"/>
        <w:keepLines w:val="0"/>
        <w:pageBreakBefore w:val="0"/>
        <w:widowControl w:val="0"/>
        <w:tabs>
          <w:tab w:val="right" w:leader="dot" w:pos="9070"/>
        </w:tabs>
        <w:kinsoku/>
        <w:wordWrap/>
        <w:overflowPunct/>
        <w:topLinePunct w:val="0"/>
        <w:autoSpaceDE/>
        <w:autoSpaceDN/>
        <w:bidi w:val="0"/>
        <w:adjustRightInd/>
        <w:snapToGrid/>
        <w:spacing w:line="500" w:lineRule="exact"/>
        <w:textAlignment w:val="auto"/>
        <w:rPr>
          <w:rFonts w:hint="eastAsia" w:ascii="楷体" w:hAnsi="楷体" w:eastAsia="楷体" w:cs="楷体"/>
          <w:sz w:val="28"/>
          <w:szCs w:val="28"/>
        </w:rPr>
      </w:pPr>
      <w:r>
        <w:rPr>
          <w:rFonts w:hint="eastAsia" w:ascii="楷体" w:hAnsi="楷体" w:eastAsia="楷体" w:cs="楷体"/>
          <w:bCs w:val="0"/>
          <w:sz w:val="28"/>
          <w:szCs w:val="28"/>
          <w:lang w:val="zh-CN"/>
        </w:rPr>
        <w:fldChar w:fldCharType="begin"/>
      </w:r>
      <w:r>
        <w:rPr>
          <w:rFonts w:hint="eastAsia" w:ascii="楷体" w:hAnsi="楷体" w:eastAsia="楷体" w:cs="楷体"/>
          <w:bCs w:val="0"/>
          <w:sz w:val="28"/>
          <w:szCs w:val="28"/>
          <w:lang w:val="zh-CN"/>
        </w:rPr>
        <w:instrText xml:space="preserve"> HYPERLINK \l _Toc22660 </w:instrText>
      </w:r>
      <w:r>
        <w:rPr>
          <w:rFonts w:hint="eastAsia" w:ascii="楷体" w:hAnsi="楷体" w:eastAsia="楷体" w:cs="楷体"/>
          <w:bCs w:val="0"/>
          <w:sz w:val="28"/>
          <w:szCs w:val="28"/>
          <w:lang w:val="zh-CN"/>
        </w:rPr>
        <w:fldChar w:fldCharType="separate"/>
      </w:r>
      <w:r>
        <w:rPr>
          <w:rFonts w:hint="eastAsia" w:ascii="楷体" w:hAnsi="楷体" w:eastAsia="楷体" w:cs="楷体"/>
          <w:sz w:val="28"/>
          <w:szCs w:val="28"/>
        </w:rPr>
        <w:t>附 件</w:t>
      </w:r>
      <w:r>
        <w:rPr>
          <w:rFonts w:hint="eastAsia" w:ascii="楷体" w:hAnsi="楷体" w:eastAsia="楷体" w:cs="楷体"/>
          <w:sz w:val="28"/>
          <w:szCs w:val="28"/>
        </w:rPr>
        <w:tab/>
      </w:r>
      <w:r>
        <w:rPr>
          <w:rFonts w:hint="eastAsia" w:ascii="楷体" w:hAnsi="楷体" w:eastAsia="楷体" w:cs="楷体"/>
          <w:sz w:val="28"/>
          <w:szCs w:val="28"/>
        </w:rPr>
        <w:fldChar w:fldCharType="begin"/>
      </w:r>
      <w:r>
        <w:rPr>
          <w:rFonts w:hint="eastAsia" w:ascii="楷体" w:hAnsi="楷体" w:eastAsia="楷体" w:cs="楷体"/>
          <w:sz w:val="28"/>
          <w:szCs w:val="28"/>
        </w:rPr>
        <w:instrText xml:space="preserve"> PAGEREF _Toc22660 \h </w:instrText>
      </w:r>
      <w:r>
        <w:rPr>
          <w:rFonts w:hint="eastAsia" w:ascii="楷体" w:hAnsi="楷体" w:eastAsia="楷体" w:cs="楷体"/>
          <w:sz w:val="28"/>
          <w:szCs w:val="28"/>
        </w:rPr>
        <w:fldChar w:fldCharType="separate"/>
      </w:r>
      <w:r>
        <w:rPr>
          <w:rFonts w:hint="eastAsia" w:ascii="楷体" w:hAnsi="楷体" w:eastAsia="楷体" w:cs="楷体"/>
          <w:sz w:val="28"/>
          <w:szCs w:val="28"/>
        </w:rPr>
        <w:t>11</w:t>
      </w:r>
      <w:r>
        <w:rPr>
          <w:rFonts w:hint="eastAsia" w:ascii="楷体" w:hAnsi="楷体" w:eastAsia="楷体" w:cs="楷体"/>
          <w:sz w:val="28"/>
          <w:szCs w:val="28"/>
        </w:rPr>
        <w:fldChar w:fldCharType="end"/>
      </w:r>
      <w:r>
        <w:rPr>
          <w:rFonts w:hint="eastAsia" w:ascii="楷体" w:hAnsi="楷体" w:eastAsia="楷体" w:cs="楷体"/>
          <w:bCs w:val="0"/>
          <w:sz w:val="28"/>
          <w:szCs w:val="28"/>
          <w:lang w:val="zh-CN"/>
        </w:rPr>
        <w:fldChar w:fldCharType="end"/>
      </w:r>
    </w:p>
    <w:p w14:paraId="3711E07D">
      <w:pPr>
        <w:keepNext w:val="0"/>
        <w:keepLines w:val="0"/>
        <w:pageBreakBefore w:val="0"/>
        <w:widowControl w:val="0"/>
        <w:kinsoku/>
        <w:wordWrap/>
        <w:overflowPunct/>
        <w:topLinePunct w:val="0"/>
        <w:autoSpaceDE/>
        <w:autoSpaceDN/>
        <w:bidi w:val="0"/>
        <w:adjustRightInd/>
        <w:snapToGrid/>
        <w:spacing w:line="500" w:lineRule="exact"/>
        <w:textAlignment w:val="auto"/>
      </w:pPr>
      <w:r>
        <w:rPr>
          <w:rFonts w:hint="eastAsia" w:ascii="楷体" w:hAnsi="楷体" w:eastAsia="楷体" w:cs="楷体"/>
          <w:bCs/>
          <w:sz w:val="28"/>
          <w:szCs w:val="28"/>
          <w:lang w:val="zh-CN"/>
        </w:rPr>
        <w:fldChar w:fldCharType="end"/>
      </w:r>
    </w:p>
    <w:p w14:paraId="2799A0DE">
      <w:pPr>
        <w:rPr>
          <w:rFonts w:ascii="楷体" w:hAnsi="楷体" w:eastAsia="楷体"/>
          <w:bCs/>
          <w:sz w:val="44"/>
          <w:szCs w:val="44"/>
        </w:rPr>
        <w:sectPr>
          <w:footerReference r:id="rId6" w:type="default"/>
          <w:pgSz w:w="11906" w:h="16838"/>
          <w:pgMar w:top="1418" w:right="1134" w:bottom="1134" w:left="1418" w:header="851" w:footer="851" w:gutter="284"/>
          <w:pgNumType w:start="1" w:chapStyle="1"/>
          <w:cols w:space="720" w:num="1"/>
          <w:docGrid w:type="lines" w:linePitch="312" w:charSpace="0"/>
        </w:sectPr>
      </w:pPr>
    </w:p>
    <w:p w14:paraId="2BAAAA18">
      <w:pPr>
        <w:spacing w:before="312" w:beforeLines="100" w:after="156" w:afterLines="50" w:line="360" w:lineRule="auto"/>
        <w:jc w:val="center"/>
        <w:outlineLvl w:val="0"/>
        <w:rPr>
          <w:rFonts w:hint="eastAsia" w:ascii="楷体" w:hAnsi="楷体" w:eastAsia="楷体"/>
          <w:bCs/>
          <w:sz w:val="28"/>
          <w:szCs w:val="28"/>
        </w:rPr>
      </w:pPr>
      <w:bookmarkStart w:id="12" w:name="_Toc484941653"/>
      <w:bookmarkStart w:id="13" w:name="_Toc505087745"/>
      <w:bookmarkStart w:id="14" w:name="_Toc25605"/>
      <w:bookmarkStart w:id="15" w:name="_Toc221710848"/>
      <w:r>
        <w:rPr>
          <w:rFonts w:hint="eastAsia" w:ascii="楷体" w:hAnsi="楷体" w:eastAsia="楷体"/>
          <w:b/>
          <w:bCs/>
          <w:sz w:val="48"/>
          <w:szCs w:val="48"/>
        </w:rPr>
        <w:t>估价师声明</w:t>
      </w:r>
      <w:bookmarkEnd w:id="12"/>
      <w:bookmarkEnd w:id="13"/>
      <w:bookmarkEnd w:id="14"/>
      <w:bookmarkEnd w:id="15"/>
    </w:p>
    <w:p w14:paraId="4FEB135E">
      <w:pPr>
        <w:spacing w:line="500" w:lineRule="exact"/>
        <w:jc w:val="left"/>
        <w:rPr>
          <w:rFonts w:hint="eastAsia" w:ascii="楷体" w:hAnsi="楷体" w:eastAsia="楷体"/>
          <w:bCs/>
          <w:sz w:val="28"/>
          <w:szCs w:val="28"/>
        </w:rPr>
      </w:pPr>
      <w:r>
        <w:rPr>
          <w:rFonts w:hint="eastAsia" w:ascii="楷体" w:hAnsi="楷体" w:eastAsia="楷体"/>
          <w:bCs/>
          <w:sz w:val="28"/>
          <w:szCs w:val="28"/>
        </w:rPr>
        <w:t>估价师郑重声明：</w:t>
      </w:r>
    </w:p>
    <w:p w14:paraId="33E24C33">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1.</w:t>
      </w:r>
      <w:r>
        <w:rPr>
          <w:rFonts w:hint="eastAsia" w:ascii="楷体" w:hAnsi="楷体" w:eastAsia="楷体"/>
          <w:bCs/>
          <w:sz w:val="28"/>
          <w:szCs w:val="28"/>
        </w:rPr>
        <w:t>注册房地产估价师在本估价报告中陈述的事实是真实和准确的，没有虚假记载、误导性陈述和重大遗漏。</w:t>
      </w:r>
    </w:p>
    <w:p w14:paraId="633FCB56">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2.</w:t>
      </w:r>
      <w:r>
        <w:rPr>
          <w:rFonts w:hint="eastAsia" w:ascii="楷体" w:hAnsi="楷体" w:eastAsia="楷体"/>
          <w:bCs/>
          <w:sz w:val="28"/>
          <w:szCs w:val="28"/>
        </w:rPr>
        <w:t>本估价报告中的分析、意见和结论是注册房地产估价师独立、客观、公正的专业分析、意见和结论，在估价中做到勤勉尽责，但受到本估价报告中已说明的估价假设和限制条件的限制。</w:t>
      </w:r>
    </w:p>
    <w:p w14:paraId="4D635E56">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3.</w:t>
      </w:r>
      <w:r>
        <w:rPr>
          <w:rFonts w:hint="eastAsia" w:ascii="楷体" w:hAnsi="楷体" w:eastAsia="楷体"/>
          <w:bCs/>
          <w:sz w:val="28"/>
          <w:szCs w:val="28"/>
        </w:rPr>
        <w:t>注册房地产估价师与估价报告中的估价委托人没有利害关系，与估价报告中的估价对象及有关当事人也没有个人利害关系或偏见。</w:t>
      </w:r>
    </w:p>
    <w:p w14:paraId="1B725F12">
      <w:pPr>
        <w:spacing w:line="500" w:lineRule="exact"/>
        <w:ind w:right="97" w:rightChars="46"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4.</w:t>
      </w:r>
      <w:r>
        <w:rPr>
          <w:rFonts w:hint="eastAsia" w:ascii="楷体" w:hAnsi="楷体" w:eastAsia="楷体"/>
          <w:bCs/>
          <w:sz w:val="28"/>
          <w:szCs w:val="28"/>
        </w:rPr>
        <w:t>注册房地产估价师依照中华人民共和国国家标准《房地产估价规范》（GB/T50291-2015）、《房地产估价基本术语标准》（GB/T50899-2013）进行分析，形成意见和结论，撰写本估价报告。</w:t>
      </w:r>
    </w:p>
    <w:p w14:paraId="28E0FB41">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5.注册房地产估价师及现场查勘记录人员郑伟娜已对本报告中的估价对象进行了实地查勘。但仅限于对估价对象的外观和使用状况。注册房地产估价师不承担对估价对象建筑结构、质量进行调查的责任，也不承担其他被遮盖未暴露及难以接触到的部分进行查勘的责任。报告中对估价对象权属情况的披露不能作为对其权属确认的依据，估价对象权属界定以有关管理部门认定为准。</w:t>
      </w:r>
    </w:p>
    <w:tbl>
      <w:tblPr>
        <w:tblStyle w:val="28"/>
        <w:tblW w:w="9087"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283"/>
      </w:tblGrid>
      <w:tr w14:paraId="2FE6702F">
        <w:trPr>
          <w:wBefore w:w="0" w:type="auto"/>
          <w:wAfter w:w="0" w:type="auto"/>
          <w:trHeight w:val="611" w:hRule="exact"/>
        </w:trPr>
        <w:tc>
          <w:tcPr>
            <w:tcW w:w="1640" w:type="dxa"/>
            <w:noWrap w:val="0"/>
            <w:vAlign w:val="center"/>
          </w:tcPr>
          <w:p w14:paraId="3D8FB4CD">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r>
              <w:rPr>
                <w:rFonts w:hint="eastAsia" w:ascii="楷体" w:hAnsi="楷体" w:eastAsia="楷体" w:cs="宋体"/>
                <w:sz w:val="28"/>
                <w:szCs w:val="28"/>
              </w:rPr>
              <w:t>姓 名</w:t>
            </w:r>
          </w:p>
        </w:tc>
        <w:tc>
          <w:tcPr>
            <w:tcW w:w="2092" w:type="dxa"/>
            <w:noWrap w:val="0"/>
            <w:vAlign w:val="center"/>
          </w:tcPr>
          <w:p w14:paraId="4613FE92">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7D1446A0">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283" w:type="dxa"/>
            <w:noWrap w:val="0"/>
            <w:vAlign w:val="center"/>
          </w:tcPr>
          <w:p w14:paraId="7DF1A3D3">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114FAC9E">
        <w:trPr>
          <w:wBefore w:w="0" w:type="auto"/>
          <w:wAfter w:w="0" w:type="auto"/>
          <w:trHeight w:val="1259" w:hRule="exact"/>
        </w:trPr>
        <w:tc>
          <w:tcPr>
            <w:tcW w:w="1640" w:type="dxa"/>
            <w:noWrap w:val="0"/>
            <w:vAlign w:val="center"/>
          </w:tcPr>
          <w:p w14:paraId="72E28823">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6097A5C4">
            <w:pPr>
              <w:tabs>
                <w:tab w:val="left" w:pos="8931"/>
                <w:tab w:val="left" w:pos="9214"/>
                <w:tab w:val="left" w:pos="9240"/>
              </w:tabs>
              <w:spacing w:line="440" w:lineRule="exact"/>
              <w:ind w:left="105" w:leftChars="50" w:right="168" w:rightChars="80"/>
              <w:rPr>
                <w:rFonts w:hint="eastAsia"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0420A8CE">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656ABDD5">
            <w:pPr>
              <w:tabs>
                <w:tab w:val="left" w:pos="8931"/>
                <w:tab w:val="left" w:pos="9214"/>
                <w:tab w:val="left" w:pos="9240"/>
              </w:tabs>
              <w:spacing w:line="440" w:lineRule="exact"/>
              <w:ind w:left="105" w:leftChars="50" w:right="168" w:rightChars="80"/>
              <w:rPr>
                <w:rFonts w:ascii="楷体" w:hAnsi="楷体" w:eastAsia="楷体"/>
                <w:sz w:val="28"/>
              </w:rPr>
            </w:pPr>
          </w:p>
        </w:tc>
      </w:tr>
      <w:tr w14:paraId="3E87910D">
        <w:trPr>
          <w:wBefore w:w="0" w:type="auto"/>
          <w:wAfter w:w="0" w:type="auto"/>
          <w:trHeight w:val="1406" w:hRule="exact"/>
        </w:trPr>
        <w:tc>
          <w:tcPr>
            <w:tcW w:w="1640" w:type="dxa"/>
            <w:noWrap w:val="0"/>
            <w:vAlign w:val="center"/>
          </w:tcPr>
          <w:p w14:paraId="448E4694">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2C1F5694">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6C037BC3">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283" w:type="dxa"/>
            <w:noWrap w:val="0"/>
            <w:vAlign w:val="center"/>
          </w:tcPr>
          <w:p w14:paraId="26E3E4D9">
            <w:pPr>
              <w:tabs>
                <w:tab w:val="left" w:pos="8931"/>
                <w:tab w:val="left" w:pos="9214"/>
                <w:tab w:val="left" w:pos="9240"/>
              </w:tabs>
              <w:spacing w:line="440" w:lineRule="exact"/>
              <w:ind w:left="105" w:leftChars="50" w:right="168" w:rightChars="80"/>
              <w:rPr>
                <w:rFonts w:ascii="楷体" w:hAnsi="楷体" w:eastAsia="楷体"/>
                <w:sz w:val="28"/>
              </w:rPr>
            </w:pPr>
          </w:p>
        </w:tc>
      </w:tr>
    </w:tbl>
    <w:p w14:paraId="3D854C1E">
      <w:pPr>
        <w:spacing w:before="312" w:beforeLines="100" w:after="156" w:afterLines="50" w:line="240" w:lineRule="exact"/>
        <w:outlineLvl w:val="0"/>
        <w:rPr>
          <w:rFonts w:hint="eastAsia" w:ascii="楷体" w:hAnsi="楷体" w:eastAsia="楷体"/>
          <w:b/>
          <w:bCs/>
          <w:sz w:val="48"/>
          <w:szCs w:val="48"/>
        </w:rPr>
      </w:pPr>
      <w:bookmarkStart w:id="16" w:name="_Toc505087746"/>
      <w:bookmarkStart w:id="17" w:name="_Toc484941654"/>
    </w:p>
    <w:p w14:paraId="1E8E4629">
      <w:pPr>
        <w:spacing w:after="156" w:afterLines="50" w:line="360" w:lineRule="auto"/>
        <w:ind w:firstLine="2402" w:firstLineChars="500"/>
        <w:outlineLvl w:val="0"/>
        <w:rPr>
          <w:rFonts w:ascii="楷体" w:hAnsi="楷体" w:eastAsia="楷体"/>
          <w:b/>
          <w:bCs/>
          <w:sz w:val="48"/>
          <w:szCs w:val="48"/>
        </w:rPr>
        <w:sectPr>
          <w:footerReference r:id="rId7" w:type="default"/>
          <w:pgSz w:w="11906" w:h="16838"/>
          <w:pgMar w:top="1418" w:right="1134" w:bottom="1134" w:left="1418" w:header="851" w:footer="851" w:gutter="284"/>
          <w:pgNumType w:start="1" w:chapStyle="1"/>
          <w:cols w:space="720" w:num="1"/>
          <w:docGrid w:type="lines" w:linePitch="312" w:charSpace="0"/>
        </w:sectPr>
      </w:pPr>
    </w:p>
    <w:p w14:paraId="56E0C0F8">
      <w:pPr>
        <w:spacing w:before="468" w:beforeLines="150" w:line="480" w:lineRule="auto"/>
        <w:ind w:firstLine="2402" w:firstLineChars="500"/>
        <w:outlineLvl w:val="0"/>
        <w:rPr>
          <w:rFonts w:hint="eastAsia" w:ascii="楷体" w:hAnsi="楷体" w:eastAsia="楷体"/>
          <w:b/>
          <w:bCs/>
          <w:sz w:val="48"/>
          <w:szCs w:val="48"/>
        </w:rPr>
      </w:pPr>
      <w:bookmarkStart w:id="18" w:name="_Toc221710849"/>
      <w:bookmarkStart w:id="19" w:name="_Toc9611"/>
      <w:r>
        <w:rPr>
          <w:rFonts w:hint="eastAsia" w:ascii="楷体" w:hAnsi="楷体" w:eastAsia="楷体"/>
          <w:b/>
          <w:bCs/>
          <w:sz w:val="48"/>
          <w:szCs w:val="48"/>
        </w:rPr>
        <w:t>估价假设和限制条件</w:t>
      </w:r>
      <w:bookmarkEnd w:id="16"/>
      <w:bookmarkEnd w:id="17"/>
      <w:bookmarkEnd w:id="18"/>
      <w:bookmarkEnd w:id="19"/>
    </w:p>
    <w:p w14:paraId="059766AF">
      <w:pPr>
        <w:spacing w:before="156" w:beforeLines="50" w:line="510" w:lineRule="exact"/>
        <w:jc w:val="left"/>
        <w:outlineLvl w:val="1"/>
        <w:rPr>
          <w:rFonts w:hint="eastAsia" w:ascii="楷体" w:hAnsi="楷体" w:eastAsia="楷体"/>
          <w:b/>
          <w:bCs/>
          <w:sz w:val="28"/>
          <w:szCs w:val="28"/>
        </w:rPr>
      </w:pPr>
      <w:bookmarkStart w:id="20" w:name="_Toc484941655"/>
      <w:bookmarkStart w:id="21" w:name="_Toc221710850"/>
      <w:bookmarkStart w:id="22" w:name="_Toc29912"/>
      <w:bookmarkStart w:id="23" w:name="_Toc505087747"/>
      <w:r>
        <w:rPr>
          <w:rFonts w:hint="eastAsia" w:ascii="楷体" w:hAnsi="楷体" w:eastAsia="楷体"/>
          <w:b/>
          <w:bCs/>
          <w:sz w:val="28"/>
          <w:szCs w:val="28"/>
        </w:rPr>
        <w:t>一、一般性假设</w:t>
      </w:r>
      <w:bookmarkEnd w:id="20"/>
      <w:bookmarkEnd w:id="21"/>
      <w:bookmarkEnd w:id="22"/>
      <w:bookmarkEnd w:id="23"/>
    </w:p>
    <w:p w14:paraId="6A07CC18">
      <w:pPr>
        <w:spacing w:line="51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估价委托人提供了估价对象的《委托评估协议书》及其有关资料，我们在无理由怀疑其合法性、真实性、准确性和完整性的情况下，假定估价委托人提供的资料合法、真实、准确、完整，因不实造成的影响本公司不承担任何责任。</w:t>
      </w:r>
    </w:p>
    <w:p w14:paraId="6E35D374">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2.注册房地产估价师已对</w:t>
      </w:r>
      <w:r>
        <w:rPr>
          <w:rFonts w:hint="eastAsia" w:ascii="楷体" w:hAnsi="楷体" w:eastAsia="楷体"/>
          <w:bCs/>
          <w:sz w:val="28"/>
          <w:szCs w:val="28"/>
          <w:lang w:val="en-US" w:eastAsia="zh-CN"/>
        </w:rPr>
        <w:t>估价对象的</w:t>
      </w:r>
      <w:r>
        <w:rPr>
          <w:rFonts w:hint="eastAsia" w:ascii="楷体" w:hAnsi="楷体" w:eastAsia="楷体"/>
          <w:bCs/>
          <w:sz w:val="28"/>
          <w:szCs w:val="28"/>
        </w:rPr>
        <w:t>环境污染等影响估价对象价值的重大因素给予了关注，在无理由怀疑估价对象存在安全隐患且无相应的专业机构进行鉴定、检测的情况下，假定估价对象能正常安全使用。</w:t>
      </w:r>
    </w:p>
    <w:p w14:paraId="400C832C">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3.估价对象在价值时点的房地产市场为公开、平等、自愿的交易市场，即能满足以下条件：</w:t>
      </w:r>
    </w:p>
    <w:p w14:paraId="2AA85539">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（1）交易双方自愿地进行交易；</w:t>
      </w:r>
    </w:p>
    <w:p w14:paraId="5F6097AA">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（2）交易双方精明、谨慎行事，并了解交易对象、知晓市场行情；</w:t>
      </w:r>
    </w:p>
    <w:p w14:paraId="570012F3">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（3）交易双方有较充裕的时间进行交易；</w:t>
      </w:r>
    </w:p>
    <w:p w14:paraId="41B756D2">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（4）不存在买方因特殊兴趣而给予附加出价。</w:t>
      </w:r>
    </w:p>
    <w:p w14:paraId="79029520">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4.</w:t>
      </w:r>
      <w:r>
        <w:rPr>
          <w:rFonts w:hint="eastAsia" w:ascii="楷体" w:hAnsi="楷体" w:eastAsia="楷体"/>
          <w:bCs/>
          <w:sz w:val="28"/>
          <w:szCs w:val="28"/>
        </w:rPr>
        <w:t>估价时未考虑估价对象抵押、租赁、债务等对估价结果的影响。</w:t>
      </w:r>
      <w:bookmarkStart w:id="24" w:name="_Toc484941656"/>
      <w:bookmarkStart w:id="25" w:name="_Toc505087748"/>
    </w:p>
    <w:p w14:paraId="4A4BD4CD">
      <w:pPr>
        <w:spacing w:line="510" w:lineRule="exact"/>
        <w:ind w:firstLine="560" w:firstLineChars="200"/>
        <w:jc w:val="left"/>
        <w:rPr>
          <w:rFonts w:ascii="楷体" w:hAnsi="楷体" w:eastAsia="楷体"/>
          <w:sz w:val="28"/>
          <w:szCs w:val="24"/>
        </w:rPr>
      </w:pPr>
      <w:r>
        <w:rPr>
          <w:rFonts w:hint="eastAsia" w:ascii="楷体" w:hAnsi="楷体" w:eastAsia="楷体"/>
          <w:sz w:val="28"/>
          <w:szCs w:val="24"/>
          <w:lang w:eastAsia="zh-CN"/>
        </w:rPr>
        <w:t>5.</w:t>
      </w:r>
      <w:r>
        <w:rPr>
          <w:rFonts w:hint="eastAsia" w:ascii="楷体" w:hAnsi="楷体" w:eastAsia="楷体"/>
          <w:sz w:val="28"/>
          <w:szCs w:val="24"/>
        </w:rPr>
        <w:t>本估价报告中估价对象在价值时点状况与完成实地勘查之日一致。</w:t>
      </w:r>
    </w:p>
    <w:p w14:paraId="321AA3D6">
      <w:pPr>
        <w:spacing w:before="156" w:beforeLines="50" w:line="510" w:lineRule="exact"/>
        <w:jc w:val="left"/>
        <w:outlineLvl w:val="1"/>
        <w:rPr>
          <w:rFonts w:hint="eastAsia" w:ascii="楷体" w:hAnsi="楷体" w:eastAsia="楷体"/>
          <w:b/>
          <w:bCs/>
          <w:sz w:val="28"/>
          <w:szCs w:val="28"/>
        </w:rPr>
      </w:pPr>
      <w:bookmarkStart w:id="26" w:name="_Toc221710851"/>
      <w:bookmarkStart w:id="27" w:name="_Toc18567"/>
      <w:r>
        <w:rPr>
          <w:rFonts w:hint="eastAsia" w:ascii="楷体" w:hAnsi="楷体" w:eastAsia="楷体"/>
          <w:b/>
          <w:bCs/>
          <w:sz w:val="28"/>
          <w:szCs w:val="28"/>
        </w:rPr>
        <w:t>二、未定事项假设</w:t>
      </w:r>
      <w:bookmarkEnd w:id="24"/>
      <w:bookmarkEnd w:id="25"/>
      <w:bookmarkEnd w:id="26"/>
      <w:bookmarkEnd w:id="27"/>
    </w:p>
    <w:p w14:paraId="63FEAB94">
      <w:pPr>
        <w:spacing w:line="50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未定事项假设指对估价所必需的尚未明确或不够明确的土地用途、容积率等事项所做的合理的、最可能的假定。本次估价无未定事项假设。</w:t>
      </w:r>
    </w:p>
    <w:p w14:paraId="447A2BE7">
      <w:pPr>
        <w:spacing w:before="156" w:beforeLines="50" w:line="510" w:lineRule="exact"/>
        <w:jc w:val="left"/>
        <w:outlineLvl w:val="1"/>
        <w:rPr>
          <w:rFonts w:hint="eastAsia" w:ascii="楷体" w:hAnsi="楷体" w:eastAsia="楷体"/>
          <w:b/>
          <w:bCs/>
          <w:sz w:val="28"/>
          <w:szCs w:val="28"/>
        </w:rPr>
      </w:pPr>
      <w:bookmarkStart w:id="28" w:name="_Toc484941657"/>
      <w:bookmarkStart w:id="29" w:name="_Toc221710852"/>
      <w:bookmarkStart w:id="30" w:name="_Toc505087749"/>
      <w:bookmarkStart w:id="31" w:name="_Toc20772"/>
      <w:r>
        <w:rPr>
          <w:rFonts w:hint="eastAsia" w:ascii="楷体" w:hAnsi="楷体" w:eastAsia="楷体"/>
          <w:b/>
          <w:bCs/>
          <w:sz w:val="28"/>
          <w:szCs w:val="28"/>
        </w:rPr>
        <w:t>三、背离事实假设</w:t>
      </w:r>
      <w:bookmarkEnd w:id="28"/>
      <w:bookmarkEnd w:id="29"/>
      <w:bookmarkEnd w:id="30"/>
      <w:bookmarkEnd w:id="31"/>
    </w:p>
    <w:p w14:paraId="2E34EB50">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背离事实假设是指因估价目的的特殊需要、交易条件设定或约定，对估价对象状况所做的与估价对象在价值时点的状况不一致的合理假定。</w:t>
      </w:r>
      <w:r>
        <w:rPr>
          <w:rFonts w:hint="eastAsia" w:ascii="楷体" w:hAnsi="楷体" w:eastAsia="楷体"/>
          <w:bCs/>
          <w:sz w:val="28"/>
          <w:szCs w:val="28"/>
        </w:rPr>
        <w:t>本次估价无背离事实假设</w:t>
      </w:r>
      <w:r>
        <w:rPr>
          <w:rFonts w:hint="eastAsia" w:ascii="楷体" w:hAnsi="楷体" w:eastAsia="楷体"/>
          <w:bCs/>
          <w:sz w:val="28"/>
          <w:szCs w:val="28"/>
        </w:rPr>
        <w:t>。</w:t>
      </w:r>
    </w:p>
    <w:p w14:paraId="65A28FBA">
      <w:pPr>
        <w:spacing w:before="156" w:beforeLines="50" w:line="510" w:lineRule="exact"/>
        <w:jc w:val="left"/>
        <w:outlineLvl w:val="1"/>
        <w:rPr>
          <w:rFonts w:hint="eastAsia" w:ascii="楷体" w:hAnsi="楷体" w:eastAsia="楷体"/>
          <w:b/>
          <w:bCs/>
          <w:sz w:val="28"/>
          <w:szCs w:val="28"/>
        </w:rPr>
      </w:pPr>
      <w:bookmarkStart w:id="32" w:name="_Toc221710853"/>
      <w:bookmarkStart w:id="33" w:name="_Toc484941658"/>
      <w:bookmarkStart w:id="34" w:name="_Toc4865"/>
      <w:bookmarkStart w:id="35" w:name="_Toc505087750"/>
      <w:r>
        <w:rPr>
          <w:rFonts w:hint="eastAsia" w:ascii="楷体" w:hAnsi="楷体" w:eastAsia="楷体"/>
          <w:b/>
          <w:bCs/>
          <w:sz w:val="28"/>
          <w:szCs w:val="28"/>
        </w:rPr>
        <w:t>四、不相一致假设</w:t>
      </w:r>
      <w:bookmarkEnd w:id="32"/>
      <w:bookmarkEnd w:id="33"/>
      <w:bookmarkEnd w:id="34"/>
      <w:bookmarkEnd w:id="35"/>
    </w:p>
    <w:p w14:paraId="4F847BD8">
      <w:pPr>
        <w:spacing w:line="51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不相一致假设是指在估价对象的实际用途、房屋登记用途、土地登记用途、规划用途等用途之间不一致，或房屋权属证明、土地权属证明等的权利人之间不一致，估价对象的名称不一致等情况下，对估价所依据的用途或权利人、名称等的合理假定。</w:t>
      </w:r>
      <w:bookmarkStart w:id="36" w:name="OLE_LINK11"/>
      <w:r>
        <w:rPr>
          <w:rFonts w:hint="eastAsia" w:ascii="楷体" w:hAnsi="楷体" w:eastAsia="楷体"/>
          <w:bCs/>
          <w:sz w:val="28"/>
          <w:szCs w:val="28"/>
        </w:rPr>
        <w:t>本次估价无不</w:t>
      </w:r>
      <w:bookmarkEnd w:id="36"/>
      <w:r>
        <w:rPr>
          <w:rFonts w:hint="eastAsia" w:ascii="楷体" w:hAnsi="楷体" w:eastAsia="楷体"/>
          <w:bCs/>
          <w:sz w:val="28"/>
          <w:szCs w:val="28"/>
        </w:rPr>
        <w:t>相一致假设。</w:t>
      </w:r>
    </w:p>
    <w:p w14:paraId="33CB1002">
      <w:pPr>
        <w:spacing w:before="156" w:beforeLines="50" w:line="510" w:lineRule="exact"/>
        <w:jc w:val="left"/>
        <w:outlineLvl w:val="1"/>
        <w:rPr>
          <w:rFonts w:hint="eastAsia" w:ascii="楷体" w:hAnsi="楷体" w:eastAsia="楷体"/>
          <w:b/>
          <w:bCs/>
          <w:sz w:val="28"/>
          <w:szCs w:val="28"/>
        </w:rPr>
      </w:pPr>
      <w:bookmarkStart w:id="37" w:name="_Toc505087751"/>
      <w:bookmarkStart w:id="38" w:name="_Toc221710854"/>
      <w:bookmarkStart w:id="39" w:name="_Toc17987"/>
      <w:bookmarkStart w:id="40" w:name="_Toc484941659"/>
      <w:r>
        <w:rPr>
          <w:rFonts w:hint="eastAsia" w:ascii="楷体" w:hAnsi="楷体" w:eastAsia="楷体"/>
          <w:b/>
          <w:bCs/>
          <w:sz w:val="28"/>
          <w:szCs w:val="28"/>
        </w:rPr>
        <w:t>五、依据不足假设</w:t>
      </w:r>
      <w:bookmarkEnd w:id="37"/>
      <w:bookmarkEnd w:id="38"/>
      <w:bookmarkEnd w:id="39"/>
      <w:bookmarkEnd w:id="40"/>
    </w:p>
    <w:p w14:paraId="415134EE">
      <w:pPr>
        <w:spacing w:line="510" w:lineRule="exact"/>
        <w:ind w:firstLine="560" w:firstLineChars="200"/>
        <w:jc w:val="left"/>
        <w:rPr>
          <w:rFonts w:hint="eastAsia" w:ascii="楷体" w:hAnsi="楷体" w:eastAsia="楷体"/>
          <w:bCs/>
          <w:kern w:val="2"/>
          <w:sz w:val="28"/>
          <w:szCs w:val="28"/>
          <w:lang w:val="en-US" w:eastAsia="zh-CN" w:bidi="ar-SA"/>
        </w:rPr>
      </w:pPr>
      <w:bookmarkStart w:id="41" w:name="_Toc24096"/>
      <w:bookmarkStart w:id="42" w:name="_Toc484941660"/>
      <w:bookmarkStart w:id="43" w:name="_Toc221710855"/>
      <w:bookmarkStart w:id="44" w:name="_Toc505087752"/>
      <w:r>
        <w:rPr>
          <w:rFonts w:hint="eastAsia" w:ascii="楷体" w:hAnsi="楷体" w:eastAsia="楷体" w:cs="宋体"/>
          <w:kern w:val="2"/>
          <w:sz w:val="28"/>
          <w:szCs w:val="28"/>
          <w:lang w:val="en-US" w:eastAsia="zh-CN" w:bidi="ar-SA"/>
        </w:rPr>
        <w:t>依据不足假设是指在估价委托人无法提供估价所必需的反映估价对象状况的资料以及注册房地产估价师进行了尽职调查仍然难以取得该资料的情况下，对缺少该资料及对相应的估价对象状况的合理假定。估价对象未取得《不动产权证》，根据《委托评估协议书》设定：{{ owner }}位于{{ address }}的土地，估价对象范围为{{ scale }}，设定出租用途为{{ usage }}。若离开上述前提，本次估价结果应做相应调整乃至重新评估。</w:t>
      </w:r>
    </w:p>
    <w:p w14:paraId="2F26ADD8">
      <w:pPr>
        <w:spacing w:before="156" w:beforeLines="50" w:line="510" w:lineRule="exact"/>
        <w:jc w:val="left"/>
        <w:outlineLvl w:val="1"/>
        <w:rPr>
          <w:rFonts w:hint="eastAsia" w:ascii="楷体" w:hAnsi="楷体" w:eastAsia="楷体"/>
          <w:b/>
          <w:bCs/>
          <w:sz w:val="28"/>
          <w:szCs w:val="28"/>
        </w:rPr>
      </w:pPr>
      <w:r>
        <w:rPr>
          <w:rFonts w:hint="eastAsia" w:ascii="楷体" w:hAnsi="楷体" w:eastAsia="楷体"/>
          <w:b/>
          <w:bCs/>
          <w:sz w:val="28"/>
          <w:szCs w:val="28"/>
        </w:rPr>
        <w:t>六、报告使用限制条件</w:t>
      </w:r>
      <w:bookmarkEnd w:id="41"/>
      <w:bookmarkEnd w:id="42"/>
      <w:bookmarkEnd w:id="43"/>
      <w:bookmarkEnd w:id="44"/>
    </w:p>
    <w:p w14:paraId="3D850104">
      <w:pPr>
        <w:spacing w:line="510" w:lineRule="exact"/>
        <w:ind w:firstLine="560" w:firstLineChars="200"/>
        <w:jc w:val="left"/>
        <w:rPr>
          <w:rFonts w:ascii="楷体" w:hAnsi="楷体" w:eastAsia="楷体"/>
          <w:b/>
          <w:bCs/>
          <w:kern w:val="2"/>
          <w:sz w:val="28"/>
          <w:szCs w:val="28"/>
          <w:lang w:val="en-US" w:eastAsia="zh-CN" w:bidi="ar-SA"/>
        </w:rPr>
      </w:pPr>
      <w:r>
        <w:rPr>
          <w:rFonts w:hint="eastAsia" w:ascii="楷体" w:hAnsi="楷体" w:eastAsia="楷体" w:cs="宋体"/>
          <w:kern w:val="2"/>
          <w:sz w:val="28"/>
          <w:szCs w:val="28"/>
          <w:lang w:val="en-US" w:eastAsia="zh-CN" w:bidi="ar-SA"/>
        </w:rPr>
        <w:t>1.本估价机构的估价范围由委托人指认，并由现场查勘记录人员郑伟娜记录，如与实际需估价范围有出入，应以书面告知，估价结果也做相应调整。</w:t>
      </w:r>
    </w:p>
    <w:p w14:paraId="418BB4F4">
      <w:pPr>
        <w:spacing w:line="500" w:lineRule="exact"/>
        <w:ind w:right="97" w:rightChars="46"/>
        <w:rPr>
          <w:rFonts w:hint="eastAsia" w:ascii="楷体" w:hAnsi="楷体" w:eastAsia="楷体"/>
          <w:sz w:val="28"/>
          <w:szCs w:val="24"/>
        </w:rPr>
      </w:pPr>
      <w:r>
        <w:rPr>
          <w:rFonts w:hint="eastAsia" w:ascii="楷体" w:hAnsi="楷体" w:eastAsia="楷体"/>
          <w:sz w:val="28"/>
          <w:szCs w:val="24"/>
        </w:rPr>
        <w:t xml:space="preserve">    2.本估价报告依据了估价委托人提供的相关资料。估价委托人应对资料的真实性、合法性、准确性和完整性负责，如以隐瞒、欺骗等不正当手段，致使估价人员在报告中选用了错误的数据和内容，相应责任由估价委托人承担。</w:t>
      </w:r>
    </w:p>
    <w:p w14:paraId="080E04CB">
      <w:pPr>
        <w:spacing w:line="500" w:lineRule="exact"/>
        <w:ind w:right="97" w:rightChars="46" w:firstLine="560" w:firstLineChars="200"/>
        <w:rPr>
          <w:rFonts w:hint="eastAsia" w:ascii="楷体" w:hAnsi="楷体" w:eastAsia="楷体"/>
          <w:sz w:val="28"/>
          <w:szCs w:val="24"/>
        </w:rPr>
      </w:pPr>
      <w:r>
        <w:rPr>
          <w:rFonts w:hint="eastAsia" w:ascii="楷体" w:hAnsi="楷体" w:eastAsia="楷体"/>
          <w:sz w:val="28"/>
          <w:szCs w:val="24"/>
        </w:rPr>
        <w:t>3.本估价报告的估价结果为满足全部假设与限制条件下的价值。</w:t>
      </w:r>
    </w:p>
    <w:p w14:paraId="68000C2D">
      <w:pPr>
        <w:spacing w:line="560" w:lineRule="exact"/>
        <w:ind w:firstLine="560"/>
        <w:rPr>
          <w:rFonts w:hint="eastAsia" w:ascii="楷体" w:hAnsi="楷体" w:eastAsia="楷体"/>
          <w:sz w:val="28"/>
          <w:szCs w:val="24"/>
        </w:rPr>
      </w:pPr>
      <w:r>
        <w:rPr>
          <w:rFonts w:hint="eastAsia" w:ascii="楷体" w:hAnsi="楷体" w:eastAsia="楷体"/>
          <w:sz w:val="28"/>
          <w:szCs w:val="24"/>
        </w:rPr>
        <w:t>4.本次估价结果仅</w:t>
      </w:r>
      <w:r>
        <w:rPr>
          <w:rFonts w:hint="eastAsia" w:ascii="楷体" w:hAnsi="楷体" w:eastAsia="楷体" w:cs="仿宋"/>
          <w:sz w:val="28"/>
          <w:szCs w:val="28"/>
        </w:rPr>
        <w:t>为委托人确定拟出租房地产市场租金提供价格参考</w:t>
      </w:r>
      <w:r>
        <w:rPr>
          <w:rFonts w:hint="eastAsia" w:ascii="楷体" w:hAnsi="楷体" w:eastAsia="楷体" w:cs="宋体"/>
          <w:sz w:val="28"/>
          <w:szCs w:val="28"/>
        </w:rPr>
        <w:t>，</w:t>
      </w:r>
      <w:r>
        <w:rPr>
          <w:rFonts w:hint="eastAsia" w:ascii="楷体" w:hAnsi="楷体" w:eastAsia="楷体"/>
          <w:sz w:val="28"/>
          <w:szCs w:val="24"/>
        </w:rPr>
        <w:t>超出此使用范围无效，本评估机构不负法律责任。</w:t>
      </w:r>
    </w:p>
    <w:p w14:paraId="54F2C120">
      <w:pPr>
        <w:spacing w:line="560" w:lineRule="exact"/>
        <w:ind w:firstLine="560"/>
        <w:rPr>
          <w:rFonts w:hint="eastAsia" w:ascii="楷体" w:hAnsi="楷体" w:eastAsia="楷体"/>
          <w:sz w:val="28"/>
          <w:szCs w:val="24"/>
        </w:rPr>
      </w:pPr>
      <w:r>
        <w:rPr>
          <w:rFonts w:hint="eastAsia" w:ascii="楷体" w:hAnsi="楷体" w:eastAsia="楷体"/>
          <w:sz w:val="28"/>
          <w:szCs w:val="24"/>
        </w:rPr>
        <w:t>5.估价委托人及相关使用者应当完整地使用本报告，对仅使用报告中的部分内容或片面使用导致的有关损失，估价机构不承担责任。</w:t>
      </w:r>
    </w:p>
    <w:p w14:paraId="0165F066">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6.如发现本估价报告文字或数字因校对或类似原因出现差错，请及时通知本公司进行更正，如因明知正常失误而不及时通知更正而对估价结果应用造成影响和损失的，本公司不承担责任。</w:t>
      </w:r>
    </w:p>
    <w:p w14:paraId="70E45DC7">
      <w:pPr>
        <w:spacing w:line="560" w:lineRule="exact"/>
        <w:ind w:firstLine="420" w:firstLineChars="150"/>
        <w:rPr>
          <w:rFonts w:hint="eastAsia" w:ascii="楷体" w:hAnsi="楷体" w:eastAsia="楷体"/>
          <w:sz w:val="28"/>
          <w:szCs w:val="24"/>
        </w:rPr>
      </w:pPr>
      <w:r>
        <w:rPr>
          <w:rFonts w:hint="eastAsia" w:ascii="楷体" w:hAnsi="楷体" w:eastAsia="楷体"/>
          <w:sz w:val="28"/>
          <w:szCs w:val="24"/>
        </w:rPr>
        <w:t xml:space="preserve"> 7.本估价报告须经注册房地产估价师签名盖章并加盖房地产估价机构公章作为一个整体时方为有效，估价报告的全部或部分复印件均无效。</w:t>
      </w:r>
    </w:p>
    <w:p w14:paraId="371A0067">
      <w:pPr>
        <w:spacing w:line="560" w:lineRule="exact"/>
        <w:ind w:firstLine="560"/>
        <w:rPr>
          <w:rFonts w:hint="eastAsia" w:ascii="楷体" w:hAnsi="楷体" w:eastAsia="楷体"/>
          <w:sz w:val="28"/>
          <w:szCs w:val="24"/>
        </w:rPr>
      </w:pPr>
      <w:r>
        <w:rPr>
          <w:rFonts w:hint="eastAsia" w:ascii="楷体" w:hAnsi="楷体" w:eastAsia="楷体"/>
          <w:sz w:val="28"/>
          <w:szCs w:val="24"/>
        </w:rPr>
        <w:t>8.未经委托人和本公司书面同意，本估价报告不得向估价委托人、估价目的的有关方和估价报告审核部门外的单位和个人提供，不得将本估价报告的全部或部分内容提供给其他各方，也不得</w:t>
      </w:r>
      <w:r>
        <w:rPr>
          <w:rFonts w:hint="eastAsia" w:ascii="楷体" w:hAnsi="楷体" w:eastAsia="楷体"/>
          <w:sz w:val="28"/>
          <w:szCs w:val="24"/>
          <w:lang w:eastAsia="zh-CN"/>
        </w:rPr>
        <w:t>见诸</w:t>
      </w:r>
      <w:r>
        <w:rPr>
          <w:rFonts w:hint="eastAsia" w:ascii="楷体" w:hAnsi="楷体" w:eastAsia="楷体"/>
          <w:sz w:val="28"/>
          <w:szCs w:val="24"/>
        </w:rPr>
        <w:t>任何公开的媒体。若本估价报告被用于其他场合，本公司不负任何法律责任。</w:t>
      </w:r>
    </w:p>
    <w:p w14:paraId="7E2B94B9">
      <w:pPr>
        <w:spacing w:line="560" w:lineRule="exact"/>
        <w:ind w:firstLine="560"/>
        <w:rPr>
          <w:rFonts w:hint="eastAsia" w:ascii="楷体" w:hAnsi="楷体" w:eastAsia="楷体"/>
          <w:sz w:val="28"/>
          <w:szCs w:val="24"/>
        </w:rPr>
      </w:pPr>
      <w:r>
        <w:rPr>
          <w:rFonts w:hint="eastAsia" w:ascii="楷体" w:hAnsi="楷体" w:eastAsia="楷体"/>
          <w:sz w:val="28"/>
          <w:szCs w:val="24"/>
        </w:rPr>
        <w:t>9.本估价报告使用期限一年，请报告使用人在报告使用期内使用，否则，本估价结果无效。随着时间的推移和房地产市场的变动，国家法律政策的调整等，估价结果应作相应调整。</w:t>
      </w:r>
    </w:p>
    <w:p w14:paraId="6F25019C">
      <w:pPr>
        <w:spacing w:line="510" w:lineRule="exact"/>
        <w:ind w:firstLine="560" w:firstLineChars="200"/>
        <w:jc w:val="left"/>
        <w:rPr>
          <w:rFonts w:hint="eastAsia" w:ascii="楷体" w:hAnsi="楷体" w:eastAsia="楷体"/>
          <w:bCs/>
          <w:sz w:val="28"/>
          <w:szCs w:val="28"/>
        </w:rPr>
      </w:pPr>
      <w:r>
        <w:rPr>
          <w:rFonts w:hint="eastAsia" w:ascii="楷体" w:hAnsi="楷体" w:eastAsia="楷体"/>
          <w:sz w:val="28"/>
          <w:szCs w:val="24"/>
        </w:rPr>
        <w:t>10.本估价报告由浙江正恒房地产土地资产评估咨询有限公司负责解释。</w:t>
      </w:r>
    </w:p>
    <w:p w14:paraId="731D06CB">
      <w:pPr>
        <w:spacing w:before="156" w:beforeLines="50" w:after="156" w:afterLines="50" w:line="240" w:lineRule="exact"/>
        <w:jc w:val="center"/>
        <w:outlineLvl w:val="0"/>
        <w:rPr>
          <w:rFonts w:ascii="楷体" w:hAnsi="楷体" w:eastAsia="楷体"/>
          <w:bCs/>
          <w:sz w:val="44"/>
          <w:szCs w:val="44"/>
        </w:rPr>
        <w:sectPr>
          <w:pgSz w:w="11906" w:h="16838"/>
          <w:pgMar w:top="1418" w:right="1134" w:bottom="1134" w:left="1418" w:header="851" w:footer="851" w:gutter="284"/>
          <w:pgNumType w:start="2" w:chapStyle="1"/>
          <w:cols w:space="720" w:num="1"/>
          <w:docGrid w:type="lines" w:linePitch="312" w:charSpace="0"/>
        </w:sectPr>
      </w:pPr>
      <w:r>
        <w:rPr>
          <w:rFonts w:hint="eastAsia" w:ascii="楷体" w:hAnsi="楷体" w:eastAsia="楷体"/>
          <w:bCs/>
          <w:sz w:val="44"/>
          <w:szCs w:val="44"/>
        </w:rPr>
        <w:t xml:space="preserve"> </w:t>
      </w:r>
      <w:bookmarkStart w:id="45" w:name="_Toc484941661"/>
      <w:bookmarkStart w:id="46" w:name="_Toc505087753"/>
    </w:p>
    <w:p w14:paraId="77DACDE7">
      <w:pPr>
        <w:spacing w:before="468" w:beforeLines="150" w:after="156" w:afterLines="50" w:line="480" w:lineRule="auto"/>
        <w:jc w:val="center"/>
        <w:outlineLvl w:val="0"/>
        <w:rPr>
          <w:rFonts w:hint="eastAsia" w:ascii="楷体" w:hAnsi="楷体" w:eastAsia="楷体"/>
          <w:b/>
          <w:sz w:val="48"/>
          <w:szCs w:val="48"/>
        </w:rPr>
      </w:pPr>
      <w:bookmarkStart w:id="47" w:name="_Toc221710856"/>
      <w:bookmarkStart w:id="48" w:name="_Toc27918"/>
      <w:r>
        <w:rPr>
          <w:rFonts w:hint="eastAsia" w:ascii="楷体" w:hAnsi="楷体" w:eastAsia="楷体"/>
          <w:b/>
          <w:bCs/>
          <w:sz w:val="48"/>
          <w:szCs w:val="48"/>
        </w:rPr>
        <w:t>估价结果报告</w:t>
      </w:r>
      <w:bookmarkEnd w:id="45"/>
      <w:bookmarkEnd w:id="46"/>
      <w:bookmarkEnd w:id="47"/>
      <w:bookmarkEnd w:id="48"/>
    </w:p>
    <w:p w14:paraId="7422D8F7">
      <w:pPr>
        <w:spacing w:before="156" w:beforeLines="50" w:line="560" w:lineRule="exact"/>
        <w:jc w:val="left"/>
        <w:outlineLvl w:val="1"/>
        <w:rPr>
          <w:rFonts w:hint="eastAsia" w:ascii="楷体" w:hAnsi="楷体" w:eastAsia="楷体"/>
          <w:b/>
          <w:bCs/>
          <w:sz w:val="28"/>
          <w:szCs w:val="28"/>
        </w:rPr>
      </w:pPr>
      <w:bookmarkStart w:id="49" w:name="_Toc484941662"/>
      <w:bookmarkStart w:id="50" w:name="_Toc14953"/>
      <w:bookmarkStart w:id="51" w:name="_Toc221710857"/>
      <w:bookmarkStart w:id="52" w:name="_Toc505087754"/>
      <w:r>
        <w:rPr>
          <w:rFonts w:hint="eastAsia" w:ascii="楷体" w:hAnsi="楷体" w:eastAsia="楷体"/>
          <w:b/>
          <w:bCs/>
          <w:sz w:val="28"/>
          <w:szCs w:val="28"/>
        </w:rPr>
        <w:t>一、估价委托人</w:t>
      </w:r>
      <w:bookmarkEnd w:id="49"/>
      <w:bookmarkEnd w:id="50"/>
      <w:bookmarkEnd w:id="51"/>
      <w:bookmarkEnd w:id="52"/>
    </w:p>
    <w:p w14:paraId="31622078">
      <w:pPr>
        <w:spacing w:line="560" w:lineRule="exact"/>
        <w:ind w:firstLine="560" w:firstLineChars="200"/>
        <w:jc w:val="left"/>
      </w:pPr>
      <w:bookmarkStart w:id="53" w:name="_Toc484941663"/>
      <w:bookmarkStart w:id="54" w:name="_Toc505087755"/>
      <w:r>
        <w:rPr>
          <w:rFonts w:hint="eastAsia" w:ascii="楷体" w:hAnsi="楷体" w:eastAsia="楷体" w:cs="宋体"/>
          <w:kern w:val="2"/>
          <w:sz w:val="28"/>
          <w:szCs w:val="28"/>
          <w:lang w:val="en-US" w:eastAsia="zh-CN" w:bidi="ar-SA"/>
        </w:rPr>
        <w:t>委托人名称：{{ owner }}</w:t>
      </w:r>
    </w:p>
    <w:p w14:paraId="0B3CBD15">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住      址：杭州市钱塘区义蓬街道义蓬村</w:t>
      </w:r>
    </w:p>
    <w:p w14:paraId="0915C6D1">
      <w:pPr>
        <w:spacing w:line="560" w:lineRule="exact"/>
        <w:ind w:firstLine="560" w:firstLineChars="200"/>
        <w:jc w:val="left"/>
        <w:rPr>
          <w:rFonts w:hint="eastAsia" w:ascii="楷体" w:hAnsi="楷体" w:eastAsia="楷体"/>
          <w:bCs/>
          <w:kern w:val="2"/>
          <w:sz w:val="28"/>
          <w:szCs w:val="28"/>
          <w:lang w:val="en-US" w:eastAsia="zh-CN" w:bidi="ar-SA"/>
        </w:rPr>
      </w:pPr>
      <w:bookmarkStart w:id="55" w:name="_Toc221710858"/>
      <w:bookmarkStart w:id="56" w:name="_Toc10968"/>
      <w:r>
        <w:rPr>
          <w:rFonts w:hint="eastAsia" w:ascii="楷体" w:hAnsi="楷体" w:eastAsia="楷体" w:cs="宋体"/>
          <w:kern w:val="2"/>
          <w:sz w:val="28"/>
          <w:szCs w:val="28"/>
          <w:lang w:val="en-US" w:eastAsia="zh-CN" w:bidi="ar-SA"/>
        </w:rPr>
        <w:t>法定代表人或负责人：周国祥</w:t>
      </w:r>
    </w:p>
    <w:p w14:paraId="45B2B31D">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二、房地产估价机构</w:t>
      </w:r>
      <w:bookmarkEnd w:id="53"/>
      <w:bookmarkEnd w:id="54"/>
      <w:bookmarkEnd w:id="55"/>
      <w:bookmarkEnd w:id="56"/>
    </w:p>
    <w:p w14:paraId="352B19AA">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估价机构：浙江正恒房地产土地资产评估咨询有限公司</w:t>
      </w:r>
    </w:p>
    <w:p w14:paraId="0561164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法人代表：韩伟</w:t>
      </w:r>
    </w:p>
    <w:p w14:paraId="5F392E82">
      <w:pPr>
        <w:tabs>
          <w:tab w:val="left" w:pos="4140"/>
        </w:tabs>
        <w:spacing w:line="560" w:lineRule="exact"/>
        <w:ind w:firstLine="560" w:firstLineChars="200"/>
        <w:jc w:val="left"/>
        <w:rPr>
          <w:rFonts w:hint="eastAsia" w:ascii="楷体" w:hAnsi="楷体" w:eastAsia="楷体" w:cs="宋体"/>
          <w:sz w:val="28"/>
          <w:szCs w:val="28"/>
        </w:rPr>
      </w:pPr>
      <w:r>
        <w:rPr>
          <w:rFonts w:hint="eastAsia" w:ascii="楷体" w:hAnsi="楷体" w:eastAsia="楷体"/>
          <w:bCs/>
          <w:sz w:val="28"/>
          <w:szCs w:val="28"/>
        </w:rPr>
        <w:t>住    所：</w:t>
      </w:r>
      <w:r>
        <w:rPr>
          <w:rFonts w:hint="eastAsia" w:ascii="楷体" w:hAnsi="楷体" w:eastAsia="楷体" w:cs="宋体"/>
          <w:sz w:val="28"/>
          <w:szCs w:val="28"/>
        </w:rPr>
        <w:t>浙江省杭州市萧山区北干街道天汇园1幢1单元201室</w:t>
      </w:r>
    </w:p>
    <w:p w14:paraId="2EAB24E2">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资质等级：房地产壹级</w:t>
      </w:r>
    </w:p>
    <w:p w14:paraId="08D7B86B">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资质证书编号：浙建房估证字（2010）006号</w:t>
      </w:r>
    </w:p>
    <w:p w14:paraId="3A082ED2">
      <w:pPr>
        <w:spacing w:before="156" w:beforeLines="50" w:line="560" w:lineRule="exact"/>
        <w:jc w:val="left"/>
        <w:outlineLvl w:val="1"/>
        <w:rPr>
          <w:rFonts w:hint="eastAsia" w:ascii="楷体" w:hAnsi="楷体" w:eastAsia="楷体"/>
          <w:b/>
          <w:bCs/>
          <w:sz w:val="28"/>
          <w:szCs w:val="28"/>
        </w:rPr>
      </w:pPr>
      <w:bookmarkStart w:id="57" w:name="_Toc484941664"/>
      <w:bookmarkStart w:id="58" w:name="_Toc221710859"/>
      <w:bookmarkStart w:id="59" w:name="_Toc505087756"/>
      <w:bookmarkStart w:id="60" w:name="_Toc15159"/>
      <w:r>
        <w:rPr>
          <w:rFonts w:hint="eastAsia" w:ascii="楷体" w:hAnsi="楷体" w:eastAsia="楷体"/>
          <w:b/>
          <w:bCs/>
          <w:sz w:val="28"/>
          <w:szCs w:val="28"/>
        </w:rPr>
        <w:t>三、估价目的</w:t>
      </w:r>
      <w:bookmarkEnd w:id="57"/>
      <w:bookmarkEnd w:id="58"/>
      <w:bookmarkEnd w:id="59"/>
      <w:bookmarkEnd w:id="60"/>
    </w:p>
    <w:p w14:paraId="53872D58">
      <w:pPr>
        <w:spacing w:line="360" w:lineRule="auto"/>
        <w:ind w:firstLine="560" w:firstLineChars="200"/>
        <w:jc w:val="left"/>
        <w:rPr>
          <w:rFonts w:hint="eastAsia" w:ascii="楷体" w:hAnsi="楷体" w:eastAsia="楷体"/>
          <w:bCs/>
          <w:sz w:val="28"/>
          <w:szCs w:val="28"/>
        </w:rPr>
      </w:pPr>
      <w:bookmarkStart w:id="61" w:name="_Toc505087757"/>
      <w:bookmarkStart w:id="62" w:name="_Toc484941665"/>
      <w:r>
        <w:rPr>
          <w:rFonts w:hint="eastAsia" w:ascii="楷体" w:hAnsi="楷体" w:eastAsia="楷体"/>
          <w:bCs/>
          <w:sz w:val="28"/>
          <w:szCs w:val="28"/>
        </w:rPr>
        <w:t>为委托人确定拟出租房地产市场租金提供价格参考，而评估房地产租赁</w:t>
      </w:r>
      <w:r>
        <w:rPr>
          <w:rFonts w:hint="eastAsia" w:ascii="楷体" w:hAnsi="楷体" w:eastAsia="楷体" w:cs="仿宋"/>
          <w:sz w:val="28"/>
          <w:szCs w:val="28"/>
        </w:rPr>
        <w:t>价值</w:t>
      </w:r>
      <w:r>
        <w:rPr>
          <w:rFonts w:hint="eastAsia" w:ascii="楷体" w:hAnsi="楷体" w:eastAsia="楷体"/>
          <w:bCs/>
          <w:sz w:val="28"/>
          <w:szCs w:val="28"/>
        </w:rPr>
        <w:t>。</w:t>
      </w:r>
    </w:p>
    <w:p w14:paraId="6DF92278">
      <w:pPr>
        <w:spacing w:before="156" w:beforeLines="50" w:line="560" w:lineRule="exact"/>
        <w:jc w:val="left"/>
        <w:outlineLvl w:val="1"/>
        <w:rPr>
          <w:rFonts w:hint="eastAsia" w:ascii="楷体" w:hAnsi="楷体" w:eastAsia="楷体"/>
          <w:b/>
          <w:bCs/>
          <w:sz w:val="28"/>
          <w:szCs w:val="28"/>
        </w:rPr>
      </w:pPr>
      <w:bookmarkStart w:id="63" w:name="_Toc221710860"/>
      <w:bookmarkStart w:id="64" w:name="_Toc25476"/>
      <w:r>
        <w:rPr>
          <w:rFonts w:hint="eastAsia" w:ascii="楷体" w:hAnsi="楷体" w:eastAsia="楷体"/>
          <w:b/>
          <w:bCs/>
          <w:sz w:val="28"/>
          <w:szCs w:val="28"/>
        </w:rPr>
        <w:t>四、估价对象</w:t>
      </w:r>
      <w:bookmarkEnd w:id="61"/>
      <w:bookmarkEnd w:id="62"/>
      <w:bookmarkEnd w:id="63"/>
      <w:bookmarkEnd w:id="64"/>
    </w:p>
    <w:p w14:paraId="2E176CA7">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（一）</w:t>
      </w:r>
      <w:r>
        <w:rPr>
          <w:rFonts w:hint="eastAsia" w:ascii="楷体" w:hAnsi="楷体" w:eastAsia="楷体"/>
          <w:bCs/>
          <w:sz w:val="28"/>
          <w:szCs w:val="28"/>
        </w:rPr>
        <w:t>估价对象范围</w:t>
      </w:r>
    </w:p>
    <w:p w14:paraId="40090D1F">
      <w:pPr>
        <w:spacing w:line="560" w:lineRule="exact"/>
        <w:ind w:firstLine="560" w:firstLineChars="0"/>
        <w:rPr>
          <w:rFonts w:hint="eastAsia" w:ascii="楷体" w:hAnsi="楷体" w:eastAsia="楷体" w:cs="仿宋_GB2312"/>
          <w:kern w:val="2"/>
          <w:sz w:val="28"/>
          <w:szCs w:val="28"/>
          <w:lang w:val="en-US" w:eastAsia="zh-CN" w:bidi="ar-SA"/>
        </w:rPr>
      </w:pPr>
      <w:r>
        <w:rPr>
          <w:rFonts w:hint="eastAsia" w:ascii="楷体" w:hAnsi="楷体" w:eastAsia="楷体" w:cs="宋体"/>
          <w:kern w:val="2"/>
          <w:sz w:val="28"/>
          <w:szCs w:val="28"/>
          <w:lang w:val="en-US" w:eastAsia="zh-CN" w:bidi="ar-SA"/>
        </w:rPr>
        <w:t>根据估价委托人提供的与本次估价范围有关的基础资料复印件及有关数据，我们进行了核对，估价委托人指定的估价范围为{{ owner }}位于{{ address }}的土地。本次估价范围包含土地使用权，不包含水电费、债权债务、特许经营权等其他权利。</w:t>
      </w:r>
    </w:p>
    <w:p w14:paraId="4FCE1E28">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eastAsia="zh-CN"/>
        </w:rPr>
        <w:t>（二）</w:t>
      </w:r>
      <w:r>
        <w:rPr>
          <w:rFonts w:hint="eastAsia" w:ascii="楷体" w:hAnsi="楷体" w:eastAsia="楷体"/>
          <w:bCs/>
          <w:sz w:val="28"/>
          <w:szCs w:val="28"/>
        </w:rPr>
        <w:t>估价对象基本状况</w:t>
      </w:r>
    </w:p>
    <w:p w14:paraId="22BE2FD0">
      <w:pPr>
        <w:spacing w:line="500" w:lineRule="exact"/>
        <w:ind w:right="97" w:rightChars="46" w:firstLine="560" w:firstLineChars="200"/>
        <w:rPr>
          <w:rFonts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 owner }}位于{{ address }}的土地。估价对象未取得《不动产权证》。根据《委托评估协议书》记载估价对象基本情况如下：</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2578"/>
        <w:gridCol w:w="2465"/>
        <w:gridCol w:w="1519"/>
        <w:gridCol w:w="1989"/>
      </w:tblGrid>
      <w:tr w14:paraId="300E176F">
        <w:trPr>
          <w:trHeight w:val="720" w:hRule="atLeast"/>
          <w:jc w:val="center"/>
        </w:trPr>
        <w:tc>
          <w:tcPr>
            <w:tcW w:w="396" w:type="pct"/>
            <w:tcBorders>
              <w:top w:val="single" w:color="000000" w:sz="4" w:space="0"/>
              <w:left w:val="single" w:color="000000" w:sz="4" w:space="0"/>
              <w:bottom w:val="single" w:color="000000" w:sz="4" w:space="0"/>
              <w:right w:val="single" w:color="000000" w:sz="4" w:space="0"/>
            </w:tcBorders>
            <w:noWrap w:val="0"/>
            <w:tcMar>
              <w:left w:w="108" w:type="dxa"/>
              <w:right w:w="108" w:type="dxa"/>
            </w:tcMar>
            <w:vAlign w:val="center"/>
          </w:tcPr>
          <w:p w14:paraId="38367D2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序号</w:t>
            </w:r>
          </w:p>
        </w:tc>
        <w:tc>
          <w:tcPr>
            <w:tcW w:w="138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1DA1B90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1327"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0C3C25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地址</w:t>
            </w:r>
          </w:p>
        </w:tc>
        <w:tc>
          <w:tcPr>
            <w:tcW w:w="818"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48A7B7F7">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1071" w:type="pct"/>
            <w:tcBorders>
              <w:top w:val="single" w:color="000000" w:sz="4" w:space="0"/>
              <w:left w:val="single" w:color="000000" w:sz="4" w:space="0"/>
              <w:bottom w:val="single" w:color="auto" w:sz="4" w:space="0"/>
              <w:right w:val="single" w:color="000000" w:sz="4" w:space="0"/>
            </w:tcBorders>
            <w:noWrap w:val="0"/>
            <w:tcMar>
              <w:left w:w="108" w:type="dxa"/>
              <w:right w:w="108" w:type="dxa"/>
            </w:tcMar>
            <w:vAlign w:val="center"/>
          </w:tcPr>
          <w:p w14:paraId="7202380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面积（亩）</w:t>
            </w:r>
          </w:p>
        </w:tc>
      </w:tr>
      <w:tr w14:paraId="127836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AA24E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for s in subjects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46AE8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71F75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8B1BF5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68F4B4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r w14:paraId="127836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AA24E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s.index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46AE8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71F75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8B1BF5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68F4B4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s.area }}</w:t>
            </w:r>
          </w:p>
        </w:tc>
      </w:tr>
      <w:tr w14:paraId="12783694">
        <w:trPr>
          <w:trHeight w:val="285" w:hRule="atLeast"/>
          <w:jc w:val="center"/>
        </w:trPr>
        <w:tc>
          <w:tcPr>
            <w:tcW w:w="396" w:type="pct"/>
            <w:tcBorders>
              <w:top w:val="single" w:color="000000" w:sz="4" w:space="0"/>
              <w:left w:val="single" w:color="000000" w:sz="4" w:space="0"/>
              <w:bottom w:val="single" w:color="000000" w:sz="4" w:space="0"/>
              <w:right w:val="single" w:color="auto" w:sz="4" w:space="0"/>
            </w:tcBorders>
            <w:noWrap w:val="0"/>
            <w:tcMar>
              <w:left w:w="108" w:type="dxa"/>
              <w:right w:w="108" w:type="dxa"/>
            </w:tcMar>
            <w:vAlign w:val="center"/>
          </w:tcPr>
          <w:p w14:paraId="0AA24E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{%tr endfor %}</w:t>
            </w:r>
          </w:p>
        </w:tc>
        <w:tc>
          <w:tcPr>
            <w:tcW w:w="1388" w:type="pct"/>
            <w:tcBorders>
              <w:top w:val="single" w:color="auto" w:sz="4" w:space="0"/>
              <w:left w:val="single" w:color="auto" w:sz="4" w:space="0"/>
              <w:bottom w:val="single" w:color="auto" w:sz="4" w:space="0"/>
              <w:right w:val="single" w:color="000000" w:sz="4" w:space="0"/>
            </w:tcBorders>
            <w:noWrap w:val="0"/>
            <w:tcMar>
              <w:left w:w="108" w:type="dxa"/>
              <w:right w:w="108" w:type="dxa"/>
            </w:tcMar>
            <w:vAlign w:val="center"/>
          </w:tcPr>
          <w:p w14:paraId="346AE8D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c>
          <w:tcPr>
            <w:tcW w:w="1327"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71F75E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address }}</w:t>
            </w:r>
          </w:p>
        </w:tc>
        <w:tc>
          <w:tcPr>
            <w:tcW w:w="818"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18B1BF5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c>
          <w:tcPr>
            <w:tcW w:w="1071" w:type="pct"/>
            <w:tcBorders>
              <w:top w:val="single" w:color="auto" w:sz="4" w:space="0"/>
              <w:left w:val="single" w:color="000000" w:sz="4" w:space="0"/>
              <w:bottom w:val="single" w:color="auto" w:sz="4" w:space="0"/>
              <w:right w:val="single" w:color="000000" w:sz="4" w:space="0"/>
            </w:tcBorders>
            <w:noWrap w:val="0"/>
            <w:tcMar>
              <w:left w:w="108" w:type="dxa"/>
              <w:right w:w="108" w:type="dxa"/>
            </w:tcMar>
            <w:vAlign w:val="center"/>
          </w:tcPr>
          <w:p w14:paraId="768F4B4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50.00</w:t>
            </w:r>
          </w:p>
        </w:tc>
      </w:tr>
    </w:tbl>
    <w:p w14:paraId="0360D0F8"/>
    <w:p w14:paraId="13351F2F">
      <w:pPr>
        <w:spacing w:line="560" w:lineRule="exact"/>
        <w:ind w:firstLine="560" w:firstLineChars="200"/>
        <w:jc w:val="left"/>
        <w:rPr>
          <w:rFonts w:ascii="楷体" w:hAnsi="楷体" w:eastAsia="楷体" w:cs="楷体"/>
          <w:bCs/>
          <w:sz w:val="28"/>
          <w:szCs w:val="28"/>
        </w:rPr>
      </w:pPr>
      <w:r>
        <w:rPr>
          <w:rFonts w:hint="eastAsia" w:ascii="楷体" w:hAnsi="楷体" w:eastAsia="楷体"/>
          <w:bCs/>
          <w:sz w:val="28"/>
          <w:szCs w:val="28"/>
        </w:rPr>
        <w:t xml:space="preserve"> (三)</w:t>
      </w:r>
      <w:r>
        <w:rPr>
          <w:rFonts w:hint="eastAsia" w:ascii="楷体" w:hAnsi="楷体" w:eastAsia="楷体" w:cs="楷体"/>
          <w:bCs/>
          <w:sz w:val="28"/>
          <w:szCs w:val="28"/>
        </w:rPr>
        <w:t>估价对象资产状况</w:t>
      </w:r>
    </w:p>
    <w:p w14:paraId="7C0E3B7D">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1</w:t>
      </w:r>
      <w:r>
        <w:rPr>
          <w:rFonts w:ascii="楷体" w:hAnsi="楷体" w:eastAsia="楷体"/>
          <w:bCs/>
          <w:sz w:val="28"/>
          <w:szCs w:val="28"/>
        </w:rPr>
        <w:t>.</w:t>
      </w:r>
      <w:r>
        <w:rPr>
          <w:rFonts w:hint="eastAsia" w:ascii="楷体" w:hAnsi="楷体" w:eastAsia="楷体"/>
          <w:bCs/>
          <w:sz w:val="28"/>
          <w:szCs w:val="28"/>
        </w:rPr>
        <w:t>区位状况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953"/>
        <w:gridCol w:w="6625"/>
      </w:tblGrid>
      <w:tr w14:paraId="6A9F1ACA">
        <w:trPr>
          <w:trHeight w:val="499" w:hRule="atLeast"/>
        </w:trPr>
        <w:tc>
          <w:tcPr>
            <w:tcW w:w="708"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42995554">
            <w:pPr>
              <w:keepNext w:val="0"/>
              <w:keepLines w:val="0"/>
              <w:widowControl/>
              <w:suppressLineNumbers w:val="0"/>
              <w:jc w:val="center"/>
              <w:textAlignment w:val="center"/>
            </w:pPr>
            <w:bookmarkStart w:id="65" w:name="_Toc484941666"/>
            <w:bookmarkStart w:id="66" w:name="_Toc505087758"/>
            <w:r>
              <w:rPr>
                <w:rFonts w:hint="eastAsia" w:ascii="楷体" w:hAnsi="楷体" w:eastAsia="楷体" w:cs="楷体"/>
                <w:color w:val="000000"/>
                <w:kern w:val="0"/>
                <w:sz w:val="20"/>
                <w:lang w:val="en-US" w:eastAsia="zh-CN" w:bidi="ar"/>
              </w:rPr>
              <w:t>区位状况</w:t>
            </w:r>
          </w:p>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36D852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离城中心距离</w:t>
            </w:r>
          </w:p>
        </w:tc>
        <w:tc>
          <w:tcPr>
            <w:tcW w:w="662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36697B5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距离区政府直线距离约3KM</w:t>
            </w:r>
          </w:p>
        </w:tc>
      </w:tr>
      <w:tr w14:paraId="7A7ED6F2">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12506D68"/>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7B9A630B">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离高速口距离</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2FF3EF40">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距离萧山东高速路口直线距离约3.4KM</w:t>
            </w:r>
          </w:p>
        </w:tc>
      </w:tr>
      <w:tr w14:paraId="05E69271">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12186211"/>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48D179C3">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离水源地距离</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6F5F8E34">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距离河道直线距离约4KM</w:t>
            </w:r>
          </w:p>
        </w:tc>
      </w:tr>
      <w:tr w14:paraId="71BCD244">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61CCC04E"/>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3CA64A5">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临街状况</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09776601">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估价对象所在宗地东至横一线，西至义蓬街道社区卫生服务中心，北至钱塘快速路，南至教康弄。估价对象临教康弄。</w:t>
            </w:r>
          </w:p>
        </w:tc>
      </w:tr>
      <w:tr w14:paraId="01C2CD71">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2C3A775"/>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1A76B1AA">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周边劳动力</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58916021">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周边劳动力较多。</w:t>
            </w:r>
          </w:p>
        </w:tc>
      </w:tr>
      <w:tr w14:paraId="3E8B9956">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15E9333E"/>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30023C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临路宽度</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1AB0BA5D">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&gt;6-12m。</w:t>
            </w:r>
          </w:p>
        </w:tc>
      </w:tr>
      <w:tr w14:paraId="1791D22F">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B0464B3"/>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AFF5E0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临街道路等级</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2EA8DE53">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主要临街道路等级为次干道。</w:t>
            </w:r>
          </w:p>
        </w:tc>
      </w:tr>
      <w:tr w14:paraId="60FD613C">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74B16A9"/>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121A684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货车停车便利度</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2C9678B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停车位基本满足。</w:t>
            </w:r>
          </w:p>
        </w:tc>
      </w:tr>
      <w:tr w14:paraId="035C3137">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770E85EF"/>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63B6FCD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基础设施</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590DA4E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该宗地红线外基础设施达到“三通一平”即通路、通水、通电、场地平整。</w:t>
            </w:r>
          </w:p>
        </w:tc>
      </w:tr>
      <w:tr w14:paraId="1FD70D31">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5F1B7ED"/>
        </w:tc>
        <w:tc>
          <w:tcPr>
            <w:tcW w:w="1953" w:type="dxa"/>
            <w:tcBorders>
              <w:top w:val="single" w:color="auto" w:sz="4" w:space="0"/>
              <w:left w:val="nil"/>
              <w:bottom w:val="single" w:color="auto" w:sz="4" w:space="0"/>
              <w:right w:val="single" w:color="auto" w:sz="4" w:space="0"/>
            </w:tcBorders>
            <w:noWrap w:val="0"/>
            <w:tcMar>
              <w:left w:w="108" w:type="dxa"/>
              <w:right w:w="108" w:type="dxa"/>
            </w:tcMar>
            <w:vAlign w:val="center"/>
          </w:tcPr>
          <w:p w14:paraId="48A6605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公共服务设施</w:t>
            </w:r>
          </w:p>
        </w:tc>
        <w:tc>
          <w:tcPr>
            <w:tcW w:w="6625" w:type="dxa"/>
            <w:tcBorders>
              <w:top w:val="nil"/>
              <w:left w:val="nil"/>
              <w:bottom w:val="single" w:color="auto" w:sz="4" w:space="0"/>
              <w:right w:val="single" w:color="auto" w:sz="4" w:space="0"/>
            </w:tcBorders>
            <w:noWrap w:val="0"/>
            <w:tcMar>
              <w:left w:w="108" w:type="dxa"/>
              <w:right w:w="108" w:type="dxa"/>
            </w:tcMar>
            <w:vAlign w:val="center"/>
          </w:tcPr>
          <w:p w14:paraId="5DEF184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附近学校有钱塘高中、崇德实验学校；医院有社区卫生院；银行有宁波银行、萧山农商银行、中信银行；商场有义蓬购物中心。</w:t>
            </w:r>
          </w:p>
        </w:tc>
      </w:tr>
      <w:tr w14:paraId="2486CC97">
        <w:trPr>
          <w:trHeight w:val="499" w:hRule="atLeast"/>
        </w:trPr>
        <w:tc>
          <w:tcPr>
            <w:tcW w:w="708" w:type="dxa"/>
            <w:vMerge w:val="continue"/>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26177570"/>
        </w:tc>
        <w:tc>
          <w:tcPr>
            <w:tcW w:w="1953"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55E1D9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日照、降水</w:t>
            </w:r>
          </w:p>
        </w:tc>
        <w:tc>
          <w:tcPr>
            <w:tcW w:w="6625" w:type="dxa"/>
            <w:tcBorders>
              <w:top w:val="nil"/>
              <w:left w:val="nil"/>
              <w:bottom w:val="single" w:color="auto" w:sz="4" w:space="0"/>
              <w:right w:val="single" w:color="auto" w:sz="4" w:space="0"/>
            </w:tcBorders>
            <w:shd w:val="clear" w:color="000000" w:fill="FFFFFF"/>
            <w:noWrap w:val="0"/>
            <w:tcMar>
              <w:left w:w="108" w:type="dxa"/>
              <w:right w:w="108" w:type="dxa"/>
            </w:tcMar>
            <w:vAlign w:val="center"/>
          </w:tcPr>
          <w:p w14:paraId="58A0670C">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日照、降水充沛。</w:t>
            </w:r>
          </w:p>
        </w:tc>
      </w:tr>
    </w:tbl>
    <w:p w14:paraId="75665736"/>
    <w:p w14:paraId="0F2A2499">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2</w:t>
      </w:r>
      <w:r>
        <w:rPr>
          <w:rFonts w:ascii="楷体" w:hAnsi="楷体" w:eastAsia="楷体"/>
          <w:bCs/>
          <w:sz w:val="28"/>
          <w:szCs w:val="28"/>
        </w:rPr>
        <w:t>.</w:t>
      </w:r>
      <w:r>
        <w:rPr>
          <w:rFonts w:hint="eastAsia" w:ascii="楷体" w:hAnsi="楷体" w:eastAsia="楷体"/>
          <w:bCs/>
          <w:sz w:val="28"/>
          <w:szCs w:val="28"/>
        </w:rPr>
        <w:t>实物状况</w:t>
      </w:r>
    </w:p>
    <w:tbl>
      <w:tblPr>
        <w:tblStyle w:val="28"/>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950"/>
        <w:gridCol w:w="6611"/>
      </w:tblGrid>
      <w:tr w14:paraId="3FF80347">
        <w:trPr>
          <w:trHeight w:val="499" w:hRule="atLeast"/>
        </w:trPr>
        <w:tc>
          <w:tcPr>
            <w:tcW w:w="725"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166E5DF">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实物状况</w:t>
            </w:r>
          </w:p>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F4C617C">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面积大小</w:t>
            </w:r>
          </w:p>
        </w:tc>
        <w:tc>
          <w:tcPr>
            <w:tcW w:w="6611"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808F83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出租面积为{{ total_area }}亩。</w:t>
            </w:r>
          </w:p>
        </w:tc>
      </w:tr>
      <w:tr w14:paraId="7819C03D">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49B0CBB6"/>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ACC9AB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有机质含量</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45E891DA">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较好。</w:t>
            </w:r>
          </w:p>
        </w:tc>
      </w:tr>
      <w:tr w14:paraId="2C5FE11E">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1D0E0EBF"/>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15A706AD">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土壤污染程度</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3DA2642F">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无明显污染迹象。</w:t>
            </w:r>
          </w:p>
        </w:tc>
      </w:tr>
      <w:tr w14:paraId="770F264E">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5A84FFC"/>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5CF160A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地形坡度、坡向</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59361A6A">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平坦。</w:t>
            </w:r>
          </w:p>
        </w:tc>
      </w:tr>
      <w:tr w14:paraId="6AF06959">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6B722BF"/>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0F34AD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灌溉条件</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1D224291">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泥土明沟灌溉。</w:t>
            </w:r>
          </w:p>
        </w:tc>
      </w:tr>
      <w:tr w14:paraId="709CCE1F">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0FF4369C"/>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B2AA220">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防洪排涝条件</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5F75B4E8">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无排水设施。</w:t>
            </w:r>
          </w:p>
        </w:tc>
      </w:tr>
      <w:tr w14:paraId="2EAD9E64">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635B672B"/>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802CF69">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田间道路</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69F2C931">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有硬化宽度小于2.5m。</w:t>
            </w:r>
          </w:p>
        </w:tc>
      </w:tr>
      <w:tr w14:paraId="51E5D33D">
        <w:trPr>
          <w:trHeight w:val="499" w:hRule="atLeast"/>
        </w:trPr>
        <w:tc>
          <w:tcPr>
            <w:tcW w:w="725"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4CFE7C7B"/>
        </w:tc>
        <w:tc>
          <w:tcPr>
            <w:tcW w:w="1950"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B43E10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通电情况</w:t>
            </w:r>
          </w:p>
        </w:tc>
        <w:tc>
          <w:tcPr>
            <w:tcW w:w="6611" w:type="dxa"/>
            <w:tcBorders>
              <w:top w:val="nil"/>
              <w:left w:val="nil"/>
              <w:bottom w:val="single" w:color="auto" w:sz="4" w:space="0"/>
              <w:right w:val="single" w:color="auto" w:sz="4" w:space="0"/>
            </w:tcBorders>
            <w:noWrap w:val="0"/>
            <w:tcMar>
              <w:left w:w="108" w:type="dxa"/>
              <w:right w:w="108" w:type="dxa"/>
            </w:tcMar>
            <w:vAlign w:val="center"/>
          </w:tcPr>
          <w:p w14:paraId="25AAC624">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通电。</w:t>
            </w:r>
          </w:p>
        </w:tc>
      </w:tr>
    </w:tbl>
    <w:p w14:paraId="407C8665"/>
    <w:p w14:paraId="141F4E7B">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3</w:t>
      </w:r>
      <w:r>
        <w:rPr>
          <w:rFonts w:ascii="楷体" w:hAnsi="楷体" w:eastAsia="楷体"/>
          <w:bCs/>
          <w:sz w:val="28"/>
          <w:szCs w:val="28"/>
        </w:rPr>
        <w:t>.</w:t>
      </w:r>
      <w:r>
        <w:rPr>
          <w:rFonts w:hint="eastAsia" w:ascii="楷体" w:hAnsi="楷体" w:eastAsia="楷体"/>
          <w:bCs/>
          <w:sz w:val="28"/>
          <w:szCs w:val="28"/>
        </w:rPr>
        <w:t>权益状况</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1944"/>
        <w:gridCol w:w="6615"/>
      </w:tblGrid>
      <w:tr w14:paraId="1CCC5A1D">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68FBFA9">
            <w:pPr>
              <w:keepNext w:val="0"/>
              <w:keepLines w:val="0"/>
              <w:widowControl/>
              <w:suppressLineNumbers w:val="0"/>
              <w:jc w:val="center"/>
              <w:textAlignment w:val="center"/>
            </w:pPr>
            <w:bookmarkStart w:id="67" w:name="_Toc8975"/>
            <w:r>
              <w:rPr>
                <w:rFonts w:hint="eastAsia" w:ascii="楷体" w:hAnsi="楷体" w:eastAsia="楷体" w:cs="楷体"/>
                <w:color w:val="000000"/>
                <w:kern w:val="0"/>
                <w:sz w:val="20"/>
                <w:lang w:val="en-US" w:eastAsia="zh-CN" w:bidi="ar"/>
              </w:rPr>
              <w:t>基本情况</w:t>
            </w:r>
          </w:p>
        </w:tc>
        <w:tc>
          <w:tcPr>
            <w:tcW w:w="1944"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A882EA4">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是否取得产权证书</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3E77EBBD">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估价对象未取得《不动产权证》</w:t>
            </w:r>
          </w:p>
        </w:tc>
      </w:tr>
      <w:tr w14:paraId="7784FA1A">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ADF60E3"/>
        </w:tc>
        <w:tc>
          <w:tcPr>
            <w:tcW w:w="1944" w:type="dxa"/>
            <w:tcBorders>
              <w:top w:val="nil"/>
              <w:left w:val="nil"/>
              <w:bottom w:val="single" w:color="auto" w:sz="4" w:space="0"/>
              <w:right w:val="single" w:color="auto" w:sz="4" w:space="0"/>
            </w:tcBorders>
            <w:noWrap w:val="0"/>
            <w:tcMar>
              <w:left w:w="108" w:type="dxa"/>
              <w:right w:w="108" w:type="dxa"/>
            </w:tcMar>
            <w:vAlign w:val="center"/>
          </w:tcPr>
          <w:p w14:paraId="7FA94BC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权利人</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488D01A1">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owner }}</w:t>
            </w:r>
          </w:p>
        </w:tc>
      </w:tr>
      <w:tr w14:paraId="603B80D0">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3FCC9DEC"/>
        </w:tc>
        <w:tc>
          <w:tcPr>
            <w:tcW w:w="1944" w:type="dxa"/>
            <w:tcBorders>
              <w:top w:val="nil"/>
              <w:left w:val="nil"/>
              <w:bottom w:val="single" w:color="auto" w:sz="4" w:space="0"/>
              <w:right w:val="single" w:color="auto" w:sz="4" w:space="0"/>
            </w:tcBorders>
            <w:noWrap w:val="0"/>
            <w:tcMar>
              <w:left w:w="108" w:type="dxa"/>
              <w:right w:w="108" w:type="dxa"/>
            </w:tcMar>
            <w:vAlign w:val="center"/>
          </w:tcPr>
          <w:p w14:paraId="15721041">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设定出租用途</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0DEAD35B">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usage }}</w:t>
            </w:r>
          </w:p>
        </w:tc>
      </w:tr>
      <w:tr w14:paraId="6E9DFC00">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769BEB47"/>
        </w:tc>
        <w:tc>
          <w:tcPr>
            <w:tcW w:w="1944" w:type="dxa"/>
            <w:tcBorders>
              <w:top w:val="nil"/>
              <w:left w:val="nil"/>
              <w:bottom w:val="single" w:color="auto" w:sz="4" w:space="0"/>
              <w:right w:val="single" w:color="auto" w:sz="4" w:space="0"/>
            </w:tcBorders>
            <w:noWrap w:val="0"/>
            <w:tcMar>
              <w:left w:w="108" w:type="dxa"/>
              <w:right w:w="108" w:type="dxa"/>
            </w:tcMar>
            <w:vAlign w:val="center"/>
          </w:tcPr>
          <w:p w14:paraId="62B7B01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估价对象规模</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C7CF6AE">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 scale }}</w:t>
            </w:r>
          </w:p>
        </w:tc>
      </w:tr>
      <w:tr w14:paraId="62F15E78">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234F2AC8"/>
        </w:tc>
        <w:tc>
          <w:tcPr>
            <w:tcW w:w="1944" w:type="dxa"/>
            <w:tcBorders>
              <w:top w:val="nil"/>
              <w:left w:val="nil"/>
              <w:bottom w:val="single" w:color="auto" w:sz="4" w:space="0"/>
              <w:right w:val="single" w:color="auto" w:sz="4" w:space="0"/>
            </w:tcBorders>
            <w:noWrap w:val="0"/>
            <w:tcMar>
              <w:left w:w="108" w:type="dxa"/>
              <w:right w:w="108" w:type="dxa"/>
            </w:tcMar>
            <w:vAlign w:val="center"/>
          </w:tcPr>
          <w:p w14:paraId="6814AE7E">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现使用状况</w:t>
            </w:r>
          </w:p>
        </w:tc>
        <w:tc>
          <w:tcPr>
            <w:tcW w:w="6615" w:type="dxa"/>
            <w:tcBorders>
              <w:top w:val="single" w:color="auto" w:sz="4" w:space="0"/>
              <w:left w:val="nil"/>
              <w:bottom w:val="single" w:color="auto" w:sz="4" w:space="0"/>
              <w:right w:val="single" w:color="auto" w:sz="4" w:space="0"/>
            </w:tcBorders>
            <w:noWrap w:val="0"/>
            <w:tcMar>
              <w:left w:w="108" w:type="dxa"/>
              <w:right w:w="108" w:type="dxa"/>
            </w:tcMar>
            <w:vAlign w:val="center"/>
          </w:tcPr>
          <w:p w14:paraId="7009A275">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至价值时点，估价对象处于出租使用状态。</w:t>
            </w:r>
          </w:p>
        </w:tc>
      </w:tr>
      <w:tr w14:paraId="39A4E356">
        <w:trPr>
          <w:trHeight w:val="499" w:hRule="atLeast"/>
        </w:trPr>
        <w:tc>
          <w:tcPr>
            <w:tcW w:w="726" w:type="dxa"/>
            <w:vMerge w:val="restart"/>
            <w:tcBorders>
              <w:top w:val="single" w:color="auto" w:sz="4" w:space="0"/>
              <w:left w:val="single" w:color="auto" w:sz="4" w:space="0"/>
              <w:bottom w:val="single" w:color="auto" w:sz="4" w:space="0"/>
              <w:right w:val="single" w:color="auto" w:sz="4" w:space="0"/>
            </w:tcBorders>
            <w:shd w:val="clear" w:color="auto" w:fill="auto"/>
            <w:noWrap w:val="0"/>
            <w:tcMar>
              <w:left w:w="108" w:type="dxa"/>
              <w:right w:w="108" w:type="dxa"/>
            </w:tcMar>
            <w:vAlign w:val="center"/>
          </w:tcPr>
          <w:p w14:paraId="332D2FB8">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权益状况</w:t>
            </w:r>
          </w:p>
        </w:tc>
        <w:tc>
          <w:tcPr>
            <w:tcW w:w="1944" w:type="dxa"/>
            <w:tcBorders>
              <w:top w:val="single" w:color="auto" w:sz="4" w:space="0"/>
              <w:left w:val="nil"/>
              <w:bottom w:val="single" w:color="auto" w:sz="4" w:space="0"/>
              <w:right w:val="single" w:color="auto" w:sz="4" w:space="0"/>
            </w:tcBorders>
            <w:shd w:val="clear" w:color="auto" w:fill="auto"/>
            <w:noWrap w:val="0"/>
            <w:tcMar>
              <w:left w:w="108" w:type="dxa"/>
              <w:right w:w="108" w:type="dxa"/>
            </w:tcMar>
            <w:vAlign w:val="center"/>
          </w:tcPr>
          <w:p w14:paraId="0E3BBCB6">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是否存在不利影响</w:t>
            </w:r>
          </w:p>
        </w:tc>
        <w:tc>
          <w:tcPr>
            <w:tcW w:w="6615" w:type="dxa"/>
            <w:tcBorders>
              <w:top w:val="single" w:color="auto" w:sz="4" w:space="0"/>
              <w:left w:val="nil"/>
              <w:bottom w:val="single" w:color="auto" w:sz="4" w:space="0"/>
              <w:right w:val="single" w:color="auto" w:sz="4" w:space="0"/>
            </w:tcBorders>
            <w:shd w:val="clear" w:color="000000" w:fill="FFFFFF"/>
            <w:noWrap w:val="0"/>
            <w:tcMar>
              <w:left w:w="108" w:type="dxa"/>
              <w:right w:w="108" w:type="dxa"/>
            </w:tcMar>
            <w:vAlign w:val="center"/>
          </w:tcPr>
          <w:p w14:paraId="27941329">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无不利使用限制</w:t>
            </w:r>
          </w:p>
        </w:tc>
      </w:tr>
      <w:tr w14:paraId="02C7FF00">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06E21CCF"/>
        </w:tc>
        <w:tc>
          <w:tcPr>
            <w:tcW w:w="1944" w:type="dxa"/>
            <w:tcBorders>
              <w:top w:val="single" w:color="auto" w:sz="4" w:space="0"/>
              <w:left w:val="nil"/>
              <w:bottom w:val="single" w:color="auto" w:sz="4" w:space="0"/>
              <w:right w:val="single" w:color="auto" w:sz="4" w:space="0"/>
            </w:tcBorders>
            <w:noWrap w:val="0"/>
            <w:tcMar>
              <w:left w:w="108" w:type="dxa"/>
              <w:right w:w="108" w:type="dxa"/>
            </w:tcMar>
            <w:vAlign w:val="center"/>
          </w:tcPr>
          <w:p w14:paraId="2CB6799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特殊约定（种植要求等）</w:t>
            </w:r>
          </w:p>
        </w:tc>
        <w:tc>
          <w:tcPr>
            <w:tcW w:w="6615" w:type="dxa"/>
            <w:tcBorders>
              <w:top w:val="nil"/>
              <w:left w:val="nil"/>
              <w:bottom w:val="single" w:color="auto" w:sz="4" w:space="0"/>
              <w:right w:val="single" w:color="auto" w:sz="4" w:space="0"/>
            </w:tcBorders>
            <w:noWrap w:val="0"/>
            <w:tcMar>
              <w:left w:w="108" w:type="dxa"/>
              <w:right w:w="108" w:type="dxa"/>
            </w:tcMar>
            <w:vAlign w:val="center"/>
          </w:tcPr>
          <w:p w14:paraId="467B7615">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特殊约定。</w:t>
            </w:r>
          </w:p>
        </w:tc>
      </w:tr>
      <w:tr w14:paraId="577FBCC5">
        <w:trPr>
          <w:trHeight w:val="499" w:hRule="atLeast"/>
        </w:trPr>
        <w:tc>
          <w:tcPr>
            <w:tcW w:w="726" w:type="dxa"/>
            <w:vMerge w:val="continue"/>
            <w:tcBorders>
              <w:top w:val="single" w:color="auto" w:sz="4" w:space="0"/>
              <w:left w:val="single" w:color="auto" w:sz="4" w:space="0"/>
              <w:bottom w:val="single" w:color="auto" w:sz="4" w:space="0"/>
              <w:right w:val="single" w:color="auto" w:sz="4" w:space="0"/>
            </w:tcBorders>
            <w:noWrap w:val="0"/>
            <w:tcMar>
              <w:left w:w="108" w:type="dxa"/>
              <w:right w:w="108" w:type="dxa"/>
            </w:tcMar>
            <w:vAlign w:val="center"/>
          </w:tcPr>
          <w:p w14:paraId="1A7A223D"/>
        </w:tc>
        <w:tc>
          <w:tcPr>
            <w:tcW w:w="1944" w:type="dxa"/>
            <w:tcBorders>
              <w:top w:val="single" w:color="auto" w:sz="4" w:space="0"/>
              <w:left w:val="nil"/>
              <w:bottom w:val="single" w:color="auto" w:sz="4" w:space="0"/>
              <w:right w:val="single" w:color="auto" w:sz="4" w:space="0"/>
            </w:tcBorders>
            <w:noWrap w:val="0"/>
            <w:tcMar>
              <w:left w:w="108" w:type="dxa"/>
              <w:right w:w="108" w:type="dxa"/>
            </w:tcMar>
            <w:vAlign w:val="center"/>
          </w:tcPr>
          <w:p w14:paraId="63B18292">
            <w:pPr>
              <w:keepNext w:val="0"/>
              <w:keepLines w:val="0"/>
              <w:widowControl/>
              <w:suppressLineNumbers w:val="0"/>
              <w:jc w:val="center"/>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相邻关系限制</w:t>
            </w:r>
          </w:p>
        </w:tc>
        <w:tc>
          <w:tcPr>
            <w:tcW w:w="6615" w:type="dxa"/>
            <w:tcBorders>
              <w:top w:val="nil"/>
              <w:left w:val="nil"/>
              <w:bottom w:val="single" w:color="auto" w:sz="4" w:space="0"/>
              <w:right w:val="single" w:color="auto" w:sz="4" w:space="0"/>
            </w:tcBorders>
            <w:noWrap w:val="0"/>
            <w:tcMar>
              <w:left w:w="108" w:type="dxa"/>
              <w:right w:w="108" w:type="dxa"/>
            </w:tcMar>
            <w:vAlign w:val="center"/>
          </w:tcPr>
          <w:p w14:paraId="6FD9174B">
            <w:pPr>
              <w:widowControl/>
              <w:jc w:val="left"/>
              <w:textAlignment w:val="center"/>
              <w:rPr>
                <w:rFonts w:hint="eastAsia" w:ascii="楷体" w:hAnsi="楷体" w:eastAsia="楷体" w:cs="楷体"/>
                <w:i w:val="0"/>
                <w:iCs w:val="0"/>
                <w:color w:val="000000"/>
                <w:kern w:val="2"/>
                <w:sz w:val="20"/>
                <w:szCs w:val="20"/>
                <w:u w:val="none"/>
                <w:lang w:val="en-US" w:eastAsia="zh-CN" w:bidi="ar-SA"/>
              </w:rPr>
            </w:pPr>
            <w:r>
              <w:rPr>
                <w:rFonts w:hint="eastAsia" w:ascii="楷体" w:hAnsi="楷体" w:eastAsia="楷体" w:cs="楷体"/>
                <w:color w:val="000000"/>
                <w:kern w:val="0"/>
                <w:sz w:val="20"/>
                <w:lang w:val="en-US" w:eastAsia="zh-CN" w:bidi="ar"/>
              </w:rPr>
              <w:t>无地役权，没有相邻权受限或纠纷。</w:t>
            </w:r>
          </w:p>
        </w:tc>
      </w:tr>
    </w:tbl>
    <w:p w14:paraId="1203E3BC"/>
    <w:p w14:paraId="6BE3CF25">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五、价值时点</w:t>
      </w:r>
      <w:bookmarkEnd w:id="65"/>
      <w:bookmarkEnd w:id="66"/>
      <w:bookmarkEnd w:id="67"/>
    </w:p>
    <w:p w14:paraId="340AE886">
      <w:pPr>
        <w:spacing w:line="560" w:lineRule="exact"/>
        <w:ind w:firstLine="560" w:firstLineChars="200"/>
        <w:jc w:val="left"/>
      </w:pPr>
      <w:bookmarkStart w:id="68" w:name="_Toc221710861_ai"/>
      <w:r>
        <w:rPr>
          <w:rFonts w:hint="eastAsia" w:ascii="楷体" w:hAnsi="楷体" w:eastAsia="楷体" w:cs="宋体"/>
          <w:kern w:val="2"/>
          <w:sz w:val="28"/>
          <w:szCs w:val="28"/>
          <w:lang w:val="en-US" w:eastAsia="zh-CN" w:bidi="ar-SA"/>
        </w:rPr>
        <w:t>2026年4月20日。</w:t>
      </w:r>
      <w:bookmarkEnd w:id="68"/>
    </w:p>
    <w:p w14:paraId="41553319">
      <w:pPr>
        <w:spacing w:line="560" w:lineRule="exact"/>
        <w:ind w:firstLine="560" w:firstLineChars="200"/>
        <w:jc w:val="left"/>
        <w:rPr>
          <w:rFonts w:hint="eastAsia" w:ascii="楷体" w:hAnsi="楷体" w:eastAsia="楷体"/>
          <w:bCs/>
          <w:kern w:val="2"/>
          <w:sz w:val="28"/>
          <w:szCs w:val="28"/>
          <w:lang w:val="en-US" w:eastAsia="zh-CN" w:bidi="ar-SA"/>
        </w:rPr>
      </w:pPr>
      <w:bookmarkStart w:id="69" w:name="_Toc221710862"/>
      <w:bookmarkStart w:id="70" w:name="_Toc11524"/>
      <w:bookmarkStart w:id="71" w:name="_Toc484941667"/>
      <w:bookmarkStart w:id="72" w:name="_Toc505087759"/>
      <w:r>
        <w:rPr>
          <w:rFonts w:hint="eastAsia" w:ascii="楷体" w:hAnsi="楷体" w:eastAsia="楷体" w:cs="宋体"/>
          <w:kern w:val="2"/>
          <w:sz w:val="28"/>
          <w:szCs w:val="28"/>
          <w:lang w:val="en-US" w:eastAsia="zh-CN" w:bidi="ar-SA"/>
        </w:rPr>
        <w:t>因本次估价目的为确定房地产租赁价值提供参考依据。经与估价委托人协商，价值时点为完成估价对象查勘之日，故本次估价以实地查勘之日2026年4月20日作为价值时点。</w:t>
      </w:r>
    </w:p>
    <w:p w14:paraId="3654EB1A">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六、价值类型</w:t>
      </w:r>
      <w:bookmarkEnd w:id="69"/>
      <w:bookmarkEnd w:id="70"/>
      <w:bookmarkEnd w:id="71"/>
      <w:bookmarkEnd w:id="72"/>
    </w:p>
    <w:p w14:paraId="77B3312B">
      <w:pPr>
        <w:spacing w:line="560" w:lineRule="exact"/>
        <w:ind w:firstLine="600"/>
        <w:rPr>
          <w:rFonts w:hint="eastAsia" w:ascii="楷体" w:hAnsi="楷体" w:eastAsia="楷体"/>
          <w:sz w:val="28"/>
          <w:szCs w:val="28"/>
        </w:rPr>
      </w:pPr>
      <w:r>
        <w:rPr>
          <w:rFonts w:hint="eastAsia" w:ascii="楷体" w:hAnsi="楷体" w:eastAsia="楷体"/>
          <w:sz w:val="28"/>
          <w:szCs w:val="28"/>
        </w:rPr>
        <w:t>1.价值名称：市场租赁价值。</w:t>
      </w:r>
    </w:p>
    <w:p w14:paraId="56F45A70">
      <w:pPr>
        <w:spacing w:line="560" w:lineRule="exact"/>
        <w:ind w:firstLine="600"/>
        <w:rPr>
          <w:rFonts w:hint="eastAsia" w:ascii="楷体" w:hAnsi="楷体" w:eastAsia="楷体"/>
          <w:sz w:val="28"/>
          <w:szCs w:val="28"/>
        </w:rPr>
      </w:pPr>
      <w:r>
        <w:rPr>
          <w:rFonts w:hint="eastAsia" w:ascii="楷体" w:hAnsi="楷体" w:eastAsia="楷体"/>
          <w:sz w:val="28"/>
          <w:szCs w:val="28"/>
        </w:rPr>
        <w:t>2.价值内涵：是指在公开市场上由熟悉情况且不受强迫的租赁双方，在租赁条件下自愿达成的在价值时点的最可能的租赁金额。</w:t>
      </w:r>
    </w:p>
    <w:p w14:paraId="389C888D">
      <w:pPr>
        <w:spacing w:line="500" w:lineRule="exact"/>
        <w:ind w:firstLine="560" w:firstLineChars="200"/>
        <w:jc w:val="left"/>
        <w:rPr>
          <w:rFonts w:hint="eastAsia" w:ascii="楷体" w:hAnsi="楷体" w:eastAsia="楷体" w:cs="仿宋"/>
          <w:kern w:val="2"/>
          <w:sz w:val="28"/>
          <w:szCs w:val="28"/>
          <w:lang w:val="en-US" w:eastAsia="zh-CN" w:bidi="ar-SA"/>
        </w:rPr>
      </w:pPr>
      <w:r>
        <w:rPr>
          <w:rFonts w:hint="eastAsia" w:ascii="楷体" w:hAnsi="楷体" w:eastAsia="楷体" w:cs="宋体"/>
          <w:kern w:val="2"/>
          <w:sz w:val="28"/>
          <w:szCs w:val="28"/>
          <w:lang w:val="en-US" w:eastAsia="zh-CN" w:bidi="ar-SA"/>
        </w:rPr>
        <w:t>本次估价范围包含土地使用权，不包含水电费、债权债务、特许经营权等其他权利。</w:t>
      </w:r>
    </w:p>
    <w:p w14:paraId="0E6C23F3">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①租赁用途和使用要求：按估价对象设定出租用途使用；</w:t>
      </w:r>
    </w:p>
    <w:p w14:paraId="5EBFC250">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②包含正常出租该房地产应缴税费；</w:t>
      </w:r>
    </w:p>
    <w:p w14:paraId="169DDC95">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③房屋维修费、保险费、房产税等费用由出租人承担；</w:t>
      </w:r>
    </w:p>
    <w:p w14:paraId="258F2E38">
      <w:pPr>
        <w:spacing w:line="500" w:lineRule="exact"/>
        <w:ind w:firstLine="560" w:firstLineChars="200"/>
        <w:jc w:val="left"/>
        <w:rPr>
          <w:rFonts w:hint="eastAsia" w:ascii="楷体" w:hAnsi="楷体" w:eastAsia="楷体" w:cs="仿宋"/>
          <w:sz w:val="28"/>
          <w:szCs w:val="28"/>
        </w:rPr>
      </w:pPr>
      <w:r>
        <w:rPr>
          <w:rFonts w:hint="eastAsia" w:ascii="楷体" w:hAnsi="楷体" w:eastAsia="楷体" w:cs="仿宋"/>
          <w:sz w:val="28"/>
          <w:szCs w:val="28"/>
        </w:rPr>
        <w:t>④物业管理费以及水、电、燃气等相关费用由承租人承担。</w:t>
      </w:r>
    </w:p>
    <w:p w14:paraId="0128D0E4">
      <w:pPr>
        <w:spacing w:line="560" w:lineRule="exact"/>
        <w:ind w:firstLine="600"/>
        <w:rPr>
          <w:rFonts w:hint="eastAsia" w:ascii="楷体" w:hAnsi="楷体" w:eastAsia="楷体"/>
          <w:sz w:val="28"/>
          <w:szCs w:val="28"/>
        </w:rPr>
      </w:pPr>
      <w:r>
        <w:rPr>
          <w:rFonts w:hint="eastAsia" w:ascii="楷体" w:hAnsi="楷体" w:eastAsia="楷体"/>
          <w:sz w:val="28"/>
          <w:szCs w:val="28"/>
        </w:rPr>
        <w:t>本报告所提供的是上述房地产在满足全部假设和限制条件下于价值时点的租赁价值。</w:t>
      </w:r>
    </w:p>
    <w:p w14:paraId="30C75704">
      <w:pPr>
        <w:spacing w:before="156" w:beforeLines="50" w:line="560" w:lineRule="exact"/>
        <w:jc w:val="left"/>
        <w:outlineLvl w:val="1"/>
        <w:rPr>
          <w:rFonts w:hint="eastAsia" w:ascii="楷体" w:hAnsi="楷体" w:eastAsia="楷体"/>
          <w:b/>
          <w:bCs/>
          <w:sz w:val="28"/>
          <w:szCs w:val="28"/>
        </w:rPr>
      </w:pPr>
      <w:bookmarkStart w:id="73" w:name="_Toc505087760"/>
      <w:bookmarkStart w:id="74" w:name="_Toc484941668"/>
      <w:bookmarkStart w:id="75" w:name="_Toc8087"/>
      <w:bookmarkStart w:id="76" w:name="_Toc221710863"/>
      <w:r>
        <w:rPr>
          <w:rFonts w:hint="eastAsia" w:ascii="楷体" w:hAnsi="楷体" w:eastAsia="楷体"/>
          <w:b/>
          <w:bCs/>
          <w:sz w:val="28"/>
          <w:szCs w:val="28"/>
        </w:rPr>
        <w:t>七、估价原则</w:t>
      </w:r>
      <w:bookmarkEnd w:id="73"/>
      <w:bookmarkEnd w:id="74"/>
      <w:bookmarkEnd w:id="75"/>
      <w:bookmarkEnd w:id="76"/>
    </w:p>
    <w:p w14:paraId="278BE966">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本次估价遵循独立、客观、公正原则、合法原则、价值时点原则、替代原则、最高最佳利用原则。具体如下：</w:t>
      </w:r>
    </w:p>
    <w:p w14:paraId="6542FC6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1.遵循独立、客观、公正原则，评估价值应为对各方估价利害关系人均是公平合理的价值或价格；</w:t>
      </w:r>
    </w:p>
    <w:p w14:paraId="32EFEC3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2.遵循合法原则，评估价值应为在依法判定的估价对象状况下的价值或价格；</w:t>
      </w:r>
    </w:p>
    <w:p w14:paraId="1A0E3E7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3.遵循价值时点原则，评估价值应为在根据估价目的确定的某一特定时间的价值或价格；</w:t>
      </w:r>
    </w:p>
    <w:p w14:paraId="5B7AB7DC">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4.遵循替代原则，评估价值与估价对象的类似房地产在同等条件下的价值或价格偏差应在合理范围内；</w:t>
      </w:r>
    </w:p>
    <w:p w14:paraId="352AB31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遵循最高最佳利用原则，评估价值应为在估价对象最高最佳利用状况下的价值或价格，最高最佳利用是房地产在法律上允许、技术上可能、财务上可行并使价值最大的合理、可能的利用，包括最佳的用途、规模和档次等。</w:t>
      </w:r>
    </w:p>
    <w:p w14:paraId="7E9B0DCE">
      <w:pPr>
        <w:spacing w:before="156" w:beforeLines="50" w:line="560" w:lineRule="exact"/>
        <w:jc w:val="left"/>
        <w:outlineLvl w:val="1"/>
        <w:rPr>
          <w:rFonts w:hint="eastAsia" w:ascii="楷体" w:hAnsi="楷体" w:eastAsia="楷体"/>
          <w:b/>
          <w:bCs/>
          <w:sz w:val="28"/>
          <w:szCs w:val="28"/>
        </w:rPr>
      </w:pPr>
      <w:bookmarkStart w:id="77" w:name="_Toc505087761"/>
      <w:bookmarkStart w:id="78" w:name="_Toc484941669"/>
      <w:bookmarkStart w:id="79" w:name="_Toc6137"/>
      <w:bookmarkStart w:id="80" w:name="_Toc221710864"/>
      <w:r>
        <w:rPr>
          <w:rFonts w:hint="eastAsia" w:ascii="楷体" w:hAnsi="楷体" w:eastAsia="楷体"/>
          <w:b/>
          <w:bCs/>
          <w:sz w:val="28"/>
          <w:szCs w:val="28"/>
        </w:rPr>
        <w:t>八、估价依据</w:t>
      </w:r>
      <w:bookmarkEnd w:id="77"/>
      <w:bookmarkEnd w:id="78"/>
      <w:bookmarkEnd w:id="79"/>
      <w:bookmarkEnd w:id="80"/>
    </w:p>
    <w:p w14:paraId="45DA6D0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1.本次估价所依据的有关法律、法规、司法解释和部门规章</w:t>
      </w:r>
    </w:p>
    <w:p w14:paraId="32CE92D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（1）《中华人民共和国民法典》；</w:t>
      </w:r>
    </w:p>
    <w:p w14:paraId="7AE8D09C">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（2）《中华人民共和国资产评估法》；</w:t>
      </w:r>
    </w:p>
    <w:p w14:paraId="0F2EBD16">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（3）《中华人民共和国城市房地产管理法》；</w:t>
      </w:r>
    </w:p>
    <w:p w14:paraId="25948CF3">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（4）《中华人民共和国土地管理法》；</w:t>
      </w:r>
    </w:p>
    <w:p w14:paraId="29F5BBB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（5）《中华人民共和国城乡规划法》。</w:t>
      </w:r>
    </w:p>
    <w:p w14:paraId="7E65869F">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2.本次估价采用的技术规程</w:t>
      </w:r>
    </w:p>
    <w:p w14:paraId="44C43074">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（1）《房地产估价规范》GB/T 50291-2015；</w:t>
      </w:r>
    </w:p>
    <w:p w14:paraId="339CFBB0">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（2）《房地产估价基本术语标准》GB/T 50899-2013;</w:t>
      </w:r>
    </w:p>
    <w:p w14:paraId="291F2D71">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（3）《房地产租金评估技术指引》沪房地估协（2024）1号。</w:t>
      </w:r>
    </w:p>
    <w:p w14:paraId="38135A51">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3.估价委托人提供的有关资料</w:t>
      </w:r>
    </w:p>
    <w:p w14:paraId="776C19B9">
      <w:pPr>
        <w:spacing w:line="560" w:lineRule="exact"/>
        <w:ind w:firstLine="560" w:firstLineChars="200"/>
        <w:jc w:val="left"/>
        <w:rPr>
          <w:rFonts w:hint="eastAsia" w:ascii="楷体" w:hAnsi="楷体" w:eastAsia="楷体"/>
          <w:bCs/>
          <w:kern w:val="2"/>
          <w:sz w:val="28"/>
          <w:szCs w:val="28"/>
          <w:lang w:val="en-US" w:eastAsia="zh-CN" w:bidi="ar-SA"/>
        </w:rPr>
      </w:pPr>
      <w:r>
        <w:rPr>
          <w:rFonts w:hint="eastAsia" w:ascii="楷体" w:hAnsi="楷体" w:eastAsia="楷体" w:cs="宋体"/>
          <w:kern w:val="2"/>
          <w:sz w:val="28"/>
          <w:szCs w:val="28"/>
          <w:lang w:val="en-US" w:eastAsia="zh-CN" w:bidi="ar-SA"/>
        </w:rPr>
        <w:t>（1）《委托评估协议书》复印件；</w:t>
      </w:r>
    </w:p>
    <w:p w14:paraId="45A9596D">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w:t>
      </w:r>
      <w:r>
        <w:rPr>
          <w:rFonts w:hint="eastAsia" w:ascii="楷体" w:hAnsi="楷体" w:eastAsia="楷体"/>
          <w:bCs/>
          <w:sz w:val="28"/>
          <w:szCs w:val="28"/>
          <w:lang w:val="en-US" w:eastAsia="zh-CN"/>
        </w:rPr>
        <w:t>2</w:t>
      </w:r>
      <w:r>
        <w:rPr>
          <w:rFonts w:hint="eastAsia" w:ascii="楷体" w:hAnsi="楷体" w:eastAsia="楷体"/>
          <w:bCs/>
          <w:sz w:val="28"/>
          <w:szCs w:val="28"/>
        </w:rPr>
        <w:t>）其他有关资料。</w:t>
      </w:r>
    </w:p>
    <w:p w14:paraId="17A1DF59">
      <w:pPr>
        <w:spacing w:line="56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 xml:space="preserve">4.注册房地产估价师现场勘察资料与估价机构所搜集掌握的有关资料。  </w:t>
      </w:r>
      <w:bookmarkStart w:id="81" w:name="_Toc505087762"/>
      <w:bookmarkStart w:id="82" w:name="_Toc484941670"/>
    </w:p>
    <w:p w14:paraId="14E6B2C7">
      <w:pPr>
        <w:spacing w:before="156" w:beforeLines="50" w:line="560" w:lineRule="exact"/>
        <w:jc w:val="left"/>
        <w:outlineLvl w:val="1"/>
        <w:rPr>
          <w:rFonts w:hint="eastAsia" w:ascii="楷体" w:hAnsi="楷体" w:eastAsia="楷体"/>
          <w:b/>
          <w:bCs/>
          <w:sz w:val="28"/>
          <w:szCs w:val="28"/>
        </w:rPr>
      </w:pPr>
      <w:bookmarkStart w:id="83" w:name="_Toc31282"/>
      <w:bookmarkStart w:id="84" w:name="_Toc221710865"/>
      <w:r>
        <w:rPr>
          <w:rFonts w:hint="eastAsia" w:ascii="楷体" w:hAnsi="楷体" w:eastAsia="楷体"/>
          <w:b/>
          <w:bCs/>
          <w:sz w:val="28"/>
          <w:szCs w:val="28"/>
        </w:rPr>
        <w:t>九、估价方法</w:t>
      </w:r>
      <w:bookmarkEnd w:id="81"/>
      <w:bookmarkEnd w:id="82"/>
      <w:bookmarkEnd w:id="83"/>
      <w:bookmarkEnd w:id="84"/>
    </w:p>
    <w:p w14:paraId="472B3BC2">
      <w:pPr>
        <w:spacing w:line="560" w:lineRule="exact"/>
        <w:ind w:firstLine="560" w:firstLineChars="200"/>
        <w:jc w:val="left"/>
        <w:rPr>
          <w:rFonts w:hint="eastAsia" w:ascii="楷体" w:hAnsi="楷体" w:eastAsia="楷体"/>
          <w:bCs/>
          <w:sz w:val="28"/>
          <w:szCs w:val="28"/>
        </w:rPr>
      </w:pPr>
      <w:bookmarkStart w:id="85" w:name="_Hlk207891576"/>
      <w:r>
        <w:rPr>
          <w:rFonts w:hint="eastAsia" w:ascii="楷体" w:hAnsi="楷体" w:eastAsia="楷体"/>
          <w:bCs/>
          <w:sz w:val="28"/>
          <w:szCs w:val="28"/>
        </w:rPr>
        <w:t>根据《房地产估价规范》(GB/T50291-2015) ，并参考《房地产租金评估技术指引》沪房地估协（2024）1号,估价方法通常有比较法、成本法、价值折算法、剩余法四种。</w:t>
      </w:r>
    </w:p>
    <w:p w14:paraId="6EAA02D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比较法是根据与估价对象相似的房地产租金来经比较、调整或修正来求取估价对象房地产租金的方法。</w:t>
      </w:r>
    </w:p>
    <w:p w14:paraId="01664363">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rPr>
        <w:t>成本法是以租金各个构成项之和来求取房地产租金的方法。</w:t>
      </w:r>
    </w:p>
    <w:p w14:paraId="50737234">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价值折算法是选取适宜方法求得估价对象房地产市场价值或价格，然后确定估价对象报酬率或资本化率，选用适当的数学公式求取折算系数，计算房地产净收益，加上运营费、相关税费等得出房地产租金的方法。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644D166C">
      <w:pPr>
        <w:spacing w:line="490" w:lineRule="exact"/>
        <w:ind w:firstLine="560" w:firstLineChars="200"/>
        <w:jc w:val="left"/>
        <w:rPr>
          <w:rFonts w:hint="eastAsia" w:ascii="楷体" w:hAnsi="楷体" w:eastAsia="楷体"/>
          <w:bCs/>
          <w:sz w:val="28"/>
          <w:szCs w:val="28"/>
        </w:rPr>
      </w:pPr>
      <w:r>
        <w:rPr>
          <w:rFonts w:hint="eastAsia" w:ascii="楷体" w:hAnsi="楷体" w:eastAsia="楷体"/>
          <w:bCs/>
          <w:sz w:val="28"/>
          <w:szCs w:val="28"/>
          <w:lang w:val="en-US" w:eastAsia="zh-CN"/>
        </w:rPr>
        <w:t>剩余法是根据房地产经营产生的经营收入，扣除经营成本和经营利润，或根据改造完成后的房地产租赁收入，扣除需投入的改造成本，求取房地产租金的方法。</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r>
        <w:rPr>
          <w:rFonts w:hint="eastAsia" w:ascii="楷体" w:hAnsi="楷体" w:eastAsia="楷体"/>
          <w:bCs/>
          <w:sz w:val="28"/>
          <w:szCs w:val="28"/>
          <w:lang w:eastAsia="zh-CN"/>
        </w:rPr>
        <w:t/>
      </w:r>
      <w:r>
        <w:rPr>
          <w:rFonts w:hint="eastAsia" w:ascii="楷体" w:hAnsi="楷体" w:eastAsia="楷体"/>
          <w:bCs/>
          <w:sz w:val="28"/>
          <w:szCs w:val="28"/>
        </w:rPr>
        <w:t/>
      </w:r>
    </w:p>
    <w:p w14:paraId="7842D2E4">
      <w:pPr>
        <w:spacing w:line="560" w:lineRule="exact"/>
        <w:ind w:firstLine="560" w:firstLineChars="200"/>
        <w:jc w:val="left"/>
        <w:rPr>
          <w:rFonts w:ascii="楷体" w:hAnsi="楷体" w:eastAsia="楷体"/>
          <w:bCs/>
          <w:sz w:val="28"/>
          <w:szCs w:val="28"/>
        </w:rPr>
      </w:pPr>
      <w:r>
        <w:rPr>
          <w:rFonts w:hint="eastAsia" w:ascii="楷体" w:hAnsi="楷体" w:eastAsia="楷体"/>
          <w:bCs/>
          <w:sz w:val="28"/>
          <w:szCs w:val="28"/>
        </w:rPr>
        <w:t>估价人员在认真分析所掌握的资料，并对估价对象进行了实地查勘以及对周边房地产市场的分析，依据《房地产估价规范》估价对象的特点及本次估价目的，遵照国家有关法律、法规、估价技术标准，经过反复研究，</w:t>
      </w:r>
      <w:r>
        <w:rPr>
          <w:rFonts w:hint="eastAsia" w:ascii="楷体" w:hAnsi="楷体" w:eastAsia="楷体" w:cs="仿宋"/>
          <w:sz w:val="28"/>
          <w:szCs w:val="28"/>
        </w:rPr>
        <w:t>本次估价对象租赁价值选用比较法进行评估，并对上述评估方法的测算确定评估价值</w:t>
      </w:r>
      <w:r>
        <w:rPr>
          <w:rFonts w:hint="eastAsia" w:ascii="楷体" w:hAnsi="楷体" w:eastAsia="楷体"/>
          <w:bCs/>
          <w:sz w:val="28"/>
          <w:szCs w:val="28"/>
        </w:rPr>
        <w:t>。</w:t>
      </w:r>
      <w:bookmarkStart w:id="86" w:name="_Toc484941671"/>
      <w:bookmarkStart w:id="87" w:name="_Toc505087763"/>
    </w:p>
    <w:bookmarkEnd w:id="85"/>
    <w:p w14:paraId="2179BA04">
      <w:pPr>
        <w:spacing w:before="156" w:beforeLines="50" w:line="560" w:lineRule="exact"/>
        <w:jc w:val="left"/>
        <w:outlineLvl w:val="1"/>
        <w:rPr>
          <w:rFonts w:hint="eastAsia" w:ascii="楷体" w:hAnsi="楷体" w:eastAsia="楷体"/>
          <w:b/>
          <w:bCs/>
          <w:sz w:val="28"/>
          <w:szCs w:val="28"/>
        </w:rPr>
      </w:pPr>
      <w:bookmarkStart w:id="88" w:name="_Toc221710866"/>
      <w:bookmarkStart w:id="89" w:name="_Toc32348"/>
      <w:r>
        <w:rPr>
          <w:rFonts w:hint="eastAsia" w:ascii="楷体" w:hAnsi="楷体" w:eastAsia="楷体"/>
          <w:b/>
          <w:bCs/>
          <w:sz w:val="28"/>
          <w:szCs w:val="28"/>
        </w:rPr>
        <w:t>十、估价结果</w:t>
      </w:r>
      <w:bookmarkEnd w:id="86"/>
      <w:bookmarkEnd w:id="87"/>
      <w:bookmarkEnd w:id="88"/>
      <w:bookmarkEnd w:id="89"/>
    </w:p>
    <w:p w14:paraId="3D146E7F">
      <w:pPr>
        <w:snapToGrid w:val="0"/>
        <w:spacing w:line="540" w:lineRule="exact"/>
        <w:ind w:left="71" w:leftChars="0" w:firstLine="560" w:firstLineChars="200"/>
        <w:jc w:val="left"/>
      </w:pPr>
      <w:bookmarkStart w:id="90" w:name="_Toc2703"/>
      <w:bookmarkStart w:id="91" w:name="_Toc484941672"/>
      <w:bookmarkStart w:id="92" w:name="_Toc221710867"/>
      <w:bookmarkStart w:id="93" w:name="_Toc505087764"/>
      <w:r>
        <w:rPr>
          <w:rFonts w:hint="eastAsia" w:ascii="楷体" w:hAnsi="楷体" w:eastAsia="楷体" w:cs="宋体"/>
          <w:kern w:val="2"/>
          <w:sz w:val="28"/>
          <w:szCs w:val="28"/>
          <w:lang w:val="en-US" w:eastAsia="zh-CN" w:bidi="ar-SA"/>
        </w:rPr>
        <w:t>我公司根据估价目的，遵循估价原则，采用上述方法，在认真分析估价委托人提供的资料以及估价人员实地查勘和市场调查取得的资料基础上，对影响房地产价值的因素进行了分析，经过测算，结合估价经验，于价值时点{{ value_date_cn }}在满足所有估价假设和限制条件下，确定估价对象的年租赁价值为{{ total_value }}元，大写：人民币{{ total_value_capital }}。</w:t>
      </w:r>
      <w:r>
        <w:rPr>
          <w:rFonts w:hint="eastAsia" w:ascii="楷体" w:hAnsi="楷体" w:eastAsia="楷体"/>
          <w:b/>
          <w:kern w:val="2"/>
          <w:sz w:val="28"/>
          <w:szCs w:val="28"/>
          <w:lang w:val="en-US" w:eastAsia="zh-CN" w:bidi="ar-SA"/>
        </w:rPr>
        <w:t/>
      </w:r>
    </w:p>
    <w:p w14:paraId="7E34827B">
      <w:pPr>
        <w:spacing w:before="156" w:beforeLines="50" w:line="560" w:lineRule="exact"/>
        <w:jc w:val="left"/>
        <w:outlineLvl w:val="1"/>
        <w:rPr>
          <w:rFonts w:ascii="楷体" w:hAnsi="楷体" w:eastAsia="楷体"/>
          <w:b/>
          <w:bCs/>
          <w:sz w:val="28"/>
          <w:szCs w:val="28"/>
        </w:rPr>
      </w:pPr>
      <w:r>
        <w:rPr>
          <w:rFonts w:hint="eastAsia" w:ascii="楷体" w:hAnsi="楷体" w:eastAsia="楷体"/>
          <w:b/>
          <w:bCs/>
          <w:sz w:val="28"/>
          <w:szCs w:val="28"/>
        </w:rPr>
        <w:t>十一、注册房地产估价师</w:t>
      </w:r>
      <w:bookmarkEnd w:id="90"/>
      <w:bookmarkEnd w:id="91"/>
      <w:bookmarkEnd w:id="92"/>
      <w:bookmarkEnd w:id="93"/>
      <w:bookmarkStart w:id="94" w:name="_Hlk221709317"/>
    </w:p>
    <w:tbl>
      <w:tblPr>
        <w:tblStyle w:val="28"/>
        <w:tblW w:w="917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40"/>
        <w:gridCol w:w="2092"/>
        <w:gridCol w:w="3072"/>
        <w:gridCol w:w="2366"/>
      </w:tblGrid>
      <w:tr w14:paraId="75912205">
        <w:trPr>
          <w:trHeight w:val="611" w:hRule="exact"/>
        </w:trPr>
        <w:tc>
          <w:tcPr>
            <w:tcW w:w="1640" w:type="dxa"/>
            <w:noWrap w:val="0"/>
            <w:vAlign w:val="center"/>
          </w:tcPr>
          <w:p w14:paraId="7D0941C7">
            <w:pPr>
              <w:tabs>
                <w:tab w:val="left" w:pos="8931"/>
                <w:tab w:val="left" w:pos="9214"/>
                <w:tab w:val="left" w:pos="9240"/>
              </w:tabs>
              <w:spacing w:line="440" w:lineRule="exact"/>
              <w:ind w:right="168" w:rightChars="80" w:firstLine="280" w:firstLineChars="100"/>
              <w:rPr>
                <w:rFonts w:ascii="楷体" w:hAnsi="楷体" w:eastAsia="楷体" w:cs="宋体"/>
                <w:sz w:val="28"/>
                <w:szCs w:val="28"/>
              </w:rPr>
            </w:pPr>
            <w:bookmarkStart w:id="95" w:name="%E8%AF%84%E4%BC%B0%E4%BA%BA%E5%91%98"/>
            <w:bookmarkEnd w:id="95"/>
            <w:r>
              <w:rPr>
                <w:rFonts w:hint="eastAsia" w:ascii="楷体" w:hAnsi="楷体" w:eastAsia="楷体" w:cs="宋体"/>
                <w:sz w:val="28"/>
                <w:szCs w:val="28"/>
              </w:rPr>
              <w:t>姓 名</w:t>
            </w:r>
          </w:p>
        </w:tc>
        <w:tc>
          <w:tcPr>
            <w:tcW w:w="2092" w:type="dxa"/>
            <w:noWrap w:val="0"/>
            <w:vAlign w:val="center"/>
          </w:tcPr>
          <w:p w14:paraId="57FD58DD">
            <w:pPr>
              <w:tabs>
                <w:tab w:val="left" w:pos="8931"/>
                <w:tab w:val="left" w:pos="9214"/>
                <w:tab w:val="left" w:pos="9240"/>
              </w:tabs>
              <w:spacing w:line="440" w:lineRule="exact"/>
              <w:ind w:right="168" w:rightChars="80" w:firstLine="420" w:firstLineChars="150"/>
              <w:rPr>
                <w:rFonts w:ascii="楷体" w:hAnsi="楷体" w:eastAsia="楷体" w:cs="宋体"/>
                <w:sz w:val="28"/>
                <w:szCs w:val="28"/>
              </w:rPr>
            </w:pPr>
            <w:r>
              <w:rPr>
                <w:rFonts w:hint="eastAsia" w:ascii="楷体" w:hAnsi="楷体" w:eastAsia="楷体" w:cs="宋体"/>
                <w:sz w:val="28"/>
                <w:szCs w:val="28"/>
              </w:rPr>
              <w:t>注册号</w:t>
            </w:r>
          </w:p>
        </w:tc>
        <w:tc>
          <w:tcPr>
            <w:tcW w:w="3072" w:type="dxa"/>
            <w:noWrap w:val="0"/>
            <w:vAlign w:val="center"/>
          </w:tcPr>
          <w:p w14:paraId="637E73D2">
            <w:pPr>
              <w:tabs>
                <w:tab w:val="left" w:pos="8931"/>
                <w:tab w:val="left" w:pos="9214"/>
                <w:tab w:val="left" w:pos="9240"/>
              </w:tabs>
              <w:spacing w:line="440" w:lineRule="exact"/>
              <w:ind w:left="105" w:leftChars="50" w:right="168" w:rightChars="80" w:firstLine="560" w:firstLineChars="200"/>
              <w:rPr>
                <w:rFonts w:ascii="楷体" w:hAnsi="楷体" w:eastAsia="楷体" w:cs="宋体"/>
                <w:sz w:val="28"/>
                <w:szCs w:val="28"/>
              </w:rPr>
            </w:pPr>
            <w:r>
              <w:rPr>
                <w:rFonts w:hint="eastAsia" w:ascii="楷体" w:hAnsi="楷体" w:eastAsia="楷体" w:cs="宋体"/>
                <w:sz w:val="28"/>
                <w:szCs w:val="28"/>
              </w:rPr>
              <w:t>签名及盖章</w:t>
            </w:r>
          </w:p>
        </w:tc>
        <w:tc>
          <w:tcPr>
            <w:tcW w:w="2366" w:type="dxa"/>
            <w:noWrap w:val="0"/>
            <w:vAlign w:val="center"/>
          </w:tcPr>
          <w:p w14:paraId="05E4D5C8">
            <w:pPr>
              <w:tabs>
                <w:tab w:val="left" w:pos="8931"/>
                <w:tab w:val="left" w:pos="9214"/>
                <w:tab w:val="left" w:pos="9240"/>
              </w:tabs>
              <w:spacing w:line="440" w:lineRule="exact"/>
              <w:ind w:left="105" w:leftChars="50" w:right="168" w:rightChars="80" w:firstLine="280" w:firstLineChars="100"/>
              <w:rPr>
                <w:rFonts w:ascii="楷体" w:hAnsi="楷体" w:eastAsia="楷体" w:cs="宋体"/>
                <w:sz w:val="28"/>
                <w:szCs w:val="28"/>
              </w:rPr>
            </w:pPr>
            <w:r>
              <w:rPr>
                <w:rFonts w:hint="eastAsia" w:ascii="楷体" w:hAnsi="楷体" w:eastAsia="楷体" w:cs="宋体"/>
                <w:sz w:val="28"/>
                <w:szCs w:val="28"/>
              </w:rPr>
              <w:t>签名日期</w:t>
            </w:r>
          </w:p>
        </w:tc>
      </w:tr>
      <w:tr w14:paraId="68F13687">
        <w:trPr>
          <w:trHeight w:val="1259" w:hRule="exact"/>
        </w:trPr>
        <w:tc>
          <w:tcPr>
            <w:tcW w:w="1640" w:type="dxa"/>
            <w:noWrap w:val="0"/>
            <w:vAlign w:val="center"/>
          </w:tcPr>
          <w:p w14:paraId="4FEC4C5E">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韩  伟</w:t>
            </w:r>
          </w:p>
        </w:tc>
        <w:tc>
          <w:tcPr>
            <w:tcW w:w="2092" w:type="dxa"/>
            <w:noWrap w:val="0"/>
            <w:vAlign w:val="center"/>
          </w:tcPr>
          <w:p w14:paraId="0F3616E9">
            <w:pPr>
              <w:tabs>
                <w:tab w:val="left" w:pos="8931"/>
                <w:tab w:val="left" w:pos="9214"/>
                <w:tab w:val="left" w:pos="9240"/>
              </w:tabs>
              <w:spacing w:line="440" w:lineRule="exact"/>
              <w:ind w:left="105" w:leftChars="50" w:right="168" w:rightChars="80"/>
              <w:rPr>
                <w:rFonts w:ascii="楷体" w:hAnsi="楷体" w:eastAsia="楷体" w:cs="宋体"/>
                <w:sz w:val="28"/>
                <w:szCs w:val="28"/>
              </w:rPr>
            </w:pPr>
            <w:r>
              <w:rPr>
                <w:rFonts w:hint="eastAsia" w:ascii="楷体" w:hAnsi="楷体" w:eastAsia="楷体" w:cs="宋体"/>
                <w:sz w:val="28"/>
                <w:szCs w:val="28"/>
              </w:rPr>
              <w:t>3320130071</w:t>
            </w:r>
          </w:p>
        </w:tc>
        <w:tc>
          <w:tcPr>
            <w:tcW w:w="3072" w:type="dxa"/>
            <w:noWrap w:val="0"/>
            <w:vAlign w:val="center"/>
          </w:tcPr>
          <w:p w14:paraId="288A9896">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0EEC4316">
            <w:pPr>
              <w:tabs>
                <w:tab w:val="left" w:pos="8931"/>
                <w:tab w:val="left" w:pos="9214"/>
                <w:tab w:val="left" w:pos="9240"/>
              </w:tabs>
              <w:spacing w:line="440" w:lineRule="exact"/>
              <w:ind w:left="105" w:leftChars="50" w:right="168" w:rightChars="80"/>
              <w:rPr>
                <w:rFonts w:ascii="楷体" w:hAnsi="楷体" w:eastAsia="楷体"/>
                <w:sz w:val="28"/>
              </w:rPr>
            </w:pPr>
          </w:p>
        </w:tc>
      </w:tr>
      <w:tr w14:paraId="2B7630F3">
        <w:trPr>
          <w:trHeight w:val="1406" w:hRule="exact"/>
        </w:trPr>
        <w:tc>
          <w:tcPr>
            <w:tcW w:w="1640" w:type="dxa"/>
            <w:noWrap w:val="0"/>
            <w:vAlign w:val="center"/>
          </w:tcPr>
          <w:p w14:paraId="3B50AC27">
            <w:pPr>
              <w:tabs>
                <w:tab w:val="left" w:pos="8931"/>
                <w:tab w:val="left" w:pos="9214"/>
                <w:tab w:val="left" w:pos="9240"/>
              </w:tabs>
              <w:spacing w:line="440" w:lineRule="exact"/>
              <w:ind w:right="168" w:rightChars="80" w:firstLine="280" w:firstLineChars="100"/>
              <w:rPr>
                <w:rFonts w:ascii="楷体" w:hAnsi="楷体" w:eastAsia="楷体"/>
                <w:sz w:val="28"/>
              </w:rPr>
            </w:pPr>
            <w:r>
              <w:rPr>
                <w:rFonts w:hint="eastAsia" w:ascii="楷体" w:hAnsi="楷体" w:eastAsia="楷体" w:cs="宋体"/>
                <w:sz w:val="28"/>
                <w:szCs w:val="28"/>
              </w:rPr>
              <w:t>胡  柯</w:t>
            </w:r>
          </w:p>
        </w:tc>
        <w:tc>
          <w:tcPr>
            <w:tcW w:w="2092" w:type="dxa"/>
            <w:noWrap w:val="0"/>
            <w:vAlign w:val="center"/>
          </w:tcPr>
          <w:p w14:paraId="52B11532">
            <w:pPr>
              <w:tabs>
                <w:tab w:val="left" w:pos="8931"/>
                <w:tab w:val="left" w:pos="9214"/>
                <w:tab w:val="left" w:pos="9240"/>
              </w:tabs>
              <w:spacing w:line="440" w:lineRule="exact"/>
              <w:ind w:left="105" w:leftChars="50" w:right="168" w:rightChars="80"/>
              <w:rPr>
                <w:rFonts w:ascii="楷体" w:hAnsi="楷体" w:eastAsia="楷体"/>
                <w:sz w:val="28"/>
              </w:rPr>
            </w:pPr>
            <w:r>
              <w:rPr>
                <w:rFonts w:ascii="楷体" w:hAnsi="楷体" w:eastAsia="楷体" w:cs="Arial"/>
                <w:sz w:val="28"/>
                <w:szCs w:val="28"/>
              </w:rPr>
              <w:t>3320190174</w:t>
            </w:r>
          </w:p>
        </w:tc>
        <w:tc>
          <w:tcPr>
            <w:tcW w:w="3072" w:type="dxa"/>
            <w:noWrap w:val="0"/>
            <w:vAlign w:val="center"/>
          </w:tcPr>
          <w:p w14:paraId="23401802">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366" w:type="dxa"/>
            <w:noWrap w:val="0"/>
            <w:vAlign w:val="center"/>
          </w:tcPr>
          <w:p w14:paraId="1ABF816D">
            <w:pPr>
              <w:tabs>
                <w:tab w:val="left" w:pos="8931"/>
                <w:tab w:val="left" w:pos="9214"/>
                <w:tab w:val="left" w:pos="9240"/>
              </w:tabs>
              <w:spacing w:line="440" w:lineRule="exact"/>
              <w:ind w:left="105" w:leftChars="50" w:right="168" w:rightChars="80"/>
              <w:rPr>
                <w:rFonts w:ascii="楷体" w:hAnsi="楷体" w:eastAsia="楷体"/>
                <w:sz w:val="28"/>
              </w:rPr>
            </w:pPr>
          </w:p>
        </w:tc>
      </w:tr>
      <w:bookmarkEnd w:id="94"/>
    </w:tbl>
    <w:p w14:paraId="578A106A">
      <w:pPr>
        <w:spacing w:before="156" w:beforeLines="50" w:line="560" w:lineRule="exact"/>
        <w:jc w:val="left"/>
        <w:outlineLvl w:val="1"/>
        <w:rPr>
          <w:rFonts w:hint="eastAsia" w:ascii="楷体" w:hAnsi="楷体" w:eastAsia="楷体"/>
          <w:bCs/>
          <w:sz w:val="28"/>
          <w:szCs w:val="28"/>
        </w:rPr>
      </w:pPr>
      <w:bookmarkStart w:id="96" w:name="_Toc4175"/>
      <w:bookmarkStart w:id="97" w:name="_Toc221710869"/>
      <w:bookmarkStart w:id="98" w:name="_Toc505087765"/>
      <w:bookmarkStart w:id="99" w:name="_Toc484941673"/>
      <w:r>
        <w:rPr>
          <w:rFonts w:hint="eastAsia" w:ascii="楷体" w:hAnsi="楷体" w:eastAsia="楷体"/>
          <w:bCs/>
          <w:sz w:val="28"/>
          <w:szCs w:val="28"/>
        </w:rPr>
        <w:t xml:space="preserve">协助估价人员   </w:t>
      </w:r>
    </w:p>
    <w:tbl>
      <w:tblPr>
        <w:tblStyle w:val="28"/>
        <w:tblW w:w="9210" w:type="dxa"/>
        <w:tblInd w:w="-2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35"/>
        <w:gridCol w:w="2309"/>
        <w:gridCol w:w="2766"/>
        <w:gridCol w:w="2400"/>
      </w:tblGrid>
      <w:tr w14:paraId="312FCC71">
        <w:trPr>
          <w:trHeight w:val="1406" w:hRule="exact"/>
        </w:trPr>
        <w:tc>
          <w:tcPr>
            <w:tcW w:w="1735" w:type="dxa"/>
            <w:tcBorders>
              <w:top w:val="single" w:color="auto" w:sz="8" w:space="0"/>
              <w:left w:val="single" w:color="auto" w:sz="8" w:space="0"/>
              <w:bottom w:val="single" w:color="auto" w:sz="8" w:space="0"/>
              <w:right w:val="single" w:color="auto" w:sz="8" w:space="0"/>
            </w:tcBorders>
            <w:noWrap w:val="0"/>
            <w:vAlign w:val="center"/>
          </w:tcPr>
          <w:p w14:paraId="71865E27">
            <w:pPr>
              <w:tabs>
                <w:tab w:val="left" w:pos="8931"/>
                <w:tab w:val="left" w:pos="9214"/>
                <w:tab w:val="left" w:pos="9240"/>
              </w:tabs>
              <w:spacing w:line="440" w:lineRule="exact"/>
              <w:ind w:right="168" w:rightChars="80" w:firstLine="280" w:firstLineChars="100"/>
              <w:rPr>
                <w:rFonts w:hint="default" w:ascii="楷体" w:hAnsi="楷体" w:eastAsia="楷体"/>
                <w:bCs/>
                <w:sz w:val="28"/>
                <w:szCs w:val="28"/>
                <w:lang w:val="en-US" w:eastAsia="zh-CN"/>
              </w:rPr>
            </w:pPr>
            <w:r>
              <w:rPr>
                <w:rFonts w:hint="eastAsia" w:ascii="楷体" w:hAnsi="楷体" w:eastAsia="楷体"/>
                <w:bCs/>
                <w:sz w:val="28"/>
                <w:szCs w:val="28"/>
                <w:lang w:val="en-US" w:eastAsia="zh-CN"/>
              </w:rPr>
              <w:t>郑伟娜</w:t>
            </w:r>
          </w:p>
        </w:tc>
        <w:tc>
          <w:tcPr>
            <w:tcW w:w="2309" w:type="dxa"/>
            <w:tcBorders>
              <w:top w:val="single" w:color="auto" w:sz="8" w:space="0"/>
              <w:left w:val="single" w:color="auto" w:sz="8" w:space="0"/>
              <w:bottom w:val="single" w:color="auto" w:sz="8" w:space="0"/>
              <w:right w:val="single" w:color="auto" w:sz="8" w:space="0"/>
            </w:tcBorders>
            <w:noWrap w:val="0"/>
            <w:vAlign w:val="center"/>
          </w:tcPr>
          <w:p w14:paraId="0BF90830">
            <w:pPr>
              <w:tabs>
                <w:tab w:val="left" w:pos="8931"/>
                <w:tab w:val="left" w:pos="9214"/>
                <w:tab w:val="left" w:pos="9240"/>
              </w:tabs>
              <w:spacing w:line="440" w:lineRule="exact"/>
              <w:ind w:left="105" w:leftChars="50" w:right="168" w:rightChars="80"/>
              <w:rPr>
                <w:rFonts w:hint="eastAsia" w:ascii="楷体" w:hAnsi="楷体" w:eastAsia="楷体" w:cs="Arial"/>
                <w:sz w:val="28"/>
                <w:szCs w:val="28"/>
                <w:lang w:val="en-US" w:eastAsia="zh-CN"/>
              </w:rPr>
            </w:pPr>
            <w:r>
              <w:rPr>
                <w:rFonts w:hint="eastAsia" w:ascii="楷体" w:hAnsi="楷体" w:eastAsia="楷体" w:cs="Arial"/>
                <w:sz w:val="28"/>
                <w:szCs w:val="28"/>
              </w:rPr>
              <w:t>3300507030470</w:t>
            </w:r>
          </w:p>
        </w:tc>
        <w:tc>
          <w:tcPr>
            <w:tcW w:w="2766" w:type="dxa"/>
            <w:tcBorders>
              <w:top w:val="single" w:color="auto" w:sz="8" w:space="0"/>
              <w:left w:val="single" w:color="auto" w:sz="8" w:space="0"/>
              <w:bottom w:val="single" w:color="auto" w:sz="8" w:space="0"/>
              <w:right w:val="single" w:color="auto" w:sz="8" w:space="0"/>
            </w:tcBorders>
            <w:noWrap w:val="0"/>
            <w:vAlign w:val="center"/>
          </w:tcPr>
          <w:p w14:paraId="1BD4A88F">
            <w:pPr>
              <w:tabs>
                <w:tab w:val="left" w:pos="8931"/>
                <w:tab w:val="left" w:pos="9214"/>
                <w:tab w:val="left" w:pos="9240"/>
              </w:tabs>
              <w:spacing w:line="440" w:lineRule="exact"/>
              <w:ind w:left="105" w:leftChars="50" w:right="168" w:rightChars="80" w:firstLine="560" w:firstLineChars="200"/>
              <w:rPr>
                <w:rFonts w:ascii="楷体" w:hAnsi="楷体" w:eastAsia="楷体"/>
                <w:sz w:val="28"/>
              </w:rPr>
            </w:pPr>
          </w:p>
        </w:tc>
        <w:tc>
          <w:tcPr>
            <w:tcW w:w="2400" w:type="dxa"/>
            <w:tcBorders>
              <w:top w:val="single" w:color="auto" w:sz="8" w:space="0"/>
              <w:left w:val="single" w:color="auto" w:sz="8" w:space="0"/>
              <w:bottom w:val="single" w:color="auto" w:sz="8" w:space="0"/>
              <w:right w:val="single" w:color="auto" w:sz="8" w:space="0"/>
            </w:tcBorders>
            <w:noWrap w:val="0"/>
            <w:vAlign w:val="center"/>
          </w:tcPr>
          <w:p w14:paraId="10A156C2">
            <w:pPr>
              <w:tabs>
                <w:tab w:val="left" w:pos="8931"/>
                <w:tab w:val="left" w:pos="9214"/>
                <w:tab w:val="left" w:pos="9240"/>
              </w:tabs>
              <w:spacing w:line="440" w:lineRule="exact"/>
              <w:ind w:left="105" w:leftChars="50" w:right="168" w:rightChars="80" w:firstLine="280" w:firstLineChars="100"/>
              <w:rPr>
                <w:rFonts w:hint="eastAsia" w:ascii="楷体" w:hAnsi="楷体" w:eastAsia="楷体"/>
                <w:bCs/>
                <w:sz w:val="28"/>
                <w:szCs w:val="28"/>
                <w:lang w:eastAsia="zh-CN"/>
              </w:rPr>
            </w:pPr>
          </w:p>
        </w:tc>
      </w:tr>
    </w:tbl>
    <w:p w14:paraId="78097462">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十二、实地查勘期</w:t>
      </w:r>
      <w:bookmarkEnd w:id="96"/>
      <w:bookmarkEnd w:id="97"/>
      <w:bookmarkEnd w:id="98"/>
      <w:bookmarkEnd w:id="99"/>
    </w:p>
    <w:p w14:paraId="070DC2D1">
      <w:pPr>
        <w:spacing w:line="560" w:lineRule="exact"/>
        <w:ind w:firstLine="560" w:firstLineChars="200"/>
        <w:jc w:val="left"/>
        <w:rPr>
          <w:rFonts w:hint="eastAsia" w:ascii="楷体" w:hAnsi="楷体" w:eastAsia="楷体"/>
          <w:bCs/>
          <w:kern w:val="2"/>
          <w:sz w:val="28"/>
          <w:szCs w:val="28"/>
          <w:lang w:val="en-US" w:eastAsia="zh-CN" w:bidi="ar-SA"/>
        </w:rPr>
      </w:pPr>
      <w:bookmarkStart w:id="100" w:name="_Toc221710870"/>
      <w:bookmarkStart w:id="101" w:name="_Toc484941674"/>
      <w:bookmarkStart w:id="102" w:name="_Toc505087766"/>
      <w:bookmarkStart w:id="103" w:name="_Toc25269"/>
      <w:r>
        <w:rPr>
          <w:rFonts w:hint="eastAsia" w:ascii="楷体" w:hAnsi="楷体" w:eastAsia="楷体" w:cs="宋体"/>
          <w:kern w:val="2"/>
          <w:sz w:val="28"/>
          <w:szCs w:val="28"/>
          <w:lang w:val="en-US" w:eastAsia="zh-CN" w:bidi="ar-SA"/>
        </w:rPr>
        <w:t>2026年4月20日。</w:t>
      </w:r>
    </w:p>
    <w:p w14:paraId="12D18DB4">
      <w:pPr>
        <w:spacing w:before="156" w:beforeLines="50" w:line="560" w:lineRule="exact"/>
        <w:jc w:val="left"/>
        <w:outlineLvl w:val="1"/>
        <w:rPr>
          <w:rFonts w:hint="eastAsia" w:ascii="楷体" w:hAnsi="楷体" w:eastAsia="楷体"/>
          <w:b/>
          <w:bCs/>
          <w:sz w:val="28"/>
          <w:szCs w:val="28"/>
        </w:rPr>
      </w:pPr>
      <w:r>
        <w:rPr>
          <w:rFonts w:hint="eastAsia" w:ascii="楷体" w:hAnsi="楷体" w:eastAsia="楷体"/>
          <w:b/>
          <w:bCs/>
          <w:sz w:val="28"/>
          <w:szCs w:val="28"/>
        </w:rPr>
        <w:t>十三、估价作业期</w:t>
      </w:r>
      <w:bookmarkEnd w:id="100"/>
      <w:bookmarkEnd w:id="101"/>
      <w:bookmarkEnd w:id="102"/>
      <w:bookmarkEnd w:id="103"/>
    </w:p>
    <w:p w14:paraId="20CD5E2E">
      <w:pPr>
        <w:spacing w:line="560" w:lineRule="exact"/>
        <w:ind w:firstLine="560" w:firstLineChars="200"/>
        <w:jc w:val="left"/>
        <w:rPr>
          <w:rFonts w:hint="eastAsia" w:ascii="楷体" w:hAnsi="楷体" w:eastAsia="楷体"/>
          <w:bCs/>
          <w:kern w:val="2"/>
          <w:sz w:val="28"/>
          <w:szCs w:val="28"/>
          <w:lang w:val="en-US" w:eastAsia="zh-CN" w:bidi="ar-SA"/>
        </w:rPr>
      </w:pPr>
      <w:bookmarkStart w:id="104" w:name="_Toc221710871"/>
      <w:bookmarkStart w:id="105" w:name="_Toc484941677"/>
      <w:bookmarkStart w:id="106" w:name="_Toc505087769"/>
      <w:r>
        <w:rPr>
          <w:rFonts w:hint="eastAsia" w:ascii="楷体" w:hAnsi="楷体" w:eastAsia="楷体" w:cs="宋体"/>
          <w:kern w:val="2"/>
          <w:sz w:val="28"/>
          <w:szCs w:val="28"/>
          <w:lang w:val="en-US" w:eastAsia="zh-CN" w:bidi="ar-SA"/>
        </w:rPr>
        <w:t>{{ work_period }}。</w:t>
      </w:r>
    </w:p>
    <w:p w14:paraId="3A75DA3A">
      <w:pPr>
        <w:spacing w:before="156" w:beforeLines="50" w:after="156" w:afterLines="50" w:line="360" w:lineRule="auto"/>
        <w:jc w:val="center"/>
        <w:outlineLvl w:val="0"/>
        <w:rPr>
          <w:rFonts w:hint="eastAsia" w:ascii="楷体" w:hAnsi="楷体" w:eastAsia="楷体"/>
          <w:b/>
          <w:sz w:val="48"/>
          <w:szCs w:val="48"/>
        </w:rPr>
      </w:pPr>
    </w:p>
    <w:p w14:paraId="5A835A2F">
      <w:pPr>
        <w:spacing w:before="156" w:beforeLines="50" w:after="156" w:afterLines="50" w:line="360" w:lineRule="auto"/>
        <w:jc w:val="center"/>
        <w:outlineLvl w:val="0"/>
        <w:rPr>
          <w:rFonts w:hint="eastAsia" w:ascii="楷体" w:hAnsi="楷体" w:eastAsia="楷体"/>
          <w:b/>
          <w:sz w:val="48"/>
          <w:szCs w:val="48"/>
        </w:rPr>
      </w:pPr>
    </w:p>
    <w:p w14:paraId="11DEBDAD">
      <w:pPr>
        <w:spacing w:before="156" w:beforeLines="50" w:after="156" w:afterLines="50" w:line="360" w:lineRule="auto"/>
        <w:jc w:val="center"/>
        <w:outlineLvl w:val="0"/>
        <w:rPr>
          <w:rFonts w:hint="eastAsia" w:ascii="楷体" w:hAnsi="楷体" w:eastAsia="楷体"/>
          <w:b/>
          <w:sz w:val="48"/>
          <w:szCs w:val="48"/>
        </w:rPr>
      </w:pPr>
      <w:bookmarkStart w:id="107" w:name="_Toc22660"/>
      <w:r>
        <w:rPr>
          <w:rFonts w:hint="eastAsia" w:ascii="楷体" w:hAnsi="楷体" w:eastAsia="楷体"/>
          <w:b/>
          <w:sz w:val="48"/>
          <w:szCs w:val="48"/>
        </w:rPr>
        <w:t>附 件</w:t>
      </w:r>
      <w:bookmarkEnd w:id="104"/>
      <w:bookmarkEnd w:id="107"/>
    </w:p>
    <w:bookmarkEnd w:id="105"/>
    <w:bookmarkEnd w:id="106"/>
    <w:p w14:paraId="7431A7ED">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一、估价对象区位图</w:t>
      </w:r>
    </w:p>
    <w:p w14:paraId="5B29F1E6">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rPr>
        <w:t>二、估价对象照片</w:t>
      </w:r>
    </w:p>
    <w:p w14:paraId="486CD534">
      <w:pPr>
        <w:spacing w:line="500" w:lineRule="exact"/>
        <w:ind w:left="-174" w:leftChars="-83" w:right="-71" w:rightChars="-34" w:firstLine="599" w:firstLineChars="214"/>
        <w:rPr>
          <w:rFonts w:hint="eastAsia" w:ascii="楷体" w:hAnsi="楷体" w:eastAsia="楷体" w:cs="宋体"/>
          <w:kern w:val="2"/>
          <w:sz w:val="28"/>
          <w:szCs w:val="28"/>
          <w:lang w:val="en-US" w:eastAsia="zh-CN" w:bidi="ar-SA"/>
        </w:rPr>
      </w:pPr>
      <w:r>
        <w:rPr>
          <w:rFonts w:hint="eastAsia" w:ascii="楷体" w:hAnsi="楷体" w:eastAsia="楷体" w:cs="宋体"/>
          <w:kern w:val="2"/>
          <w:sz w:val="28"/>
          <w:szCs w:val="28"/>
          <w:lang w:val="en-US" w:eastAsia="zh-CN" w:bidi="ar-SA"/>
        </w:rPr>
        <w:t>三、《委托评估协议书》复印件</w:t>
      </w:r>
    </w:p>
    <w:p w14:paraId="627C812C">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四</w:t>
      </w:r>
      <w:r>
        <w:rPr>
          <w:rFonts w:hint="eastAsia" w:ascii="楷体" w:hAnsi="楷体" w:eastAsia="楷体" w:cs="宋体"/>
          <w:sz w:val="28"/>
          <w:szCs w:val="28"/>
        </w:rPr>
        <w:t>、估价人员资质证书复印件</w:t>
      </w:r>
    </w:p>
    <w:p w14:paraId="7F0B6343">
      <w:pPr>
        <w:spacing w:line="500" w:lineRule="exact"/>
        <w:ind w:left="-174" w:leftChars="-83" w:right="-71" w:rightChars="-34" w:firstLine="599" w:firstLineChars="214"/>
        <w:rPr>
          <w:rFonts w:hint="eastAsia" w:ascii="楷体" w:hAnsi="楷体" w:eastAsia="楷体" w:cs="宋体"/>
          <w:sz w:val="28"/>
          <w:szCs w:val="28"/>
        </w:rPr>
      </w:pPr>
      <w:r>
        <w:rPr>
          <w:rFonts w:hint="eastAsia" w:ascii="楷体" w:hAnsi="楷体" w:eastAsia="楷体" w:cs="宋体"/>
          <w:sz w:val="28"/>
          <w:szCs w:val="28"/>
          <w:lang w:val="en-US" w:eastAsia="zh-CN"/>
        </w:rPr>
        <w:t>五</w:t>
      </w:r>
      <w:r>
        <w:rPr>
          <w:rFonts w:hint="eastAsia" w:ascii="楷体" w:hAnsi="楷体" w:eastAsia="楷体" w:cs="宋体"/>
          <w:sz w:val="28"/>
          <w:szCs w:val="28"/>
        </w:rPr>
        <w:t>、估价机构资质证书复印件</w:t>
      </w:r>
    </w:p>
    <w:p w14:paraId="339C745F">
      <w:pPr>
        <w:pStyle w:val="53"/>
        <w:ind w:firstLine="420" w:firstLineChars="150"/>
        <w:rPr>
          <w:rFonts w:hint="eastAsia"/>
        </w:rPr>
      </w:pPr>
      <w:r>
        <w:rPr>
          <w:rFonts w:hint="eastAsia" w:ascii="楷体" w:hAnsi="楷体" w:eastAsia="楷体" w:cs="宋体"/>
          <w:sz w:val="28"/>
          <w:szCs w:val="28"/>
          <w:lang w:val="en-US" w:eastAsia="zh-CN"/>
        </w:rPr>
        <w:t>六</w:t>
      </w:r>
      <w:r>
        <w:rPr>
          <w:rFonts w:hint="eastAsia" w:ascii="楷体" w:hAnsi="楷体" w:eastAsia="楷体" w:cs="宋体"/>
          <w:sz w:val="28"/>
          <w:szCs w:val="28"/>
        </w:rPr>
        <w:t>、估价机构营业执照复印件</w:t>
      </w:r>
    </w:p>
    <w:p w14:paraId="7A16EBFD">
      <w:pPr>
        <w:rPr>
          <w:rFonts w:hint="eastAsia" w:ascii="楷体" w:hAnsi="楷体" w:eastAsia="楷体" w:cs="仿宋"/>
          <w:bCs/>
          <w:sz w:val="28"/>
          <w:szCs w:val="28"/>
        </w:rPr>
      </w:pPr>
    </w:p>
    <w:p w14:paraId="26C0914E">
      <w:pPr>
        <w:rPr>
          <w:rFonts w:hint="eastAsia" w:ascii="楷体" w:hAnsi="楷体" w:eastAsia="楷体" w:cs="仿宋"/>
          <w:bCs/>
          <w:sz w:val="28"/>
          <w:szCs w:val="28"/>
        </w:rPr>
      </w:pPr>
    </w:p>
    <w:p w14:paraId="6E424BA1">
      <w:pPr>
        <w:rPr>
          <w:rFonts w:hint="eastAsia" w:ascii="楷体" w:hAnsi="楷体" w:eastAsia="楷体" w:cs="仿宋"/>
          <w:bCs/>
          <w:sz w:val="28"/>
          <w:szCs w:val="28"/>
        </w:rPr>
      </w:pPr>
    </w:p>
    <w:p w14:paraId="212D3595">
      <w:pPr>
        <w:rPr>
          <w:rFonts w:hint="eastAsia" w:ascii="楷体" w:hAnsi="楷体" w:eastAsia="楷体" w:cs="仿宋"/>
          <w:bCs/>
          <w:sz w:val="28"/>
          <w:szCs w:val="28"/>
        </w:rPr>
      </w:pPr>
    </w:p>
    <w:p w14:paraId="0BC41B5B">
      <w:pPr>
        <w:rPr>
          <w:rFonts w:hint="eastAsia" w:ascii="楷体" w:hAnsi="楷体" w:eastAsia="楷体" w:cs="仿宋"/>
          <w:bCs/>
          <w:sz w:val="28"/>
          <w:szCs w:val="28"/>
        </w:rPr>
      </w:pPr>
    </w:p>
    <w:p w14:paraId="4B33E5C3">
      <w:pPr>
        <w:rPr>
          <w:rFonts w:hint="eastAsia" w:ascii="楷体" w:hAnsi="楷体" w:eastAsia="楷体" w:cs="仿宋"/>
          <w:bCs/>
          <w:sz w:val="28"/>
          <w:szCs w:val="28"/>
        </w:rPr>
      </w:pPr>
    </w:p>
    <w:p w14:paraId="58DBAE39">
      <w:pPr>
        <w:rPr>
          <w:rFonts w:hint="eastAsia" w:ascii="楷体" w:hAnsi="楷体" w:eastAsia="楷体" w:cs="仿宋"/>
          <w:bCs/>
          <w:sz w:val="28"/>
          <w:szCs w:val="28"/>
        </w:rPr>
      </w:pPr>
    </w:p>
    <w:p w14:paraId="36324EED">
      <w:pPr>
        <w:rPr>
          <w:rFonts w:hint="eastAsia" w:ascii="楷体" w:hAnsi="楷体" w:eastAsia="楷体" w:cs="仿宋"/>
          <w:bCs/>
          <w:sz w:val="28"/>
          <w:szCs w:val="28"/>
        </w:rPr>
      </w:pPr>
    </w:p>
    <w:p w14:paraId="4B60051B">
      <w:pPr>
        <w:rPr>
          <w:rFonts w:hint="eastAsia" w:ascii="楷体" w:hAnsi="楷体" w:eastAsia="楷体" w:cs="仿宋"/>
          <w:bCs/>
          <w:sz w:val="28"/>
          <w:szCs w:val="28"/>
        </w:rPr>
      </w:pPr>
    </w:p>
    <w:p w14:paraId="438A7C85">
      <w:pPr>
        <w:rPr>
          <w:rFonts w:hint="eastAsia" w:ascii="楷体" w:hAnsi="楷体" w:eastAsia="楷体" w:cs="仿宋"/>
          <w:bCs/>
          <w:sz w:val="28"/>
          <w:szCs w:val="28"/>
        </w:rPr>
      </w:pPr>
    </w:p>
    <w:p w14:paraId="110A061A">
      <w:pPr>
        <w:jc w:val="center"/>
        <w:rPr>
          <w:rFonts w:ascii="楷体" w:hAnsi="楷体" w:eastAsia="楷体" w:cs="仿宋"/>
          <w:bCs/>
          <w:sz w:val="28"/>
          <w:szCs w:val="28"/>
        </w:rPr>
      </w:pPr>
    </w:p>
    <w:p w14:paraId="0567019A">
      <w:pPr>
        <w:jc w:val="center"/>
        <w:rPr>
          <w:rFonts w:hint="eastAsia" w:ascii="楷体" w:hAnsi="楷体" w:eastAsia="楷体" w:cs="仿宋"/>
          <w:bCs/>
          <w:sz w:val="28"/>
          <w:szCs w:val="28"/>
        </w:rPr>
      </w:pPr>
    </w:p>
    <w:p w14:paraId="0D8B18B0">
      <w:pPr>
        <w:jc w:val="center"/>
        <w:rPr>
          <w:rFonts w:hint="eastAsia" w:ascii="楷体" w:hAnsi="楷体" w:eastAsia="楷体" w:cs="仿宋"/>
          <w:bCs/>
          <w:sz w:val="28"/>
          <w:szCs w:val="28"/>
        </w:rPr>
      </w:pPr>
    </w:p>
    <w:p w14:paraId="520A7133">
      <w:pPr>
        <w:jc w:val="center"/>
        <w:rPr>
          <w:rFonts w:ascii="楷体" w:hAnsi="楷体" w:eastAsia="楷体" w:cs="仿宋"/>
          <w:bCs/>
          <w:sz w:val="28"/>
          <w:szCs w:val="28"/>
        </w:rPr>
      </w:pPr>
    </w:p>
    <w:p w14:paraId="46CEC7D0">
      <w:pPr>
        <w:jc w:val="center"/>
        <w:rPr>
          <w:rFonts w:hint="eastAsia" w:ascii="楷体" w:hAnsi="楷体" w:eastAsia="楷体" w:cs="仿宋"/>
          <w:bCs/>
          <w:sz w:val="28"/>
          <w:szCs w:val="28"/>
        </w:rPr>
      </w:pPr>
    </w:p>
    <w:p w14:paraId="3A9EBAC2">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估价对象区位图</w:t>
      </w:r>
    </w:p>
    <w:tbl>
      <w:tblPr>
        <w:tblStyle w:val="28"/>
        <w:tblW w:w="9476" w:type="dxa"/>
        <w:tblInd w:w="-1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1"/>
      </w:tblGrid>
      <w:tr w14:paraId="35B78DBD">
        <w:trPr>
          <w:wBefore w:w="0" w:type="dxa"/>
          <w:wAfter w:w="0" w:type="dxa"/>
          <w:trHeight w:val="12242" w:hRule="atLeast"/>
        </w:trPr>
        <w:tc>
          <w:tcPr>
            <w:tcW w:w="9476" w:type="dxa"/>
            <w:noWrap w:val="0"/>
            <w:vAlign w:val="top"/>
          </w:tcPr>
          <w:p w14:paraId="121C3BD8">
            <w:pPr>
              <w:rPr>
                <w:rFonts w:hint="eastAsia" w:ascii="楷体" w:hAnsi="楷体" w:eastAsia="楷体" w:cs="宋体"/>
                <w:sz w:val="44"/>
                <w:szCs w:val="44"/>
              </w:rPr>
            </w:pPr>
            <w:r>
              <w:rPr>
                <w:rFonts w:ascii="楷体" w:hAnsi="楷体" w:eastAsia="楷体" w:cs="宋体"/>
                <w:sz w:val="44"/>
                <w:szCs w:val="44"/>
                <w:lang/>
              </w:rPr>
              <mc:AlternateContent>
                <mc:Choice Requires="wps">
                  <w:drawing>
                    <wp:anchor distT="0" distB="0" distL="114300" distR="114300" simplePos="0" relativeHeight="251659264" behindDoc="0" locked="0" layoutInCell="1" allowOverlap="1">
                      <wp:simplePos x="0" y="0"/>
                      <wp:positionH relativeFrom="column">
                        <wp:posOffset>3244850</wp:posOffset>
                      </wp:positionH>
                      <wp:positionV relativeFrom="paragraph">
                        <wp:posOffset>2733675</wp:posOffset>
                      </wp:positionV>
                      <wp:extent cx="425450" cy="403860"/>
                      <wp:effectExtent l="19685" t="20320" r="37465" b="58420"/>
                      <wp:wrapNone/>
                      <wp:docPr id="1" name="自选图形 5"/>
                      <wp:cNvGraphicFramePr/>
                      <a:graphic xmlns:a="http://schemas.openxmlformats.org/drawingml/2006/main">
                        <a:graphicData uri="http://schemas.microsoft.com/office/word/2010/wordprocessingShape">
                          <wps:wsp>
                            <wps:cNvSpPr/>
                            <wps:spPr>
                              <a:xfrm>
                                <a:off x="0" y="0"/>
                                <a:ext cx="425450" cy="403860"/>
                              </a:xfrm>
                              <a:prstGeom prst="star5">
                                <a:avLst/>
                              </a:prstGeom>
                              <a:gradFill rotWithShape="0">
                                <a:gsLst>
                                  <a:gs pos="0">
                                    <a:srgbClr val="D99594"/>
                                  </a:gs>
                                  <a:gs pos="50000">
                                    <a:srgbClr val="C0504D"/>
                                  </a:gs>
                                  <a:gs pos="100000">
                                    <a:srgbClr val="D99594"/>
                                  </a:gs>
                                </a:gsLst>
                                <a:lin ang="5400000" scaled="1"/>
                                <a:tileRect/>
                              </a:gradFill>
                              <a:ln w="12700" cap="flat" cmpd="sng">
                                <a:solidFill>
                                  <a:srgbClr val="C0504D"/>
                                </a:solidFill>
                                <a:prstDash val="solid"/>
                                <a:miter/>
                                <a:headEnd type="none" w="med" len="med"/>
                                <a:tailEnd type="none" w="med" len="med"/>
                              </a:ln>
                              <a:effectLst>
                                <a:outerShdw dist="28398" dir="3806096" algn="ctr" rotWithShape="0">
                                  <a:srgbClr val="622423"/>
                                </a:outerShdw>
                              </a:effectLst>
                            </wps:spPr>
                            <wps:txbx>
                              <w:txbxContent>
                                <w:p w14:paraId="6FC5208D">
                                  <w:pPr>
                                    <w:jc w:val="left"/>
                                  </w:pPr>
                                </w:p>
                              </w:txbxContent>
                            </wps:txbx>
                            <wps:bodyPr wrap="square" upright="1"/>
                          </wps:wsp>
                        </a:graphicData>
                      </a:graphic>
                    </wp:anchor>
                  </w:drawing>
                </mc:Choice>
                <mc:Fallback>
                  <w:pict>
                    <v:shape id="自选图形 5" o:spid="_x0000_s1026" style="position:absolute;left:0pt;margin-left:255.5pt;margin-top:215.25pt;height:31.8pt;width:33.5pt;z-index:251659264;mso-width-relative:page;mso-height-relative:page;" fillcolor="#D99594" filled="t" stroked="t" coordsize="425450,403860" o:gfxdata="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CPpQUm2AAAAAsBAAAPAAAAAAAAAAEAIAAAACIAAABkcnMvZG93bnJldi54bWxQ&#10;SwECFAAUAAAACACHTuJAXXkUEKICAACOBQAADgAAAAAAAAABACAAAAAnAQAAZHJzL2Uyb0RvYy54&#10;bWxQSwUGAAAAAAYABgBZAQAAOwYAAAAA&#10;" path="m0,154260l162508,154261,212725,0,262941,154261,425449,154260,293977,249598,344196,403858,212725,308519,81253,403858,131472,249598xe">
                      <v:path textboxrect="0,0,425450,403860" o:connectlocs="212725,0;0,154260;81253,403858;344196,403858;425449,154260" o:connectangles="247,164,82,82,0"/>
                      <v:fill type="gradient" on="t" color2="#C0504D" focus="50%" focussize="0f,0f" focusposition="0f,0f"/>
                      <v:stroke weight="1pt" color="#C0504D" joinstyle="miter"/>
                      <v:imagedata o:title=""/>
                      <o:lock v:ext="edit" aspectratio="f"/>
                      <v:shadow on="t" color="#622423" offset="1pt,2pt" origin="0f,0f" matrix="65536f,0f,0f,65536f"/>
                      <v:textbox>
                        <w:txbxContent>
                          <w:p w14:paraId="6FC5208D">
                            <w:pPr>
                              <w:jc w:val="left"/>
                            </w:pPr>
                          </w:p>
                        </w:txbxContent>
                      </v:textbox>
                    </v:shape>
                  </w:pict>
                </mc:Fallback>
              </mc:AlternateContent>
            </w:r>
            <w:r/>
          </w:p>
        </w:tc>
      </w:tr>
    </w:tbl>
    <w:p w14:paraId="27A4D759">
      <w:pPr>
        <w:jc w:val="center"/>
        <w:rPr>
          <w:rFonts w:hint="eastAsia" w:ascii="楷体" w:hAnsi="楷体" w:eastAsia="楷体" w:cs="仿宋"/>
          <w:bCs/>
          <w:sz w:val="28"/>
          <w:szCs w:val="28"/>
        </w:rPr>
      </w:pPr>
    </w:p>
    <w:p w14:paraId="4B661B37">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估价对象照片</w:t>
      </w:r>
    </w:p>
    <w:tbl>
      <w:tblPr>
        <w:tblStyle w:val="28"/>
        <w:tblW w:w="5000" w:type="pct"/>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autofit"/>
        <w:tblCellMar>
          <w:top w:w="0" w:type="dxa"/>
          <w:left w:w="108" w:type="dxa"/>
          <w:bottom w:w="0" w:type="dxa"/>
          <w:right w:w="108" w:type="dxa"/>
        </w:tblCellMar>
      </w:tblPr>
      <w:tblGrid>
        <w:gridCol w:w="4698"/>
        <w:gridCol w:w="4698"/>
      </w:tblGrid>
      <w:tr w14:paraId="2438C79B">
        <w:trPr>
          <w:trHeight w:val="3758" w:hRule="exact"/>
          <w:tblCellSpacing w:w="20" w:type="dxa"/>
          <w:jc w:val="center"/>
        </w:trPr>
        <w:tc>
          <w:tcPr>
            <w:tcW w:w="2468" w:type="pct"/>
            <w:noWrap w:val="0"/>
            <w:vAlign w:val="top"/>
          </w:tcPr>
          <w:p w14:paraId="4A983746">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2468" w:type="pct"/>
            <w:noWrap w:val="0"/>
            <w:vAlign w:val="top"/>
          </w:tcPr>
          <w:p w14:paraId="19E080E4">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2843FBE6">
        <w:trPr>
          <w:trHeight w:val="619" w:hRule="exact"/>
          <w:tblCellSpacing w:w="20" w:type="dxa"/>
          <w:jc w:val="center"/>
        </w:trPr>
        <w:tc>
          <w:tcPr>
            <w:tcW w:w="2468" w:type="pct"/>
            <w:noWrap w:val="0"/>
            <w:vAlign w:val="top"/>
          </w:tcPr>
          <w:p w14:paraId="1D56A9B1">
            <w:pPr>
              <w:jc w:val="center"/>
              <w:rPr>
                <w:rFonts w:ascii="楷体" w:hAnsi="楷体" w:eastAsia="楷体"/>
                <w:b/>
                <w:sz w:val="28"/>
                <w:szCs w:val="28"/>
              </w:rPr>
            </w:pPr>
            <w:r>
              <w:rPr>
                <w:rFonts w:hint="eastAsia" w:ascii="楷体" w:hAnsi="楷体" w:eastAsia="楷体"/>
                <w:b/>
                <w:sz w:val="28"/>
                <w:szCs w:val="28"/>
              </w:rPr>
              <w:t>（1）</w:t>
            </w:r>
          </w:p>
        </w:tc>
        <w:tc>
          <w:tcPr>
            <w:tcW w:w="2468" w:type="pct"/>
            <w:noWrap w:val="0"/>
            <w:vAlign w:val="top"/>
          </w:tcPr>
          <w:p w14:paraId="40C7C0F5">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2</w:t>
            </w:r>
            <w:r>
              <w:rPr>
                <w:rFonts w:hint="eastAsia" w:ascii="楷体" w:hAnsi="楷体" w:eastAsia="楷体"/>
                <w:b/>
                <w:sz w:val="28"/>
                <w:szCs w:val="28"/>
                <w:lang w:eastAsia="zh-CN"/>
              </w:rPr>
              <w:t>）</w:t>
            </w:r>
          </w:p>
        </w:tc>
      </w:tr>
      <w:tr w14:paraId="059F9C3A">
        <w:trPr>
          <w:trHeight w:val="3395" w:hRule="exact"/>
          <w:tblCellSpacing w:w="20" w:type="dxa"/>
          <w:jc w:val="center"/>
        </w:trPr>
        <w:tc>
          <w:tcPr>
            <w:tcW w:w="2468" w:type="pct"/>
            <w:noWrap w:val="0"/>
            <w:vAlign w:val="top"/>
          </w:tcPr>
          <w:p w14:paraId="2DBD6F36">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c>
          <w:tcPr>
            <w:tcW w:w="2468" w:type="pct"/>
            <w:noWrap w:val="0"/>
            <w:vAlign w:val="top"/>
          </w:tcPr>
          <w:p w14:paraId="64FBAD0D">
            <w:pPr>
              <w:jc w:val="center"/>
              <w:rPr>
                <w:rFonts w:hint="eastAsia" w:ascii="楷体" w:hAnsi="楷体" w:eastAsia="楷体"/>
                <w:b/>
                <w:sz w:val="32"/>
                <w:szCs w:val="32"/>
                <w:lang w:eastAsia="zh-CN"/>
              </w:rPr>
            </w:pPr>
            <w:r>
              <w:rPr>
                <w:rFonts w:hint="eastAsia" w:ascii="楷体" w:hAnsi="楷体" w:eastAsia="楷体"/>
                <w:b/>
                <w:sz w:val="32"/>
                <w:szCs w:val="32"/>
                <w:lang w:eastAsia="zh-CN"/>
              </w:rPr>
            </w:r>
          </w:p>
        </w:tc>
      </w:tr>
      <w:tr w14:paraId="686B3DC5">
        <w:trPr>
          <w:trHeight w:val="571" w:hRule="exact"/>
          <w:tblCellSpacing w:w="20" w:type="dxa"/>
          <w:jc w:val="center"/>
        </w:trPr>
        <w:tc>
          <w:tcPr>
            <w:tcW w:w="2468" w:type="pct"/>
            <w:noWrap w:val="0"/>
            <w:vAlign w:val="top"/>
          </w:tcPr>
          <w:p w14:paraId="510FE1CB">
            <w:pPr>
              <w:jc w:val="center"/>
              <w:rPr>
                <w:rFonts w:ascii="楷体" w:hAnsi="楷体" w:eastAsia="楷体"/>
                <w:b/>
                <w:sz w:val="28"/>
                <w:szCs w:val="28"/>
              </w:rPr>
            </w:pPr>
            <w:r>
              <w:rPr>
                <w:rFonts w:hint="eastAsia" w:ascii="楷体" w:hAnsi="楷体" w:eastAsia="楷体"/>
                <w:b/>
                <w:sz w:val="28"/>
                <w:szCs w:val="28"/>
              </w:rPr>
              <w:t>（3）</w:t>
            </w:r>
            <w:r>
              <w:rPr>
                <w:rFonts w:hint="eastAsia" w:ascii="楷体" w:hAnsi="楷体" w:eastAsia="楷体"/>
                <w:b/>
                <w:sz w:val="28"/>
                <w:szCs w:val="28"/>
                <w:lang w:val="en-US" w:eastAsia="zh-CN"/>
              </w:rPr>
              <w:t/>
            </w:r>
            <w:r>
              <w:rPr>
                <w:rFonts w:hint="eastAsia" w:ascii="楷体" w:hAnsi="楷体" w:eastAsia="楷体"/>
                <w:b/>
                <w:sz w:val="28"/>
                <w:szCs w:val="28"/>
              </w:rPr>
              <w:t/>
            </w:r>
          </w:p>
        </w:tc>
        <w:tc>
          <w:tcPr>
            <w:tcW w:w="2468" w:type="pct"/>
            <w:noWrap w:val="0"/>
            <w:vAlign w:val="top"/>
          </w:tcPr>
          <w:p w14:paraId="61CBBB44">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4</w:t>
            </w:r>
            <w:r>
              <w:rPr>
                <w:rFonts w:hint="eastAsia" w:ascii="楷体" w:hAnsi="楷体" w:eastAsia="楷体"/>
                <w:b/>
                <w:sz w:val="28"/>
                <w:szCs w:val="28"/>
                <w:lang w:eastAsia="zh-CN"/>
              </w:rPr>
              <w:t>）</w:t>
            </w:r>
          </w:p>
        </w:tc>
      </w:tr>
      <w:tr w14:paraId="28F1D10E">
        <w:trPr>
          <w:trHeight w:val="3628" w:hRule="exact"/>
          <w:tblCellSpacing w:w="20" w:type="dxa"/>
          <w:jc w:val="center"/>
        </w:trPr>
        <w:tc>
          <w:tcPr>
            <w:tcW w:w="2468" w:type="pct"/>
            <w:noWrap w:val="0"/>
            <w:vAlign w:val="top"/>
          </w:tcPr>
          <w:p w14:paraId="4834A3AD">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c>
          <w:tcPr>
            <w:tcW w:w="2468" w:type="pct"/>
            <w:noWrap w:val="0"/>
            <w:vAlign w:val="top"/>
          </w:tcPr>
          <w:p w14:paraId="02637642">
            <w:pPr>
              <w:jc w:val="center"/>
              <w:rPr>
                <w:rFonts w:hint="eastAsia" w:ascii="楷体" w:hAnsi="楷体" w:eastAsia="楷体"/>
                <w:b/>
                <w:sz w:val="28"/>
                <w:szCs w:val="28"/>
                <w:lang w:eastAsia="zh-CN"/>
              </w:rPr>
            </w:pPr>
            <w:r>
              <w:rPr>
                <w:rFonts w:hint="eastAsia" w:ascii="楷体" w:hAnsi="楷体" w:eastAsia="楷体"/>
                <w:b/>
                <w:sz w:val="28"/>
                <w:szCs w:val="28"/>
                <w:lang w:eastAsia="zh-CN"/>
              </w:rPr>
            </w:r>
          </w:p>
        </w:tc>
      </w:tr>
      <w:tr w14:paraId="44C18273">
        <w:trPr>
          <w:trHeight w:val="480" w:hRule="exact"/>
          <w:tblCellSpacing w:w="20" w:type="dxa"/>
          <w:jc w:val="center"/>
        </w:trPr>
        <w:tc>
          <w:tcPr>
            <w:tcW w:w="2468" w:type="pct"/>
            <w:noWrap w:val="0"/>
            <w:vAlign w:val="top"/>
          </w:tcPr>
          <w:p w14:paraId="082ED641">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5</w:t>
            </w:r>
            <w:r>
              <w:rPr>
                <w:rFonts w:hint="eastAsia" w:ascii="楷体" w:hAnsi="楷体" w:eastAsia="楷体"/>
                <w:b/>
                <w:sz w:val="28"/>
                <w:szCs w:val="28"/>
                <w:lang w:eastAsia="zh-CN"/>
              </w:rPr>
              <w:t>）</w:t>
            </w:r>
          </w:p>
        </w:tc>
        <w:tc>
          <w:tcPr>
            <w:tcW w:w="2468" w:type="pct"/>
            <w:noWrap w:val="0"/>
            <w:vAlign w:val="top"/>
          </w:tcPr>
          <w:p w14:paraId="5787DA83">
            <w:pPr>
              <w:jc w:val="center"/>
              <w:rPr>
                <w:rFonts w:hint="eastAsia" w:ascii="楷体" w:hAnsi="楷体" w:eastAsia="楷体"/>
                <w:b/>
                <w:sz w:val="28"/>
                <w:szCs w:val="28"/>
                <w:lang w:eastAsia="zh-CN"/>
              </w:rPr>
            </w:pPr>
            <w:r>
              <w:rPr>
                <w:rFonts w:hint="eastAsia" w:ascii="楷体" w:hAnsi="楷体" w:eastAsia="楷体"/>
                <w:b/>
                <w:sz w:val="28"/>
                <w:szCs w:val="28"/>
                <w:lang w:eastAsia="zh-CN"/>
              </w:rPr>
              <w:t>（</w:t>
            </w:r>
            <w:r>
              <w:rPr>
                <w:rFonts w:hint="eastAsia" w:ascii="楷体" w:hAnsi="楷体" w:eastAsia="楷体"/>
                <w:b/>
                <w:sz w:val="28"/>
                <w:szCs w:val="28"/>
                <w:lang w:val="en-US" w:eastAsia="zh-CN"/>
              </w:rPr>
              <w:t>6</w:t>
            </w:r>
            <w:r>
              <w:rPr>
                <w:rFonts w:hint="eastAsia" w:ascii="楷体" w:hAnsi="楷体" w:eastAsia="楷体"/>
                <w:b/>
                <w:sz w:val="28"/>
                <w:szCs w:val="28"/>
                <w:lang w:eastAsia="zh-CN"/>
              </w:rPr>
              <w:t>）</w:t>
            </w:r>
          </w:p>
        </w:tc>
      </w:tr>
    </w:tbl>
    <w:p w14:paraId="35D355B3">
      <w:pPr>
        <w:jc w:val="both"/>
        <w:rPr>
          <w:rFonts w:hint="eastAsia" w:ascii="楷体" w:hAnsi="楷体" w:eastAsia="楷体" w:cs="仿宋"/>
          <w:bCs/>
          <w:sz w:val="28"/>
          <w:szCs w:val="28"/>
        </w:rPr>
      </w:pPr>
    </w:p>
    <w:p w14:paraId="16968902">
      <w:pPr>
        <w:spacing w:line="720" w:lineRule="auto"/>
        <w:jc w:val="center"/>
      </w:pPr>
      <w:r>
        <w:rPr>
          <w:rFonts w:hint="eastAsia" w:ascii="楷体" w:hAnsi="楷体" w:eastAsia="楷体"/>
          <w:sz w:val="36"/>
          <w:szCs w:val="36"/>
        </w:rPr>
        <w:br w:type="page"/>
      </w:r>
      <w:r>
        <w:rPr>
          <w:rFonts w:hint="eastAsia" w:ascii="楷体" w:hAnsi="楷体" w:eastAsia="楷体"/>
          <w:kern w:val="2"/>
          <w:sz w:val="36"/>
          <w:szCs w:val="36"/>
          <w:lang w:val="en-US" w:eastAsia="zh-CN" w:bidi="ar-SA"/>
        </w:rPr>
        <w:t>《委托评估协议书》复印件</w:t>
      </w:r>
    </w:p>
    <w:p w14:paraId="6D70BF8C">
      <w:pPr>
        <w:spacing w:line="720" w:lineRule="auto"/>
        <w:jc w:val="center"/>
        <w:rPr>
          <w:rFonts w:hint="eastAsia" w:ascii="楷体" w:hAnsi="楷体" w:eastAsia="楷体"/>
          <w:sz w:val="36"/>
          <w:szCs w:val="36"/>
          <w:lang w:eastAsia="zh-CN"/>
        </w:rPr>
      </w:pPr>
      <w:r>
        <w:rPr>
          <w:rFonts w:hint="eastAsia" w:ascii="楷体" w:hAnsi="楷体" w:eastAsia="楷体"/>
          <w:sz w:val="36"/>
          <w:szCs w:val="36"/>
          <w:lang w:eastAsia="zh-CN"/>
        </w:rPr>
      </w:r>
      <w:r>
        <w:rPr>
          <w:rFonts w:hint="eastAsia" w:ascii="楷体" w:hAnsi="楷体" w:eastAsia="楷体"/>
          <w:sz w:val="36"/>
          <w:szCs w:val="36"/>
          <w:lang w:eastAsia="zh-CN"/>
        </w:rPr>
      </w:r>
    </w:p>
    <w:p w14:paraId="71C4F902">
      <w:pPr>
        <w:spacing w:line="720" w:lineRule="auto"/>
        <w:jc w:val="center"/>
        <w:rPr>
          <w:rFonts w:ascii="楷体" w:hAnsi="楷体" w:eastAsia="楷体"/>
          <w:sz w:val="36"/>
          <w:szCs w:val="36"/>
        </w:rPr>
      </w:pPr>
    </w:p>
    <w:p w14:paraId="7C24305A">
      <w:pPr>
        <w:spacing w:line="720" w:lineRule="auto"/>
        <w:jc w:val="center"/>
        <w:rPr>
          <w:rFonts w:hint="eastAsia" w:ascii="楷体" w:hAnsi="楷体" w:eastAsia="楷体"/>
          <w:sz w:val="36"/>
          <w:szCs w:val="36"/>
        </w:rPr>
      </w:pPr>
      <w:r>
        <w:rPr>
          <w:rFonts w:hint="eastAsia" w:ascii="楷体" w:hAnsi="楷体" w:eastAsia="楷体"/>
          <w:sz w:val="36"/>
          <w:szCs w:val="36"/>
        </w:rPr>
        <w:t>估价人员资质证书复印件</w:t>
      </w:r>
    </w:p>
    <w:tbl>
      <w:tblPr>
        <w:tblStyle w:val="28"/>
        <w:tblW w:w="9233" w:type="dxa"/>
        <w:jc w:val="cente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Layout w:type="fixed"/>
        <w:tblCellMar>
          <w:top w:w="0" w:type="dxa"/>
          <w:left w:w="108" w:type="dxa"/>
          <w:bottom w:w="0" w:type="dxa"/>
          <w:right w:w="108" w:type="dxa"/>
        </w:tblCellMar>
      </w:tblPr>
      <w:tblGrid>
        <w:gridCol w:w="9233"/>
      </w:tblGrid>
      <w:tr w14:paraId="1ED10704">
        <w:trPr>
          <w:wBefore w:w="0" w:type="dxa"/>
          <w:wAfter w:w="0" w:type="dxa"/>
          <w:trHeight w:val="6486" w:hRule="exact"/>
          <w:tblCellSpacing w:w="20" w:type="dxa"/>
          <w:jc w:val="center"/>
        </w:trPr>
        <w:tc>
          <w:tcPr>
            <w:tcW w:w="9153" w:type="dxa"/>
            <w:noWrap w:val="0"/>
            <w:vAlign w:val="top"/>
          </w:tcPr>
          <w:p w14:paraId="7AB22457">
            <w:pPr>
              <w:jc w:val="center"/>
              <w:rPr>
                <w:rFonts w:ascii="楷体" w:hAnsi="楷体" w:eastAsia="楷体"/>
                <w:b/>
                <w:sz w:val="32"/>
                <w:szCs w:val="32"/>
              </w:rPr>
            </w:pPr>
            <w:r>
              <w:rPr>
                <w:rFonts w:ascii="楷体" w:hAnsi="楷体" w:eastAsia="楷体"/>
                <w:b/>
                <w:sz w:val="32"/>
                <w:szCs w:val="32"/>
                <w:lang/>
              </w:rPr>
            </w:r>
          </w:p>
        </w:tc>
      </w:tr>
      <w:tr w14:paraId="219FA01B">
        <w:trPr>
          <w:wBefore w:w="0" w:type="dxa"/>
          <w:wAfter w:w="0" w:type="dxa"/>
          <w:trHeight w:val="6329" w:hRule="exact"/>
          <w:tblCellSpacing w:w="20" w:type="dxa"/>
          <w:jc w:val="center"/>
        </w:trPr>
        <w:tc>
          <w:tcPr>
            <w:tcW w:w="9153" w:type="dxa"/>
            <w:noWrap w:val="0"/>
            <w:vAlign w:val="top"/>
          </w:tcPr>
          <w:p w14:paraId="7C6387AA">
            <w:pPr>
              <w:jc w:val="center"/>
              <w:rPr>
                <w:rFonts w:ascii="楷体" w:hAnsi="楷体" w:eastAsia="楷体"/>
                <w:b/>
                <w:sz w:val="32"/>
                <w:szCs w:val="32"/>
              </w:rPr>
            </w:pPr>
            <w:r>
              <w:rPr>
                <w:rFonts w:ascii="楷体" w:hAnsi="楷体" w:eastAsia="楷体"/>
                <w:b/>
                <w:sz w:val="32"/>
                <w:szCs w:val="32"/>
                <w:lang/>
              </w:rPr>
            </w:r>
          </w:p>
        </w:tc>
      </w:tr>
    </w:tbl>
    <w:p w14:paraId="2A843C0B">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估价机构资质证书复印件</w:t>
      </w:r>
    </w:p>
    <w:p w14:paraId="4730EA2B">
      <w:pPr>
        <w:jc w:val="center"/>
        <w:rPr>
          <w:rFonts w:hint="eastAsia" w:ascii="楷体" w:hAnsi="楷体" w:eastAsia="楷体" w:cs="仿宋"/>
          <w:bCs/>
          <w:sz w:val="28"/>
          <w:szCs w:val="28"/>
        </w:rPr>
      </w:pPr>
      <w:bookmarkStart w:id="108" w:name="_Hlk207891678"/>
      <w:r>
        <w:rPr>
          <w:rFonts w:ascii="楷体" w:hAnsi="楷体" w:eastAsia="楷体" w:cs="仿宋"/>
          <w:bCs/>
          <w:sz w:val="28"/>
          <w:szCs w:val="28"/>
        </w:rPr>
      </w:r>
      <w:bookmarkEnd w:id="108"/>
    </w:p>
    <w:p w14:paraId="3BA735F9">
      <w:pPr>
        <w:spacing w:line="720" w:lineRule="auto"/>
        <w:jc w:val="center"/>
        <w:rPr>
          <w:rFonts w:hint="eastAsia" w:ascii="楷体" w:hAnsi="楷体" w:eastAsia="楷体"/>
          <w:sz w:val="36"/>
          <w:szCs w:val="36"/>
        </w:rPr>
      </w:pPr>
      <w:r>
        <w:rPr>
          <w:rFonts w:hint="eastAsia" w:ascii="楷体" w:hAnsi="楷体" w:eastAsia="楷体"/>
          <w:sz w:val="36"/>
          <w:szCs w:val="36"/>
        </w:rPr>
        <w:br w:type="page"/>
      </w:r>
      <w:r>
        <w:rPr>
          <w:rFonts w:hint="eastAsia" w:ascii="楷体" w:hAnsi="楷体" w:eastAsia="楷体"/>
          <w:sz w:val="36"/>
          <w:szCs w:val="36"/>
        </w:rPr>
        <w:t>估价机构营业执照复印件</w:t>
      </w:r>
    </w:p>
    <w:p w14:paraId="07E3E92E">
      <w:pPr>
        <w:spacing w:line="360" w:lineRule="auto"/>
        <w:ind w:left="-174" w:leftChars="-83" w:right="-71" w:rightChars="-34" w:firstLine="31" w:firstLineChars="7"/>
        <w:jc w:val="center"/>
        <w:rPr>
          <w:rFonts w:ascii="楷体" w:hAnsi="楷体" w:eastAsia="楷体" w:cs="宋体"/>
          <w:b/>
          <w:sz w:val="44"/>
          <w:szCs w:val="44"/>
        </w:rPr>
      </w:pPr>
      <w:r>
        <w:rPr>
          <w:rFonts w:ascii="楷体" w:hAnsi="楷体" w:eastAsia="楷体" w:cs="宋体"/>
          <w:b/>
          <w:color w:val="000000"/>
          <w:sz w:val="44"/>
          <w:szCs w:val="44"/>
        </w:rPr>
      </w:r>
    </w:p>
    <w:p>
      <w:pPr>
        <w:jc w:val="center"/>
      </w:pPr>
      <w:r>
        <w:t>{% if has_attachments %}</w:t>
      </w:r>
      <w:r>
        <w:br w:type="page"/>
        <w:t>{% for img in attachment_images %}</w:t>
      </w:r>
      <w:r>
        <w:t>{{ img }}</w:t>
      </w:r>
      <w:r>
        <w:t>{% endfor %}</w:t>
      </w:r>
      <w:r>
        <w:t>{% endif %}</w:t>
      </w:r>
    </w:p>
    <w:sectPr>
      <w:pgSz w:w="11906" w:h="16838"/>
      <w:pgMar w:top="1418" w:right="1134" w:bottom="1134" w:left="1418" w:header="851" w:footer="851" w:gutter="284"/>
      <w:pgNumType w:start="5"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仿宋_GB2312">
    <w:altName w:val="方正仿宋_GBK"/>
    <w:panose1 w:val="00000000000000000000"/>
    <w:charset w:val="00"/>
    <w:family w:val="modern"/>
    <w:pitch w:val="default"/>
    <w:sig w:usb0="00000001" w:usb1="080E0000" w:usb2="00000010" w:usb3="00000000" w:csb0="00040000" w:csb1="00000000"/>
  </w:font>
  <w:font w:name="Tahoma">
    <w:panose1 w:val="020B0604030504040204"/>
    <w:charset w:val="00"/>
    <w:family w:val="swiss"/>
    <w:pitch w:val="default"/>
    <w:sig w:usb0="E1002AFF" w:usb1="C000605B" w:usb2="00000029" w:usb3="00000000" w:csb0="200101FF" w:csb1="2028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E00006FF" w:usb1="420024FF" w:usb2="02000000" w:usb3="00000000" w:csb0="2000019F" w:csb1="00000000"/>
  </w:font>
  <w:font w:name="隶书">
    <w:altName w:val="报隶-简"/>
    <w:panose1 w:val="02010509060101010101"/>
    <w:charset w:val="00"/>
    <w:family w:val="modern"/>
    <w:pitch w:val="default"/>
    <w:sig w:usb0="00000001" w:usb1="080E0000" w:usb2="00000000" w:usb3="00000000" w:csb0="00040000" w:csb1="00000000"/>
  </w:font>
  <w:font w:name="楷体">
    <w:altName w:val="汉仪楷体KW"/>
    <w:panose1 w:val="02010609060101010101"/>
    <w:charset w:val="00"/>
    <w:family w:val="modern"/>
    <w:pitch w:val="default"/>
    <w:sig w:usb0="800002BF" w:usb1="38CF7CFA" w:usb2="00000016" w:usb3="00000000" w:csb0="00040001" w:csb1="00000000"/>
  </w:font>
  <w:font w:name="仿宋">
    <w:altName w:val="方正仿宋_GBK"/>
    <w:panose1 w:val="02010609060101010101"/>
    <w:charset w:val="00"/>
    <w:family w:val="modern"/>
    <w:pitch w:val="default"/>
    <w:sig w:usb0="800002BF" w:usb1="38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5893E">
    <w:pPr>
      <w:pStyle w:val="17"/>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14E22">
    <w:pPr>
      <w:pStyle w:val="17"/>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FCD8D">
    <w:pPr>
      <w:pStyle w:val="17"/>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E3211">
    <w:pPr>
      <w:pStyle w:val="17"/>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lang/>
      </w:rPr>
      <w:t>22</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C92F2">
    <w:pPr>
      <w:pStyle w:val="18"/>
      <w:tabs>
        <w:tab w:val="right" w:pos="9214"/>
        <w:tab w:val="clear" w:pos="8306"/>
      </w:tabs>
      <w:spacing w:line="240" w:lineRule="atLeast"/>
      <w:ind w:right="-2"/>
      <w:jc w:val="right"/>
      <w:rPr>
        <w:rFonts w:ascii="楷体" w:hAnsi="楷体" w:eastAsia="楷体" w:cs="宋体"/>
        <w:b/>
        <w:i/>
        <w:sz w:val="21"/>
      </w:rPr>
    </w:pPr>
    <w:r>
      <w:rPr>
        <w:rFonts w:ascii="宋体" w:hAnsi="宋体"/>
        <w:i/>
        <w:sz w:val="21"/>
      </w:rPr>
      <w:drawing>
        <wp:inline distT="0" distB="0" distL="114300" distR="114300">
          <wp:extent cx="674370" cy="313055"/>
          <wp:effectExtent l="0" t="0" r="11430" b="17145"/>
          <wp:docPr id="15" name="图片 1" descr="dfe721a5f01e8576aab4047b67f2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dfe721a5f01e8576aab4047b67f2eb0"/>
                  <pic:cNvPicPr>
                    <a:picLocks noChangeAspect="1"/>
                  </pic:cNvPicPr>
                </pic:nvPicPr>
                <pic:blipFill>
                  <a:blip r:embed="rId1"/>
                  <a:stretch>
                    <a:fillRect/>
                  </a:stretch>
                </pic:blipFill>
                <pic:spPr>
                  <a:xfrm>
                    <a:off x="0" y="0"/>
                    <a:ext cx="674370" cy="313055"/>
                  </a:xfrm>
                  <a:prstGeom prst="rect">
                    <a:avLst/>
                  </a:prstGeom>
                  <a:noFill/>
                  <a:ln>
                    <a:noFill/>
                  </a:ln>
                </pic:spPr>
              </pic:pic>
            </a:graphicData>
          </a:graphic>
        </wp:inline>
      </w:drawing>
    </w:r>
    <w:r>
      <w:rPr>
        <w:rFonts w:hint="eastAsia" w:ascii="宋体" w:hAnsi="宋体"/>
        <w:i/>
        <w:sz w:val="21"/>
      </w:rPr>
      <w:t xml:space="preserve">                  </w:t>
    </w:r>
    <w:r>
      <w:rPr>
        <w:rFonts w:hint="eastAsia" w:ascii="宋体" w:hAnsi="宋体"/>
        <w:sz w:val="21"/>
      </w:rPr>
      <w:t xml:space="preserve"> </w:t>
    </w:r>
    <w:r>
      <w:rPr>
        <w:rFonts w:hint="eastAsia" w:ascii="隶书" w:eastAsia="隶书"/>
        <w:color w:val="333399"/>
        <w:sz w:val="24"/>
      </w:rPr>
      <w:t xml:space="preserve">   </w:t>
    </w:r>
    <w:r>
      <w:rPr>
        <w:rFonts w:hint="eastAsia" w:ascii="楷体" w:hAnsi="楷体" w:eastAsia="楷体" w:cs="宋体"/>
        <w:b/>
        <w:sz w:val="21"/>
      </w:rPr>
      <w:t>浙江正恒房地产土地资产评估咨询有限公司·</w:t>
    </w:r>
    <w:r>
      <w:rPr>
        <w:rFonts w:hint="eastAsia" w:ascii="楷体" w:hAnsi="楷体" w:eastAsia="楷体" w:cs="宋体"/>
        <w:b/>
        <w:sz w:val="21"/>
        <w:lang w:val="en-US" w:eastAsia="zh-CN"/>
      </w:rPr>
      <w:t>房地产</w:t>
    </w:r>
    <w:r>
      <w:rPr>
        <w:rFonts w:hint="eastAsia" w:ascii="楷体" w:hAnsi="楷体" w:eastAsia="楷体" w:cs="宋体"/>
        <w:b/>
        <w:sz w:val="21"/>
        <w:lang w:val="en-US" w:eastAsia="zh-CN"/>
      </w:rPr>
      <w:t>估价</w:t>
    </w:r>
    <w:r>
      <w:rPr>
        <w:rFonts w:hint="eastAsia" w:ascii="楷体" w:hAnsi="楷体" w:eastAsia="楷体" w:cs="宋体"/>
        <w:b/>
        <w:sz w:val="21"/>
      </w:rPr>
      <w:t>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92"/>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D5A"/>
    <w:rsid w:val="000009BB"/>
    <w:rsid w:val="00001AE2"/>
    <w:rsid w:val="0000216F"/>
    <w:rsid w:val="000027D0"/>
    <w:rsid w:val="000033AA"/>
    <w:rsid w:val="00003F02"/>
    <w:rsid w:val="00003FB4"/>
    <w:rsid w:val="00004982"/>
    <w:rsid w:val="00005C83"/>
    <w:rsid w:val="0000670A"/>
    <w:rsid w:val="00006D96"/>
    <w:rsid w:val="00007618"/>
    <w:rsid w:val="00007B3D"/>
    <w:rsid w:val="00010377"/>
    <w:rsid w:val="000111B0"/>
    <w:rsid w:val="00012A25"/>
    <w:rsid w:val="000143A3"/>
    <w:rsid w:val="00014D41"/>
    <w:rsid w:val="000153AC"/>
    <w:rsid w:val="000163D3"/>
    <w:rsid w:val="0001662A"/>
    <w:rsid w:val="00016CE7"/>
    <w:rsid w:val="000200F0"/>
    <w:rsid w:val="0002158C"/>
    <w:rsid w:val="000246FF"/>
    <w:rsid w:val="000248DD"/>
    <w:rsid w:val="00025335"/>
    <w:rsid w:val="00025398"/>
    <w:rsid w:val="00025636"/>
    <w:rsid w:val="00026CF9"/>
    <w:rsid w:val="00026D39"/>
    <w:rsid w:val="00030261"/>
    <w:rsid w:val="00030353"/>
    <w:rsid w:val="000309E0"/>
    <w:rsid w:val="00031B44"/>
    <w:rsid w:val="00031FF4"/>
    <w:rsid w:val="00032019"/>
    <w:rsid w:val="00032388"/>
    <w:rsid w:val="00032B7A"/>
    <w:rsid w:val="000334E7"/>
    <w:rsid w:val="000334F1"/>
    <w:rsid w:val="0003390E"/>
    <w:rsid w:val="00035301"/>
    <w:rsid w:val="00035863"/>
    <w:rsid w:val="00036939"/>
    <w:rsid w:val="000372E0"/>
    <w:rsid w:val="0003762C"/>
    <w:rsid w:val="00041A96"/>
    <w:rsid w:val="00041BCA"/>
    <w:rsid w:val="00042D7F"/>
    <w:rsid w:val="0004357A"/>
    <w:rsid w:val="0004365A"/>
    <w:rsid w:val="000436B1"/>
    <w:rsid w:val="00045F02"/>
    <w:rsid w:val="000475C8"/>
    <w:rsid w:val="00047D5C"/>
    <w:rsid w:val="000505BE"/>
    <w:rsid w:val="0005061D"/>
    <w:rsid w:val="0005070B"/>
    <w:rsid w:val="00050D83"/>
    <w:rsid w:val="000512C5"/>
    <w:rsid w:val="000513C7"/>
    <w:rsid w:val="00051587"/>
    <w:rsid w:val="00052508"/>
    <w:rsid w:val="000526E1"/>
    <w:rsid w:val="00054124"/>
    <w:rsid w:val="000541FB"/>
    <w:rsid w:val="00054A10"/>
    <w:rsid w:val="00055B3F"/>
    <w:rsid w:val="00057421"/>
    <w:rsid w:val="00057582"/>
    <w:rsid w:val="00057D19"/>
    <w:rsid w:val="00057EAA"/>
    <w:rsid w:val="0006065C"/>
    <w:rsid w:val="000614F3"/>
    <w:rsid w:val="00062072"/>
    <w:rsid w:val="00063894"/>
    <w:rsid w:val="00063B28"/>
    <w:rsid w:val="000646AE"/>
    <w:rsid w:val="000661FB"/>
    <w:rsid w:val="0006664D"/>
    <w:rsid w:val="00066675"/>
    <w:rsid w:val="00066F73"/>
    <w:rsid w:val="00067951"/>
    <w:rsid w:val="000728B5"/>
    <w:rsid w:val="000729A2"/>
    <w:rsid w:val="0007418E"/>
    <w:rsid w:val="00074209"/>
    <w:rsid w:val="00074588"/>
    <w:rsid w:val="00074B1A"/>
    <w:rsid w:val="00075DAD"/>
    <w:rsid w:val="00075E1E"/>
    <w:rsid w:val="00076864"/>
    <w:rsid w:val="000778FE"/>
    <w:rsid w:val="00081869"/>
    <w:rsid w:val="0008221E"/>
    <w:rsid w:val="0008256C"/>
    <w:rsid w:val="00082616"/>
    <w:rsid w:val="000827EF"/>
    <w:rsid w:val="0008304F"/>
    <w:rsid w:val="0008398D"/>
    <w:rsid w:val="00083B7E"/>
    <w:rsid w:val="000840DC"/>
    <w:rsid w:val="00085637"/>
    <w:rsid w:val="0008600E"/>
    <w:rsid w:val="00087C4D"/>
    <w:rsid w:val="0009091C"/>
    <w:rsid w:val="00090FBB"/>
    <w:rsid w:val="0009143F"/>
    <w:rsid w:val="00092DDE"/>
    <w:rsid w:val="0009357B"/>
    <w:rsid w:val="000940F4"/>
    <w:rsid w:val="000945E4"/>
    <w:rsid w:val="00095A6B"/>
    <w:rsid w:val="00095DC1"/>
    <w:rsid w:val="00097E85"/>
    <w:rsid w:val="000A1054"/>
    <w:rsid w:val="000A1804"/>
    <w:rsid w:val="000A1C02"/>
    <w:rsid w:val="000A2707"/>
    <w:rsid w:val="000A3397"/>
    <w:rsid w:val="000A3613"/>
    <w:rsid w:val="000A5FAA"/>
    <w:rsid w:val="000A5FF5"/>
    <w:rsid w:val="000A73EB"/>
    <w:rsid w:val="000B02B9"/>
    <w:rsid w:val="000B1E2C"/>
    <w:rsid w:val="000B2BEC"/>
    <w:rsid w:val="000B3204"/>
    <w:rsid w:val="000B4C5C"/>
    <w:rsid w:val="000B7097"/>
    <w:rsid w:val="000B7D48"/>
    <w:rsid w:val="000C02B2"/>
    <w:rsid w:val="000C08B4"/>
    <w:rsid w:val="000C1DC8"/>
    <w:rsid w:val="000C1EEE"/>
    <w:rsid w:val="000C2237"/>
    <w:rsid w:val="000C25A5"/>
    <w:rsid w:val="000C2F88"/>
    <w:rsid w:val="000C4672"/>
    <w:rsid w:val="000C62D8"/>
    <w:rsid w:val="000C7700"/>
    <w:rsid w:val="000D1464"/>
    <w:rsid w:val="000D1E1E"/>
    <w:rsid w:val="000D23D9"/>
    <w:rsid w:val="000D2EB3"/>
    <w:rsid w:val="000D2F78"/>
    <w:rsid w:val="000D3265"/>
    <w:rsid w:val="000D3D04"/>
    <w:rsid w:val="000D4D29"/>
    <w:rsid w:val="000D4D74"/>
    <w:rsid w:val="000D4FBB"/>
    <w:rsid w:val="000D5AD7"/>
    <w:rsid w:val="000D6874"/>
    <w:rsid w:val="000D7669"/>
    <w:rsid w:val="000D787B"/>
    <w:rsid w:val="000E1D7E"/>
    <w:rsid w:val="000E1EBC"/>
    <w:rsid w:val="000E2A6D"/>
    <w:rsid w:val="000E4B33"/>
    <w:rsid w:val="000E5456"/>
    <w:rsid w:val="000E6185"/>
    <w:rsid w:val="000E626C"/>
    <w:rsid w:val="000E6CD1"/>
    <w:rsid w:val="000E6D46"/>
    <w:rsid w:val="000E709D"/>
    <w:rsid w:val="000F02B5"/>
    <w:rsid w:val="000F06FA"/>
    <w:rsid w:val="000F0AC2"/>
    <w:rsid w:val="000F11E1"/>
    <w:rsid w:val="000F12EA"/>
    <w:rsid w:val="000F13F2"/>
    <w:rsid w:val="000F1C8C"/>
    <w:rsid w:val="000F3B0B"/>
    <w:rsid w:val="000F41ED"/>
    <w:rsid w:val="000F439E"/>
    <w:rsid w:val="000F5F59"/>
    <w:rsid w:val="000F62E7"/>
    <w:rsid w:val="000F7775"/>
    <w:rsid w:val="000F7978"/>
    <w:rsid w:val="000F7A35"/>
    <w:rsid w:val="000F7D11"/>
    <w:rsid w:val="00100979"/>
    <w:rsid w:val="0010191B"/>
    <w:rsid w:val="00101B09"/>
    <w:rsid w:val="00102593"/>
    <w:rsid w:val="0010268E"/>
    <w:rsid w:val="00103309"/>
    <w:rsid w:val="0010343D"/>
    <w:rsid w:val="001045EA"/>
    <w:rsid w:val="00104CF8"/>
    <w:rsid w:val="001057FF"/>
    <w:rsid w:val="00107BB7"/>
    <w:rsid w:val="00107F88"/>
    <w:rsid w:val="00110196"/>
    <w:rsid w:val="00110958"/>
    <w:rsid w:val="00110CDF"/>
    <w:rsid w:val="001124D5"/>
    <w:rsid w:val="00113E53"/>
    <w:rsid w:val="00113F48"/>
    <w:rsid w:val="00114617"/>
    <w:rsid w:val="00114CCA"/>
    <w:rsid w:val="00114E33"/>
    <w:rsid w:val="00115127"/>
    <w:rsid w:val="00115EC7"/>
    <w:rsid w:val="001161D0"/>
    <w:rsid w:val="0011629E"/>
    <w:rsid w:val="00116485"/>
    <w:rsid w:val="00117FCE"/>
    <w:rsid w:val="00120E02"/>
    <w:rsid w:val="001217FF"/>
    <w:rsid w:val="0012269C"/>
    <w:rsid w:val="0012387F"/>
    <w:rsid w:val="0012578E"/>
    <w:rsid w:val="00125CE4"/>
    <w:rsid w:val="0012645A"/>
    <w:rsid w:val="0012645B"/>
    <w:rsid w:val="001265F1"/>
    <w:rsid w:val="0012707B"/>
    <w:rsid w:val="00127C7F"/>
    <w:rsid w:val="00130075"/>
    <w:rsid w:val="001306CF"/>
    <w:rsid w:val="00131409"/>
    <w:rsid w:val="001316BC"/>
    <w:rsid w:val="0013184B"/>
    <w:rsid w:val="00132822"/>
    <w:rsid w:val="001331D7"/>
    <w:rsid w:val="0013356B"/>
    <w:rsid w:val="001338AE"/>
    <w:rsid w:val="00136F2D"/>
    <w:rsid w:val="00136FF9"/>
    <w:rsid w:val="001379FF"/>
    <w:rsid w:val="00137C64"/>
    <w:rsid w:val="00137DCB"/>
    <w:rsid w:val="001400A1"/>
    <w:rsid w:val="001424AE"/>
    <w:rsid w:val="001425BD"/>
    <w:rsid w:val="001445FA"/>
    <w:rsid w:val="0014499E"/>
    <w:rsid w:val="00145B40"/>
    <w:rsid w:val="00145D98"/>
    <w:rsid w:val="00146591"/>
    <w:rsid w:val="00147B17"/>
    <w:rsid w:val="001503FD"/>
    <w:rsid w:val="00150497"/>
    <w:rsid w:val="0015105C"/>
    <w:rsid w:val="00151307"/>
    <w:rsid w:val="00151CC1"/>
    <w:rsid w:val="00152435"/>
    <w:rsid w:val="00152F8A"/>
    <w:rsid w:val="0015407C"/>
    <w:rsid w:val="0015507A"/>
    <w:rsid w:val="0015582F"/>
    <w:rsid w:val="00155BDF"/>
    <w:rsid w:val="001561FA"/>
    <w:rsid w:val="001566E7"/>
    <w:rsid w:val="001575A0"/>
    <w:rsid w:val="00160653"/>
    <w:rsid w:val="0016078C"/>
    <w:rsid w:val="001607CA"/>
    <w:rsid w:val="00160CA4"/>
    <w:rsid w:val="00161661"/>
    <w:rsid w:val="00161FCA"/>
    <w:rsid w:val="001636C5"/>
    <w:rsid w:val="00164A04"/>
    <w:rsid w:val="0016518E"/>
    <w:rsid w:val="0016644F"/>
    <w:rsid w:val="001672BE"/>
    <w:rsid w:val="001679EF"/>
    <w:rsid w:val="00170707"/>
    <w:rsid w:val="00170E70"/>
    <w:rsid w:val="0017388A"/>
    <w:rsid w:val="00173B77"/>
    <w:rsid w:val="00174391"/>
    <w:rsid w:val="0017499B"/>
    <w:rsid w:val="001757D0"/>
    <w:rsid w:val="00175C96"/>
    <w:rsid w:val="00175D5A"/>
    <w:rsid w:val="0017617F"/>
    <w:rsid w:val="0017624C"/>
    <w:rsid w:val="00177179"/>
    <w:rsid w:val="00177192"/>
    <w:rsid w:val="00177256"/>
    <w:rsid w:val="001773CB"/>
    <w:rsid w:val="00180F05"/>
    <w:rsid w:val="00181F64"/>
    <w:rsid w:val="00182612"/>
    <w:rsid w:val="00182F27"/>
    <w:rsid w:val="001848EC"/>
    <w:rsid w:val="00185060"/>
    <w:rsid w:val="0018530C"/>
    <w:rsid w:val="0018545A"/>
    <w:rsid w:val="00185550"/>
    <w:rsid w:val="00186365"/>
    <w:rsid w:val="00186C82"/>
    <w:rsid w:val="00186DD9"/>
    <w:rsid w:val="00186E52"/>
    <w:rsid w:val="00186E72"/>
    <w:rsid w:val="00191572"/>
    <w:rsid w:val="0019208F"/>
    <w:rsid w:val="00192CE5"/>
    <w:rsid w:val="00192E40"/>
    <w:rsid w:val="00193A54"/>
    <w:rsid w:val="00194874"/>
    <w:rsid w:val="00194D7D"/>
    <w:rsid w:val="00195912"/>
    <w:rsid w:val="00195DFB"/>
    <w:rsid w:val="00196622"/>
    <w:rsid w:val="00196DE2"/>
    <w:rsid w:val="00197085"/>
    <w:rsid w:val="001976A1"/>
    <w:rsid w:val="001A0818"/>
    <w:rsid w:val="001A09A2"/>
    <w:rsid w:val="001A0D9A"/>
    <w:rsid w:val="001A0EB4"/>
    <w:rsid w:val="001A0F75"/>
    <w:rsid w:val="001A2227"/>
    <w:rsid w:val="001A2251"/>
    <w:rsid w:val="001A240E"/>
    <w:rsid w:val="001A3269"/>
    <w:rsid w:val="001A3C70"/>
    <w:rsid w:val="001A3D6F"/>
    <w:rsid w:val="001A5636"/>
    <w:rsid w:val="001A65A6"/>
    <w:rsid w:val="001A7062"/>
    <w:rsid w:val="001B0D1F"/>
    <w:rsid w:val="001B0DDD"/>
    <w:rsid w:val="001B16D7"/>
    <w:rsid w:val="001B1E83"/>
    <w:rsid w:val="001B1FAF"/>
    <w:rsid w:val="001B2361"/>
    <w:rsid w:val="001B2457"/>
    <w:rsid w:val="001B32A0"/>
    <w:rsid w:val="001B3988"/>
    <w:rsid w:val="001B6DF6"/>
    <w:rsid w:val="001B7171"/>
    <w:rsid w:val="001B753C"/>
    <w:rsid w:val="001B75A1"/>
    <w:rsid w:val="001B79A0"/>
    <w:rsid w:val="001C0AC6"/>
    <w:rsid w:val="001C0D01"/>
    <w:rsid w:val="001C1F27"/>
    <w:rsid w:val="001C2A54"/>
    <w:rsid w:val="001C3169"/>
    <w:rsid w:val="001C33E7"/>
    <w:rsid w:val="001C5A87"/>
    <w:rsid w:val="001C5B95"/>
    <w:rsid w:val="001C63D8"/>
    <w:rsid w:val="001C7083"/>
    <w:rsid w:val="001C7361"/>
    <w:rsid w:val="001C751D"/>
    <w:rsid w:val="001D1ABF"/>
    <w:rsid w:val="001D23DA"/>
    <w:rsid w:val="001D2A04"/>
    <w:rsid w:val="001D341F"/>
    <w:rsid w:val="001D60E5"/>
    <w:rsid w:val="001D669B"/>
    <w:rsid w:val="001D669D"/>
    <w:rsid w:val="001D6EB7"/>
    <w:rsid w:val="001D70E5"/>
    <w:rsid w:val="001D75C6"/>
    <w:rsid w:val="001D7EC4"/>
    <w:rsid w:val="001E03B4"/>
    <w:rsid w:val="001E108E"/>
    <w:rsid w:val="001E22F6"/>
    <w:rsid w:val="001E24BC"/>
    <w:rsid w:val="001E2883"/>
    <w:rsid w:val="001E4225"/>
    <w:rsid w:val="001E4312"/>
    <w:rsid w:val="001E519A"/>
    <w:rsid w:val="001E5E66"/>
    <w:rsid w:val="001F1983"/>
    <w:rsid w:val="001F1C12"/>
    <w:rsid w:val="001F2EB7"/>
    <w:rsid w:val="001F3EB5"/>
    <w:rsid w:val="001F3FB8"/>
    <w:rsid w:val="001F4626"/>
    <w:rsid w:val="001F4DC1"/>
    <w:rsid w:val="001F674F"/>
    <w:rsid w:val="00200C12"/>
    <w:rsid w:val="00200E5C"/>
    <w:rsid w:val="00201239"/>
    <w:rsid w:val="002013A3"/>
    <w:rsid w:val="00201F2F"/>
    <w:rsid w:val="00203E31"/>
    <w:rsid w:val="00204122"/>
    <w:rsid w:val="00206F6D"/>
    <w:rsid w:val="00211881"/>
    <w:rsid w:val="002129C2"/>
    <w:rsid w:val="0021386D"/>
    <w:rsid w:val="00214195"/>
    <w:rsid w:val="00214342"/>
    <w:rsid w:val="002158C7"/>
    <w:rsid w:val="0021596C"/>
    <w:rsid w:val="00216821"/>
    <w:rsid w:val="00216EEF"/>
    <w:rsid w:val="00217013"/>
    <w:rsid w:val="002173D2"/>
    <w:rsid w:val="00217835"/>
    <w:rsid w:val="00221D88"/>
    <w:rsid w:val="00221ECA"/>
    <w:rsid w:val="00221F9F"/>
    <w:rsid w:val="00222596"/>
    <w:rsid w:val="00224D2E"/>
    <w:rsid w:val="00224DBE"/>
    <w:rsid w:val="0022541E"/>
    <w:rsid w:val="002258C2"/>
    <w:rsid w:val="00225BD3"/>
    <w:rsid w:val="00225C5F"/>
    <w:rsid w:val="0022606B"/>
    <w:rsid w:val="00226089"/>
    <w:rsid w:val="002267AE"/>
    <w:rsid w:val="00227283"/>
    <w:rsid w:val="0023014A"/>
    <w:rsid w:val="00230377"/>
    <w:rsid w:val="00231B55"/>
    <w:rsid w:val="002331C1"/>
    <w:rsid w:val="00233D42"/>
    <w:rsid w:val="0023602A"/>
    <w:rsid w:val="00237A94"/>
    <w:rsid w:val="00237D76"/>
    <w:rsid w:val="00240B3A"/>
    <w:rsid w:val="00240FDF"/>
    <w:rsid w:val="00240FEB"/>
    <w:rsid w:val="00241590"/>
    <w:rsid w:val="00243819"/>
    <w:rsid w:val="002439E8"/>
    <w:rsid w:val="00244EAE"/>
    <w:rsid w:val="00245D1E"/>
    <w:rsid w:val="00246353"/>
    <w:rsid w:val="002463D7"/>
    <w:rsid w:val="00246560"/>
    <w:rsid w:val="002465F8"/>
    <w:rsid w:val="0024727A"/>
    <w:rsid w:val="0024770B"/>
    <w:rsid w:val="00247DB9"/>
    <w:rsid w:val="002501C9"/>
    <w:rsid w:val="002502D7"/>
    <w:rsid w:val="0025107F"/>
    <w:rsid w:val="0025150D"/>
    <w:rsid w:val="002524F4"/>
    <w:rsid w:val="00253136"/>
    <w:rsid w:val="002538CE"/>
    <w:rsid w:val="00254CD5"/>
    <w:rsid w:val="002555FB"/>
    <w:rsid w:val="002557B1"/>
    <w:rsid w:val="00256209"/>
    <w:rsid w:val="00257177"/>
    <w:rsid w:val="002578A6"/>
    <w:rsid w:val="00260511"/>
    <w:rsid w:val="002622FA"/>
    <w:rsid w:val="002636E6"/>
    <w:rsid w:val="00264001"/>
    <w:rsid w:val="0026448F"/>
    <w:rsid w:val="002651BE"/>
    <w:rsid w:val="00265A04"/>
    <w:rsid w:val="00265A1A"/>
    <w:rsid w:val="00265A9D"/>
    <w:rsid w:val="00266201"/>
    <w:rsid w:val="002669D8"/>
    <w:rsid w:val="00267ECA"/>
    <w:rsid w:val="0027125F"/>
    <w:rsid w:val="0027354F"/>
    <w:rsid w:val="00273682"/>
    <w:rsid w:val="0027376A"/>
    <w:rsid w:val="00274FB4"/>
    <w:rsid w:val="0027562E"/>
    <w:rsid w:val="002757BB"/>
    <w:rsid w:val="0027766B"/>
    <w:rsid w:val="00277DD8"/>
    <w:rsid w:val="00277FA3"/>
    <w:rsid w:val="00281B0B"/>
    <w:rsid w:val="00282B34"/>
    <w:rsid w:val="002830C5"/>
    <w:rsid w:val="00283F56"/>
    <w:rsid w:val="00284907"/>
    <w:rsid w:val="00284FF3"/>
    <w:rsid w:val="002850F2"/>
    <w:rsid w:val="00285243"/>
    <w:rsid w:val="00285454"/>
    <w:rsid w:val="00285C18"/>
    <w:rsid w:val="00286FA5"/>
    <w:rsid w:val="00287B00"/>
    <w:rsid w:val="00291D64"/>
    <w:rsid w:val="00291FA4"/>
    <w:rsid w:val="00292DF7"/>
    <w:rsid w:val="00292E9D"/>
    <w:rsid w:val="002938AB"/>
    <w:rsid w:val="00294FF2"/>
    <w:rsid w:val="002951D5"/>
    <w:rsid w:val="002955F9"/>
    <w:rsid w:val="00295B2D"/>
    <w:rsid w:val="00295D20"/>
    <w:rsid w:val="00296E38"/>
    <w:rsid w:val="00297E9E"/>
    <w:rsid w:val="002A027C"/>
    <w:rsid w:val="002A21F4"/>
    <w:rsid w:val="002A230D"/>
    <w:rsid w:val="002A2B97"/>
    <w:rsid w:val="002A30BE"/>
    <w:rsid w:val="002A3E8B"/>
    <w:rsid w:val="002A5399"/>
    <w:rsid w:val="002A5440"/>
    <w:rsid w:val="002A7604"/>
    <w:rsid w:val="002A79D0"/>
    <w:rsid w:val="002B01EE"/>
    <w:rsid w:val="002B1064"/>
    <w:rsid w:val="002B12A5"/>
    <w:rsid w:val="002B3AAF"/>
    <w:rsid w:val="002B4AFF"/>
    <w:rsid w:val="002B5840"/>
    <w:rsid w:val="002B58A2"/>
    <w:rsid w:val="002B5E5C"/>
    <w:rsid w:val="002B5F8F"/>
    <w:rsid w:val="002B7496"/>
    <w:rsid w:val="002B76B2"/>
    <w:rsid w:val="002B7DFD"/>
    <w:rsid w:val="002C070D"/>
    <w:rsid w:val="002C24D6"/>
    <w:rsid w:val="002C26B7"/>
    <w:rsid w:val="002C3771"/>
    <w:rsid w:val="002C38F4"/>
    <w:rsid w:val="002C3ABA"/>
    <w:rsid w:val="002C582A"/>
    <w:rsid w:val="002C63B9"/>
    <w:rsid w:val="002C7173"/>
    <w:rsid w:val="002C7654"/>
    <w:rsid w:val="002C7F4A"/>
    <w:rsid w:val="002D0112"/>
    <w:rsid w:val="002D0566"/>
    <w:rsid w:val="002D0869"/>
    <w:rsid w:val="002D0B80"/>
    <w:rsid w:val="002D139B"/>
    <w:rsid w:val="002D19FF"/>
    <w:rsid w:val="002D28D3"/>
    <w:rsid w:val="002D402F"/>
    <w:rsid w:val="002D51AB"/>
    <w:rsid w:val="002D52DF"/>
    <w:rsid w:val="002D61B0"/>
    <w:rsid w:val="002D737A"/>
    <w:rsid w:val="002E085E"/>
    <w:rsid w:val="002E36B1"/>
    <w:rsid w:val="002E3B72"/>
    <w:rsid w:val="002E4842"/>
    <w:rsid w:val="002E4EA4"/>
    <w:rsid w:val="002E509B"/>
    <w:rsid w:val="002E6D52"/>
    <w:rsid w:val="002E6F0C"/>
    <w:rsid w:val="002E768B"/>
    <w:rsid w:val="002E7F9F"/>
    <w:rsid w:val="002F0534"/>
    <w:rsid w:val="002F0B54"/>
    <w:rsid w:val="002F2C5B"/>
    <w:rsid w:val="002F31EB"/>
    <w:rsid w:val="002F439E"/>
    <w:rsid w:val="002F6FD0"/>
    <w:rsid w:val="002F718E"/>
    <w:rsid w:val="002F71B2"/>
    <w:rsid w:val="002F75E3"/>
    <w:rsid w:val="0030002A"/>
    <w:rsid w:val="00300A14"/>
    <w:rsid w:val="003019EA"/>
    <w:rsid w:val="0030220B"/>
    <w:rsid w:val="00302717"/>
    <w:rsid w:val="003033F0"/>
    <w:rsid w:val="00303547"/>
    <w:rsid w:val="00303F0A"/>
    <w:rsid w:val="003041E5"/>
    <w:rsid w:val="00305E2A"/>
    <w:rsid w:val="003063B5"/>
    <w:rsid w:val="003074E1"/>
    <w:rsid w:val="0030786E"/>
    <w:rsid w:val="00310A65"/>
    <w:rsid w:val="0031181D"/>
    <w:rsid w:val="0031197E"/>
    <w:rsid w:val="00311FEB"/>
    <w:rsid w:val="00312716"/>
    <w:rsid w:val="00312760"/>
    <w:rsid w:val="003129E5"/>
    <w:rsid w:val="003129FE"/>
    <w:rsid w:val="00312DE2"/>
    <w:rsid w:val="00314719"/>
    <w:rsid w:val="00314BD6"/>
    <w:rsid w:val="00315304"/>
    <w:rsid w:val="003153F2"/>
    <w:rsid w:val="003159C7"/>
    <w:rsid w:val="003169CC"/>
    <w:rsid w:val="00316B20"/>
    <w:rsid w:val="00320F9D"/>
    <w:rsid w:val="0032132A"/>
    <w:rsid w:val="0032160A"/>
    <w:rsid w:val="0032161E"/>
    <w:rsid w:val="00323766"/>
    <w:rsid w:val="003241A8"/>
    <w:rsid w:val="00325838"/>
    <w:rsid w:val="00325D91"/>
    <w:rsid w:val="003268EC"/>
    <w:rsid w:val="00326F01"/>
    <w:rsid w:val="0033161F"/>
    <w:rsid w:val="0033181B"/>
    <w:rsid w:val="003328CA"/>
    <w:rsid w:val="00333DF5"/>
    <w:rsid w:val="00333E18"/>
    <w:rsid w:val="00334283"/>
    <w:rsid w:val="003346F3"/>
    <w:rsid w:val="003363B3"/>
    <w:rsid w:val="0033656F"/>
    <w:rsid w:val="00336A40"/>
    <w:rsid w:val="00336C63"/>
    <w:rsid w:val="00336E3E"/>
    <w:rsid w:val="003403A5"/>
    <w:rsid w:val="00341B0E"/>
    <w:rsid w:val="003428F1"/>
    <w:rsid w:val="00343056"/>
    <w:rsid w:val="003444A4"/>
    <w:rsid w:val="00344505"/>
    <w:rsid w:val="003450AE"/>
    <w:rsid w:val="00345EB6"/>
    <w:rsid w:val="003462E6"/>
    <w:rsid w:val="0034644A"/>
    <w:rsid w:val="003472AE"/>
    <w:rsid w:val="003478AF"/>
    <w:rsid w:val="00347EB7"/>
    <w:rsid w:val="00350279"/>
    <w:rsid w:val="00350BF3"/>
    <w:rsid w:val="003516D5"/>
    <w:rsid w:val="00352C46"/>
    <w:rsid w:val="003557E6"/>
    <w:rsid w:val="0035691C"/>
    <w:rsid w:val="0035725F"/>
    <w:rsid w:val="0036057B"/>
    <w:rsid w:val="00361CDD"/>
    <w:rsid w:val="003625B1"/>
    <w:rsid w:val="00363133"/>
    <w:rsid w:val="003633BA"/>
    <w:rsid w:val="00363A92"/>
    <w:rsid w:val="00364E17"/>
    <w:rsid w:val="00365AE7"/>
    <w:rsid w:val="00366E4F"/>
    <w:rsid w:val="00370806"/>
    <w:rsid w:val="003709E4"/>
    <w:rsid w:val="003714EF"/>
    <w:rsid w:val="003720D2"/>
    <w:rsid w:val="0037459F"/>
    <w:rsid w:val="0037479D"/>
    <w:rsid w:val="00375527"/>
    <w:rsid w:val="00375E91"/>
    <w:rsid w:val="0037637C"/>
    <w:rsid w:val="00377844"/>
    <w:rsid w:val="00377FDD"/>
    <w:rsid w:val="003800BB"/>
    <w:rsid w:val="003822DC"/>
    <w:rsid w:val="00384C3D"/>
    <w:rsid w:val="00386449"/>
    <w:rsid w:val="00386688"/>
    <w:rsid w:val="003867BE"/>
    <w:rsid w:val="00390225"/>
    <w:rsid w:val="00390696"/>
    <w:rsid w:val="00390705"/>
    <w:rsid w:val="00391D70"/>
    <w:rsid w:val="003921EC"/>
    <w:rsid w:val="00392498"/>
    <w:rsid w:val="0039257C"/>
    <w:rsid w:val="00392A1E"/>
    <w:rsid w:val="0039370C"/>
    <w:rsid w:val="00393FF3"/>
    <w:rsid w:val="003944C6"/>
    <w:rsid w:val="00395AEB"/>
    <w:rsid w:val="003962F7"/>
    <w:rsid w:val="00396E16"/>
    <w:rsid w:val="00397045"/>
    <w:rsid w:val="003A0391"/>
    <w:rsid w:val="003A04E0"/>
    <w:rsid w:val="003A0E06"/>
    <w:rsid w:val="003A3101"/>
    <w:rsid w:val="003A395A"/>
    <w:rsid w:val="003A3C02"/>
    <w:rsid w:val="003A47BF"/>
    <w:rsid w:val="003A4AA7"/>
    <w:rsid w:val="003A5545"/>
    <w:rsid w:val="003A5C77"/>
    <w:rsid w:val="003A7AC0"/>
    <w:rsid w:val="003A7CAC"/>
    <w:rsid w:val="003B02CB"/>
    <w:rsid w:val="003B2896"/>
    <w:rsid w:val="003B3198"/>
    <w:rsid w:val="003B358E"/>
    <w:rsid w:val="003B3912"/>
    <w:rsid w:val="003B3D22"/>
    <w:rsid w:val="003B3FCC"/>
    <w:rsid w:val="003B42D1"/>
    <w:rsid w:val="003B4300"/>
    <w:rsid w:val="003B484A"/>
    <w:rsid w:val="003B5A5C"/>
    <w:rsid w:val="003B612B"/>
    <w:rsid w:val="003B6511"/>
    <w:rsid w:val="003B67FA"/>
    <w:rsid w:val="003B70DE"/>
    <w:rsid w:val="003C00AC"/>
    <w:rsid w:val="003C03F5"/>
    <w:rsid w:val="003C0F75"/>
    <w:rsid w:val="003C1520"/>
    <w:rsid w:val="003C1A72"/>
    <w:rsid w:val="003C1F14"/>
    <w:rsid w:val="003C4146"/>
    <w:rsid w:val="003C4A09"/>
    <w:rsid w:val="003C55C4"/>
    <w:rsid w:val="003C64BE"/>
    <w:rsid w:val="003C71A2"/>
    <w:rsid w:val="003C73A8"/>
    <w:rsid w:val="003D23AF"/>
    <w:rsid w:val="003D3948"/>
    <w:rsid w:val="003D3A99"/>
    <w:rsid w:val="003D4290"/>
    <w:rsid w:val="003D4E6F"/>
    <w:rsid w:val="003D5026"/>
    <w:rsid w:val="003D5897"/>
    <w:rsid w:val="003D5AEE"/>
    <w:rsid w:val="003D5FEA"/>
    <w:rsid w:val="003D7612"/>
    <w:rsid w:val="003D79E3"/>
    <w:rsid w:val="003D7A54"/>
    <w:rsid w:val="003D7FAD"/>
    <w:rsid w:val="003E045B"/>
    <w:rsid w:val="003E25F7"/>
    <w:rsid w:val="003E2696"/>
    <w:rsid w:val="003E3864"/>
    <w:rsid w:val="003E527E"/>
    <w:rsid w:val="003E5A94"/>
    <w:rsid w:val="003E6100"/>
    <w:rsid w:val="003E7552"/>
    <w:rsid w:val="003F0063"/>
    <w:rsid w:val="003F02EA"/>
    <w:rsid w:val="003F0382"/>
    <w:rsid w:val="003F055B"/>
    <w:rsid w:val="003F2511"/>
    <w:rsid w:val="003F32FA"/>
    <w:rsid w:val="003F5251"/>
    <w:rsid w:val="003F53FF"/>
    <w:rsid w:val="003F77AD"/>
    <w:rsid w:val="0040191D"/>
    <w:rsid w:val="00401DB9"/>
    <w:rsid w:val="00401EC6"/>
    <w:rsid w:val="00403194"/>
    <w:rsid w:val="00404618"/>
    <w:rsid w:val="00404881"/>
    <w:rsid w:val="00404E95"/>
    <w:rsid w:val="00404EB2"/>
    <w:rsid w:val="00405F61"/>
    <w:rsid w:val="0040740A"/>
    <w:rsid w:val="004075C8"/>
    <w:rsid w:val="004075E9"/>
    <w:rsid w:val="00407E71"/>
    <w:rsid w:val="00410233"/>
    <w:rsid w:val="00412CA6"/>
    <w:rsid w:val="0041383D"/>
    <w:rsid w:val="00413971"/>
    <w:rsid w:val="004139A7"/>
    <w:rsid w:val="004156B9"/>
    <w:rsid w:val="00415C7E"/>
    <w:rsid w:val="004170F1"/>
    <w:rsid w:val="00417591"/>
    <w:rsid w:val="004202AA"/>
    <w:rsid w:val="00420B15"/>
    <w:rsid w:val="00420EA6"/>
    <w:rsid w:val="00421279"/>
    <w:rsid w:val="0042315E"/>
    <w:rsid w:val="00424805"/>
    <w:rsid w:val="00425187"/>
    <w:rsid w:val="0042541E"/>
    <w:rsid w:val="0042617E"/>
    <w:rsid w:val="00426234"/>
    <w:rsid w:val="00426EF7"/>
    <w:rsid w:val="00427112"/>
    <w:rsid w:val="00427807"/>
    <w:rsid w:val="00427957"/>
    <w:rsid w:val="00427BC7"/>
    <w:rsid w:val="00430399"/>
    <w:rsid w:val="004303EF"/>
    <w:rsid w:val="00430B7A"/>
    <w:rsid w:val="0043127F"/>
    <w:rsid w:val="00431E71"/>
    <w:rsid w:val="004326DC"/>
    <w:rsid w:val="00432DF2"/>
    <w:rsid w:val="004335A0"/>
    <w:rsid w:val="00434469"/>
    <w:rsid w:val="004347F0"/>
    <w:rsid w:val="004356B8"/>
    <w:rsid w:val="0043580C"/>
    <w:rsid w:val="00435C65"/>
    <w:rsid w:val="004407E6"/>
    <w:rsid w:val="00440E65"/>
    <w:rsid w:val="0044125B"/>
    <w:rsid w:val="00441594"/>
    <w:rsid w:val="00441AEF"/>
    <w:rsid w:val="004423F1"/>
    <w:rsid w:val="00442B92"/>
    <w:rsid w:val="0044380A"/>
    <w:rsid w:val="00444514"/>
    <w:rsid w:val="004449F0"/>
    <w:rsid w:val="00444C6F"/>
    <w:rsid w:val="00445EB6"/>
    <w:rsid w:val="00445F59"/>
    <w:rsid w:val="004461A5"/>
    <w:rsid w:val="004462F6"/>
    <w:rsid w:val="0044657C"/>
    <w:rsid w:val="004466BE"/>
    <w:rsid w:val="004466CB"/>
    <w:rsid w:val="00447134"/>
    <w:rsid w:val="00447494"/>
    <w:rsid w:val="00450632"/>
    <w:rsid w:val="00450F3E"/>
    <w:rsid w:val="00451796"/>
    <w:rsid w:val="00451C32"/>
    <w:rsid w:val="00451EE3"/>
    <w:rsid w:val="00452DC0"/>
    <w:rsid w:val="00454D9E"/>
    <w:rsid w:val="00454E03"/>
    <w:rsid w:val="00455BA9"/>
    <w:rsid w:val="0045696F"/>
    <w:rsid w:val="00456AB6"/>
    <w:rsid w:val="004618D3"/>
    <w:rsid w:val="00461FA8"/>
    <w:rsid w:val="004625AD"/>
    <w:rsid w:val="00462C23"/>
    <w:rsid w:val="004640CB"/>
    <w:rsid w:val="004643ED"/>
    <w:rsid w:val="00464572"/>
    <w:rsid w:val="0046513D"/>
    <w:rsid w:val="00465F70"/>
    <w:rsid w:val="00467930"/>
    <w:rsid w:val="00467CCF"/>
    <w:rsid w:val="00470542"/>
    <w:rsid w:val="004705A9"/>
    <w:rsid w:val="00471A0D"/>
    <w:rsid w:val="0047230C"/>
    <w:rsid w:val="00472BD0"/>
    <w:rsid w:val="00472E32"/>
    <w:rsid w:val="00473BE8"/>
    <w:rsid w:val="00473FFC"/>
    <w:rsid w:val="00474104"/>
    <w:rsid w:val="004749E5"/>
    <w:rsid w:val="00476BDC"/>
    <w:rsid w:val="004771B6"/>
    <w:rsid w:val="004775BB"/>
    <w:rsid w:val="00477C46"/>
    <w:rsid w:val="00477C7B"/>
    <w:rsid w:val="0048078C"/>
    <w:rsid w:val="004808B0"/>
    <w:rsid w:val="00481641"/>
    <w:rsid w:val="00482D51"/>
    <w:rsid w:val="00482E90"/>
    <w:rsid w:val="00482FDB"/>
    <w:rsid w:val="00483FDB"/>
    <w:rsid w:val="00485D21"/>
    <w:rsid w:val="00486140"/>
    <w:rsid w:val="00486360"/>
    <w:rsid w:val="004863C4"/>
    <w:rsid w:val="0048720A"/>
    <w:rsid w:val="0049054E"/>
    <w:rsid w:val="0049112D"/>
    <w:rsid w:val="004912BD"/>
    <w:rsid w:val="00491D45"/>
    <w:rsid w:val="00491E94"/>
    <w:rsid w:val="004946C7"/>
    <w:rsid w:val="00495257"/>
    <w:rsid w:val="004958BA"/>
    <w:rsid w:val="004A1840"/>
    <w:rsid w:val="004A1B83"/>
    <w:rsid w:val="004A2029"/>
    <w:rsid w:val="004A3908"/>
    <w:rsid w:val="004A3D78"/>
    <w:rsid w:val="004A3F8A"/>
    <w:rsid w:val="004A4112"/>
    <w:rsid w:val="004A45D4"/>
    <w:rsid w:val="004A5A3F"/>
    <w:rsid w:val="004A6853"/>
    <w:rsid w:val="004A7C5E"/>
    <w:rsid w:val="004B08C2"/>
    <w:rsid w:val="004B124D"/>
    <w:rsid w:val="004B176E"/>
    <w:rsid w:val="004B1961"/>
    <w:rsid w:val="004B1965"/>
    <w:rsid w:val="004B2236"/>
    <w:rsid w:val="004B2502"/>
    <w:rsid w:val="004B2F01"/>
    <w:rsid w:val="004B3791"/>
    <w:rsid w:val="004B75F5"/>
    <w:rsid w:val="004C02C6"/>
    <w:rsid w:val="004C07D3"/>
    <w:rsid w:val="004C3BB0"/>
    <w:rsid w:val="004C41F3"/>
    <w:rsid w:val="004C4614"/>
    <w:rsid w:val="004C4FC7"/>
    <w:rsid w:val="004C58A4"/>
    <w:rsid w:val="004C647B"/>
    <w:rsid w:val="004C68A4"/>
    <w:rsid w:val="004C715C"/>
    <w:rsid w:val="004C726D"/>
    <w:rsid w:val="004C7D4B"/>
    <w:rsid w:val="004C7F4C"/>
    <w:rsid w:val="004D010B"/>
    <w:rsid w:val="004D3889"/>
    <w:rsid w:val="004D4162"/>
    <w:rsid w:val="004D4FEC"/>
    <w:rsid w:val="004D670F"/>
    <w:rsid w:val="004D6A77"/>
    <w:rsid w:val="004D7F75"/>
    <w:rsid w:val="004E0510"/>
    <w:rsid w:val="004E12E6"/>
    <w:rsid w:val="004E14D6"/>
    <w:rsid w:val="004E1693"/>
    <w:rsid w:val="004E4EAE"/>
    <w:rsid w:val="004E53FE"/>
    <w:rsid w:val="004E58C9"/>
    <w:rsid w:val="004E58DC"/>
    <w:rsid w:val="004E5A39"/>
    <w:rsid w:val="004E5F57"/>
    <w:rsid w:val="004E61AA"/>
    <w:rsid w:val="004E705A"/>
    <w:rsid w:val="004E7D2B"/>
    <w:rsid w:val="004F0EAD"/>
    <w:rsid w:val="004F1489"/>
    <w:rsid w:val="004F1795"/>
    <w:rsid w:val="004F33E3"/>
    <w:rsid w:val="004F360E"/>
    <w:rsid w:val="004F3962"/>
    <w:rsid w:val="004F4515"/>
    <w:rsid w:val="004F5BBB"/>
    <w:rsid w:val="004F5D53"/>
    <w:rsid w:val="004F725C"/>
    <w:rsid w:val="004F7A8B"/>
    <w:rsid w:val="004F7AE4"/>
    <w:rsid w:val="00501DDF"/>
    <w:rsid w:val="005035BF"/>
    <w:rsid w:val="005038FD"/>
    <w:rsid w:val="00503BE6"/>
    <w:rsid w:val="00504105"/>
    <w:rsid w:val="0050524C"/>
    <w:rsid w:val="005052A1"/>
    <w:rsid w:val="00505EEE"/>
    <w:rsid w:val="00506147"/>
    <w:rsid w:val="00507052"/>
    <w:rsid w:val="005077A8"/>
    <w:rsid w:val="005109D8"/>
    <w:rsid w:val="00510CA9"/>
    <w:rsid w:val="00510CFE"/>
    <w:rsid w:val="0051143D"/>
    <w:rsid w:val="005120D1"/>
    <w:rsid w:val="00512525"/>
    <w:rsid w:val="00512D20"/>
    <w:rsid w:val="00512E3C"/>
    <w:rsid w:val="00512EB9"/>
    <w:rsid w:val="00513117"/>
    <w:rsid w:val="0051468D"/>
    <w:rsid w:val="005157EF"/>
    <w:rsid w:val="0051634F"/>
    <w:rsid w:val="00517033"/>
    <w:rsid w:val="00521B6B"/>
    <w:rsid w:val="0052261E"/>
    <w:rsid w:val="00522702"/>
    <w:rsid w:val="0052371B"/>
    <w:rsid w:val="00523A57"/>
    <w:rsid w:val="00523CC0"/>
    <w:rsid w:val="005244DA"/>
    <w:rsid w:val="005249A3"/>
    <w:rsid w:val="00525130"/>
    <w:rsid w:val="0052570C"/>
    <w:rsid w:val="00525897"/>
    <w:rsid w:val="00525E60"/>
    <w:rsid w:val="00526286"/>
    <w:rsid w:val="00527828"/>
    <w:rsid w:val="0052794A"/>
    <w:rsid w:val="00531D6C"/>
    <w:rsid w:val="005321CC"/>
    <w:rsid w:val="005327C7"/>
    <w:rsid w:val="00532FCF"/>
    <w:rsid w:val="0053414F"/>
    <w:rsid w:val="00534FD4"/>
    <w:rsid w:val="0053670B"/>
    <w:rsid w:val="005370E0"/>
    <w:rsid w:val="005372D0"/>
    <w:rsid w:val="0054016B"/>
    <w:rsid w:val="005401F9"/>
    <w:rsid w:val="00540BA9"/>
    <w:rsid w:val="00543038"/>
    <w:rsid w:val="005438C4"/>
    <w:rsid w:val="0054395E"/>
    <w:rsid w:val="005446F6"/>
    <w:rsid w:val="00546205"/>
    <w:rsid w:val="00547693"/>
    <w:rsid w:val="00547AA5"/>
    <w:rsid w:val="00547EBA"/>
    <w:rsid w:val="0055019B"/>
    <w:rsid w:val="0055291B"/>
    <w:rsid w:val="00552D28"/>
    <w:rsid w:val="005544AD"/>
    <w:rsid w:val="00554518"/>
    <w:rsid w:val="00554AF4"/>
    <w:rsid w:val="005571A1"/>
    <w:rsid w:val="00557229"/>
    <w:rsid w:val="00557AA6"/>
    <w:rsid w:val="0056033B"/>
    <w:rsid w:val="005605BE"/>
    <w:rsid w:val="00560605"/>
    <w:rsid w:val="005613CC"/>
    <w:rsid w:val="005626C1"/>
    <w:rsid w:val="00563003"/>
    <w:rsid w:val="0056650F"/>
    <w:rsid w:val="005705D7"/>
    <w:rsid w:val="0057099E"/>
    <w:rsid w:val="00571D41"/>
    <w:rsid w:val="0057369C"/>
    <w:rsid w:val="00573A15"/>
    <w:rsid w:val="0057404D"/>
    <w:rsid w:val="005744F5"/>
    <w:rsid w:val="00575083"/>
    <w:rsid w:val="005751C0"/>
    <w:rsid w:val="0057525E"/>
    <w:rsid w:val="005754CA"/>
    <w:rsid w:val="00575DC0"/>
    <w:rsid w:val="00577E5D"/>
    <w:rsid w:val="00580254"/>
    <w:rsid w:val="00580401"/>
    <w:rsid w:val="0058059C"/>
    <w:rsid w:val="00580918"/>
    <w:rsid w:val="00580F25"/>
    <w:rsid w:val="00582D28"/>
    <w:rsid w:val="00583211"/>
    <w:rsid w:val="00583BAD"/>
    <w:rsid w:val="00584740"/>
    <w:rsid w:val="00584DB8"/>
    <w:rsid w:val="00585BFD"/>
    <w:rsid w:val="00585D00"/>
    <w:rsid w:val="005875A3"/>
    <w:rsid w:val="00587672"/>
    <w:rsid w:val="00592508"/>
    <w:rsid w:val="005926B4"/>
    <w:rsid w:val="00594102"/>
    <w:rsid w:val="00594205"/>
    <w:rsid w:val="005948DC"/>
    <w:rsid w:val="00594E4E"/>
    <w:rsid w:val="0059512F"/>
    <w:rsid w:val="0059625F"/>
    <w:rsid w:val="005A12C9"/>
    <w:rsid w:val="005A1D48"/>
    <w:rsid w:val="005A40D9"/>
    <w:rsid w:val="005A6248"/>
    <w:rsid w:val="005A66F3"/>
    <w:rsid w:val="005A6A9C"/>
    <w:rsid w:val="005A6AFC"/>
    <w:rsid w:val="005A6EBB"/>
    <w:rsid w:val="005B14EE"/>
    <w:rsid w:val="005B1A8C"/>
    <w:rsid w:val="005B227B"/>
    <w:rsid w:val="005B28BC"/>
    <w:rsid w:val="005B379A"/>
    <w:rsid w:val="005B41CD"/>
    <w:rsid w:val="005B5E10"/>
    <w:rsid w:val="005B5FAE"/>
    <w:rsid w:val="005B63DB"/>
    <w:rsid w:val="005B6B55"/>
    <w:rsid w:val="005B6DDC"/>
    <w:rsid w:val="005B741B"/>
    <w:rsid w:val="005B74F6"/>
    <w:rsid w:val="005B79D1"/>
    <w:rsid w:val="005B7B93"/>
    <w:rsid w:val="005C2148"/>
    <w:rsid w:val="005C2E43"/>
    <w:rsid w:val="005C402D"/>
    <w:rsid w:val="005C6251"/>
    <w:rsid w:val="005C6CA8"/>
    <w:rsid w:val="005C6CDF"/>
    <w:rsid w:val="005C7D0D"/>
    <w:rsid w:val="005C7EB0"/>
    <w:rsid w:val="005D037B"/>
    <w:rsid w:val="005D04BF"/>
    <w:rsid w:val="005D0F6E"/>
    <w:rsid w:val="005D4410"/>
    <w:rsid w:val="005D4E4D"/>
    <w:rsid w:val="005D5599"/>
    <w:rsid w:val="005D7377"/>
    <w:rsid w:val="005D73BD"/>
    <w:rsid w:val="005E0511"/>
    <w:rsid w:val="005E0FF3"/>
    <w:rsid w:val="005E3683"/>
    <w:rsid w:val="005E404D"/>
    <w:rsid w:val="005E5C55"/>
    <w:rsid w:val="005E61DF"/>
    <w:rsid w:val="005E7399"/>
    <w:rsid w:val="005E7AB2"/>
    <w:rsid w:val="005E7C33"/>
    <w:rsid w:val="005F0C2B"/>
    <w:rsid w:val="005F2054"/>
    <w:rsid w:val="005F229C"/>
    <w:rsid w:val="005F2CC0"/>
    <w:rsid w:val="005F3C5E"/>
    <w:rsid w:val="005F44A4"/>
    <w:rsid w:val="005F4AA6"/>
    <w:rsid w:val="005F4FA0"/>
    <w:rsid w:val="005F51E1"/>
    <w:rsid w:val="005F55CE"/>
    <w:rsid w:val="005F59A7"/>
    <w:rsid w:val="005F6E2C"/>
    <w:rsid w:val="005F7777"/>
    <w:rsid w:val="00601420"/>
    <w:rsid w:val="0060156A"/>
    <w:rsid w:val="00602010"/>
    <w:rsid w:val="00603A9A"/>
    <w:rsid w:val="00604691"/>
    <w:rsid w:val="006059F4"/>
    <w:rsid w:val="00605B6B"/>
    <w:rsid w:val="006071B5"/>
    <w:rsid w:val="00607C82"/>
    <w:rsid w:val="00612A74"/>
    <w:rsid w:val="006143CC"/>
    <w:rsid w:val="0061445B"/>
    <w:rsid w:val="00615DCF"/>
    <w:rsid w:val="00616642"/>
    <w:rsid w:val="00617875"/>
    <w:rsid w:val="00620DB9"/>
    <w:rsid w:val="00621DD9"/>
    <w:rsid w:val="00623597"/>
    <w:rsid w:val="0062441C"/>
    <w:rsid w:val="0062481F"/>
    <w:rsid w:val="006248F8"/>
    <w:rsid w:val="00624A30"/>
    <w:rsid w:val="006252C5"/>
    <w:rsid w:val="00625E62"/>
    <w:rsid w:val="0062646A"/>
    <w:rsid w:val="006271B0"/>
    <w:rsid w:val="00627958"/>
    <w:rsid w:val="00627A05"/>
    <w:rsid w:val="00627C51"/>
    <w:rsid w:val="00630027"/>
    <w:rsid w:val="00631694"/>
    <w:rsid w:val="00631A21"/>
    <w:rsid w:val="00633D20"/>
    <w:rsid w:val="00634057"/>
    <w:rsid w:val="00635C58"/>
    <w:rsid w:val="00635EE0"/>
    <w:rsid w:val="00636132"/>
    <w:rsid w:val="006361A3"/>
    <w:rsid w:val="0063762B"/>
    <w:rsid w:val="00637881"/>
    <w:rsid w:val="0064070A"/>
    <w:rsid w:val="006412B0"/>
    <w:rsid w:val="00641883"/>
    <w:rsid w:val="006418E2"/>
    <w:rsid w:val="00643E48"/>
    <w:rsid w:val="00644270"/>
    <w:rsid w:val="00644336"/>
    <w:rsid w:val="00644C4B"/>
    <w:rsid w:val="00645EAB"/>
    <w:rsid w:val="006460C6"/>
    <w:rsid w:val="0064679C"/>
    <w:rsid w:val="0064690F"/>
    <w:rsid w:val="006471E9"/>
    <w:rsid w:val="00647201"/>
    <w:rsid w:val="00651084"/>
    <w:rsid w:val="00651EEA"/>
    <w:rsid w:val="00652B13"/>
    <w:rsid w:val="006533CA"/>
    <w:rsid w:val="00653B9E"/>
    <w:rsid w:val="00653BB9"/>
    <w:rsid w:val="00653CC5"/>
    <w:rsid w:val="00654C56"/>
    <w:rsid w:val="00655D41"/>
    <w:rsid w:val="0065602C"/>
    <w:rsid w:val="006578F9"/>
    <w:rsid w:val="00661505"/>
    <w:rsid w:val="0066191B"/>
    <w:rsid w:val="00663640"/>
    <w:rsid w:val="0066386A"/>
    <w:rsid w:val="00663A58"/>
    <w:rsid w:val="00663C8D"/>
    <w:rsid w:val="00664771"/>
    <w:rsid w:val="00664B7D"/>
    <w:rsid w:val="00665D4F"/>
    <w:rsid w:val="00666968"/>
    <w:rsid w:val="006674BC"/>
    <w:rsid w:val="00667BE2"/>
    <w:rsid w:val="00667D05"/>
    <w:rsid w:val="00670C17"/>
    <w:rsid w:val="006719B9"/>
    <w:rsid w:val="0067205F"/>
    <w:rsid w:val="006725F5"/>
    <w:rsid w:val="0067319E"/>
    <w:rsid w:val="0067345A"/>
    <w:rsid w:val="0067450B"/>
    <w:rsid w:val="006774A6"/>
    <w:rsid w:val="0068028B"/>
    <w:rsid w:val="006804EC"/>
    <w:rsid w:val="0068180E"/>
    <w:rsid w:val="0068255F"/>
    <w:rsid w:val="006825F7"/>
    <w:rsid w:val="0068280E"/>
    <w:rsid w:val="00682E3B"/>
    <w:rsid w:val="006834C3"/>
    <w:rsid w:val="00684F18"/>
    <w:rsid w:val="00684F20"/>
    <w:rsid w:val="00687B78"/>
    <w:rsid w:val="00687F6D"/>
    <w:rsid w:val="0069111A"/>
    <w:rsid w:val="00691A9B"/>
    <w:rsid w:val="00691CE5"/>
    <w:rsid w:val="00692CBE"/>
    <w:rsid w:val="00693E41"/>
    <w:rsid w:val="006948ED"/>
    <w:rsid w:val="00694B04"/>
    <w:rsid w:val="00695070"/>
    <w:rsid w:val="006966A7"/>
    <w:rsid w:val="006970A9"/>
    <w:rsid w:val="0069749B"/>
    <w:rsid w:val="006978A7"/>
    <w:rsid w:val="006978FF"/>
    <w:rsid w:val="006A060D"/>
    <w:rsid w:val="006A0A05"/>
    <w:rsid w:val="006A126B"/>
    <w:rsid w:val="006A1459"/>
    <w:rsid w:val="006A2D80"/>
    <w:rsid w:val="006A2E79"/>
    <w:rsid w:val="006A34F6"/>
    <w:rsid w:val="006A55A0"/>
    <w:rsid w:val="006B11E3"/>
    <w:rsid w:val="006B1A7F"/>
    <w:rsid w:val="006B1CB0"/>
    <w:rsid w:val="006B2AA9"/>
    <w:rsid w:val="006B2E55"/>
    <w:rsid w:val="006B31B6"/>
    <w:rsid w:val="006B39B6"/>
    <w:rsid w:val="006B51F7"/>
    <w:rsid w:val="006B58D8"/>
    <w:rsid w:val="006B5A89"/>
    <w:rsid w:val="006B6353"/>
    <w:rsid w:val="006B754F"/>
    <w:rsid w:val="006B78BE"/>
    <w:rsid w:val="006C04B7"/>
    <w:rsid w:val="006C0535"/>
    <w:rsid w:val="006C140F"/>
    <w:rsid w:val="006C17CD"/>
    <w:rsid w:val="006C1F92"/>
    <w:rsid w:val="006C3FE5"/>
    <w:rsid w:val="006C4C98"/>
    <w:rsid w:val="006C7068"/>
    <w:rsid w:val="006C7BD3"/>
    <w:rsid w:val="006C7CFA"/>
    <w:rsid w:val="006D007A"/>
    <w:rsid w:val="006D2A78"/>
    <w:rsid w:val="006D4810"/>
    <w:rsid w:val="006D621A"/>
    <w:rsid w:val="006D6C94"/>
    <w:rsid w:val="006D7DAA"/>
    <w:rsid w:val="006E00A9"/>
    <w:rsid w:val="006E068B"/>
    <w:rsid w:val="006E07F5"/>
    <w:rsid w:val="006E08C8"/>
    <w:rsid w:val="006E1C49"/>
    <w:rsid w:val="006E2BFF"/>
    <w:rsid w:val="006E5766"/>
    <w:rsid w:val="006E7065"/>
    <w:rsid w:val="006F015A"/>
    <w:rsid w:val="006F03BB"/>
    <w:rsid w:val="006F04AC"/>
    <w:rsid w:val="006F1F88"/>
    <w:rsid w:val="006F35B5"/>
    <w:rsid w:val="006F3B46"/>
    <w:rsid w:val="006F3E9B"/>
    <w:rsid w:val="006F3FBB"/>
    <w:rsid w:val="006F419B"/>
    <w:rsid w:val="006F7FA7"/>
    <w:rsid w:val="00700A71"/>
    <w:rsid w:val="007014A5"/>
    <w:rsid w:val="0070277E"/>
    <w:rsid w:val="00703932"/>
    <w:rsid w:val="00703B46"/>
    <w:rsid w:val="00704B40"/>
    <w:rsid w:val="00704CA8"/>
    <w:rsid w:val="00704DA7"/>
    <w:rsid w:val="007055C9"/>
    <w:rsid w:val="00706D34"/>
    <w:rsid w:val="00707233"/>
    <w:rsid w:val="007076A4"/>
    <w:rsid w:val="00707ACF"/>
    <w:rsid w:val="00707F89"/>
    <w:rsid w:val="00707FEA"/>
    <w:rsid w:val="0071108F"/>
    <w:rsid w:val="007117AC"/>
    <w:rsid w:val="00712547"/>
    <w:rsid w:val="0071254F"/>
    <w:rsid w:val="007126FE"/>
    <w:rsid w:val="00712777"/>
    <w:rsid w:val="00712A71"/>
    <w:rsid w:val="00714A48"/>
    <w:rsid w:val="0071503E"/>
    <w:rsid w:val="00715097"/>
    <w:rsid w:val="00715D24"/>
    <w:rsid w:val="00715DA3"/>
    <w:rsid w:val="00715EF0"/>
    <w:rsid w:val="007178A8"/>
    <w:rsid w:val="00720838"/>
    <w:rsid w:val="00720FD1"/>
    <w:rsid w:val="00721440"/>
    <w:rsid w:val="00723E52"/>
    <w:rsid w:val="007247A7"/>
    <w:rsid w:val="00724F2E"/>
    <w:rsid w:val="00725477"/>
    <w:rsid w:val="00725EDF"/>
    <w:rsid w:val="00726F5D"/>
    <w:rsid w:val="00727886"/>
    <w:rsid w:val="007279EE"/>
    <w:rsid w:val="00727D90"/>
    <w:rsid w:val="00730694"/>
    <w:rsid w:val="00731495"/>
    <w:rsid w:val="0073250A"/>
    <w:rsid w:val="0073394F"/>
    <w:rsid w:val="00733CFA"/>
    <w:rsid w:val="00735242"/>
    <w:rsid w:val="00735BC6"/>
    <w:rsid w:val="00735F48"/>
    <w:rsid w:val="007362EF"/>
    <w:rsid w:val="0073691C"/>
    <w:rsid w:val="00737001"/>
    <w:rsid w:val="00737639"/>
    <w:rsid w:val="00737D16"/>
    <w:rsid w:val="007402C1"/>
    <w:rsid w:val="00741D0F"/>
    <w:rsid w:val="0074296D"/>
    <w:rsid w:val="00742C33"/>
    <w:rsid w:val="00742FAF"/>
    <w:rsid w:val="00743286"/>
    <w:rsid w:val="007437EA"/>
    <w:rsid w:val="00744087"/>
    <w:rsid w:val="00745601"/>
    <w:rsid w:val="00746092"/>
    <w:rsid w:val="0074626D"/>
    <w:rsid w:val="00750439"/>
    <w:rsid w:val="00750772"/>
    <w:rsid w:val="00751435"/>
    <w:rsid w:val="00751EBF"/>
    <w:rsid w:val="00753EBC"/>
    <w:rsid w:val="0075492A"/>
    <w:rsid w:val="00754D7E"/>
    <w:rsid w:val="00756977"/>
    <w:rsid w:val="007578CB"/>
    <w:rsid w:val="0076053B"/>
    <w:rsid w:val="00760C95"/>
    <w:rsid w:val="0076167E"/>
    <w:rsid w:val="007621E8"/>
    <w:rsid w:val="007630C1"/>
    <w:rsid w:val="007636C2"/>
    <w:rsid w:val="00763BAA"/>
    <w:rsid w:val="00764871"/>
    <w:rsid w:val="00765308"/>
    <w:rsid w:val="00765654"/>
    <w:rsid w:val="007661E0"/>
    <w:rsid w:val="00766CE9"/>
    <w:rsid w:val="007678E2"/>
    <w:rsid w:val="00770A3F"/>
    <w:rsid w:val="00770BED"/>
    <w:rsid w:val="00770C7C"/>
    <w:rsid w:val="00772241"/>
    <w:rsid w:val="007741F8"/>
    <w:rsid w:val="00774450"/>
    <w:rsid w:val="00774821"/>
    <w:rsid w:val="00774A48"/>
    <w:rsid w:val="0077652F"/>
    <w:rsid w:val="00777011"/>
    <w:rsid w:val="00777262"/>
    <w:rsid w:val="00777B55"/>
    <w:rsid w:val="00780257"/>
    <w:rsid w:val="00781136"/>
    <w:rsid w:val="007819DF"/>
    <w:rsid w:val="00781A64"/>
    <w:rsid w:val="00790271"/>
    <w:rsid w:val="00791169"/>
    <w:rsid w:val="00791697"/>
    <w:rsid w:val="00791AE8"/>
    <w:rsid w:val="00792505"/>
    <w:rsid w:val="00792AE5"/>
    <w:rsid w:val="00793FC1"/>
    <w:rsid w:val="007946A7"/>
    <w:rsid w:val="007950B3"/>
    <w:rsid w:val="00796FBF"/>
    <w:rsid w:val="007A06E5"/>
    <w:rsid w:val="007A0CC9"/>
    <w:rsid w:val="007A0E85"/>
    <w:rsid w:val="007A125F"/>
    <w:rsid w:val="007A2F3D"/>
    <w:rsid w:val="007A40AF"/>
    <w:rsid w:val="007A426A"/>
    <w:rsid w:val="007A47DE"/>
    <w:rsid w:val="007A4F67"/>
    <w:rsid w:val="007A545F"/>
    <w:rsid w:val="007A6E95"/>
    <w:rsid w:val="007A6FBB"/>
    <w:rsid w:val="007A79EE"/>
    <w:rsid w:val="007A7EDE"/>
    <w:rsid w:val="007B03E1"/>
    <w:rsid w:val="007B0827"/>
    <w:rsid w:val="007B1BD9"/>
    <w:rsid w:val="007B1F46"/>
    <w:rsid w:val="007B27C7"/>
    <w:rsid w:val="007B2944"/>
    <w:rsid w:val="007B41B7"/>
    <w:rsid w:val="007B41CB"/>
    <w:rsid w:val="007B535D"/>
    <w:rsid w:val="007B564F"/>
    <w:rsid w:val="007B5B82"/>
    <w:rsid w:val="007B62AC"/>
    <w:rsid w:val="007B722F"/>
    <w:rsid w:val="007B7565"/>
    <w:rsid w:val="007B794D"/>
    <w:rsid w:val="007C01AE"/>
    <w:rsid w:val="007C099E"/>
    <w:rsid w:val="007C1050"/>
    <w:rsid w:val="007C3352"/>
    <w:rsid w:val="007C38BF"/>
    <w:rsid w:val="007C3F90"/>
    <w:rsid w:val="007C4351"/>
    <w:rsid w:val="007C4794"/>
    <w:rsid w:val="007C4D6E"/>
    <w:rsid w:val="007C5048"/>
    <w:rsid w:val="007C5C8A"/>
    <w:rsid w:val="007C5E97"/>
    <w:rsid w:val="007D0079"/>
    <w:rsid w:val="007D0120"/>
    <w:rsid w:val="007D4119"/>
    <w:rsid w:val="007D41F4"/>
    <w:rsid w:val="007D4A99"/>
    <w:rsid w:val="007D4EE3"/>
    <w:rsid w:val="007D557C"/>
    <w:rsid w:val="007D5843"/>
    <w:rsid w:val="007D6EF6"/>
    <w:rsid w:val="007D797B"/>
    <w:rsid w:val="007E082F"/>
    <w:rsid w:val="007E088D"/>
    <w:rsid w:val="007E2455"/>
    <w:rsid w:val="007E326F"/>
    <w:rsid w:val="007E3C46"/>
    <w:rsid w:val="007E4670"/>
    <w:rsid w:val="007E5465"/>
    <w:rsid w:val="007E5512"/>
    <w:rsid w:val="007E6F33"/>
    <w:rsid w:val="007E705B"/>
    <w:rsid w:val="007E7740"/>
    <w:rsid w:val="007F02CF"/>
    <w:rsid w:val="007F153F"/>
    <w:rsid w:val="007F157F"/>
    <w:rsid w:val="007F2F44"/>
    <w:rsid w:val="007F3924"/>
    <w:rsid w:val="007F40B1"/>
    <w:rsid w:val="007F5163"/>
    <w:rsid w:val="007F537C"/>
    <w:rsid w:val="007F5D71"/>
    <w:rsid w:val="008032D1"/>
    <w:rsid w:val="00803923"/>
    <w:rsid w:val="00803F52"/>
    <w:rsid w:val="008041ED"/>
    <w:rsid w:val="00804C29"/>
    <w:rsid w:val="00806D5C"/>
    <w:rsid w:val="008075D3"/>
    <w:rsid w:val="00810833"/>
    <w:rsid w:val="00811601"/>
    <w:rsid w:val="00811FCF"/>
    <w:rsid w:val="008123B2"/>
    <w:rsid w:val="0081337F"/>
    <w:rsid w:val="00813AE0"/>
    <w:rsid w:val="008144C2"/>
    <w:rsid w:val="00814624"/>
    <w:rsid w:val="00816966"/>
    <w:rsid w:val="00816ADD"/>
    <w:rsid w:val="0082015A"/>
    <w:rsid w:val="008215DE"/>
    <w:rsid w:val="00821A44"/>
    <w:rsid w:val="00821B7B"/>
    <w:rsid w:val="00822801"/>
    <w:rsid w:val="00822D29"/>
    <w:rsid w:val="00823B60"/>
    <w:rsid w:val="008243CB"/>
    <w:rsid w:val="008251AE"/>
    <w:rsid w:val="008254E4"/>
    <w:rsid w:val="00830AAB"/>
    <w:rsid w:val="00830CDB"/>
    <w:rsid w:val="008310BC"/>
    <w:rsid w:val="0083193A"/>
    <w:rsid w:val="00831EB1"/>
    <w:rsid w:val="0083212C"/>
    <w:rsid w:val="008326D0"/>
    <w:rsid w:val="00833967"/>
    <w:rsid w:val="00833C96"/>
    <w:rsid w:val="008351FC"/>
    <w:rsid w:val="00835AB4"/>
    <w:rsid w:val="00837253"/>
    <w:rsid w:val="0083793F"/>
    <w:rsid w:val="00837E00"/>
    <w:rsid w:val="00840305"/>
    <w:rsid w:val="00846348"/>
    <w:rsid w:val="008516C7"/>
    <w:rsid w:val="00851CFA"/>
    <w:rsid w:val="008523D6"/>
    <w:rsid w:val="00852DE6"/>
    <w:rsid w:val="00852E95"/>
    <w:rsid w:val="0085336D"/>
    <w:rsid w:val="00854399"/>
    <w:rsid w:val="008546B4"/>
    <w:rsid w:val="0085483D"/>
    <w:rsid w:val="008550C3"/>
    <w:rsid w:val="0085518A"/>
    <w:rsid w:val="00855AB4"/>
    <w:rsid w:val="00855F32"/>
    <w:rsid w:val="008570E4"/>
    <w:rsid w:val="00857B7A"/>
    <w:rsid w:val="0086091C"/>
    <w:rsid w:val="00861806"/>
    <w:rsid w:val="00861B44"/>
    <w:rsid w:val="008622FD"/>
    <w:rsid w:val="0086288C"/>
    <w:rsid w:val="0086295C"/>
    <w:rsid w:val="0086309E"/>
    <w:rsid w:val="00863516"/>
    <w:rsid w:val="0086391D"/>
    <w:rsid w:val="00863B80"/>
    <w:rsid w:val="0086414F"/>
    <w:rsid w:val="008641B4"/>
    <w:rsid w:val="00864219"/>
    <w:rsid w:val="00864B03"/>
    <w:rsid w:val="0086520F"/>
    <w:rsid w:val="008652ED"/>
    <w:rsid w:val="00870811"/>
    <w:rsid w:val="0087085B"/>
    <w:rsid w:val="0087194A"/>
    <w:rsid w:val="00871DA9"/>
    <w:rsid w:val="008725DB"/>
    <w:rsid w:val="00872AE3"/>
    <w:rsid w:val="00872BCF"/>
    <w:rsid w:val="00873488"/>
    <w:rsid w:val="008741E0"/>
    <w:rsid w:val="00875A78"/>
    <w:rsid w:val="00875E97"/>
    <w:rsid w:val="00876E11"/>
    <w:rsid w:val="00877E16"/>
    <w:rsid w:val="008806AA"/>
    <w:rsid w:val="008806EF"/>
    <w:rsid w:val="00880F21"/>
    <w:rsid w:val="00881A38"/>
    <w:rsid w:val="00882ADD"/>
    <w:rsid w:val="00882D16"/>
    <w:rsid w:val="00882F8E"/>
    <w:rsid w:val="00883C34"/>
    <w:rsid w:val="0088487C"/>
    <w:rsid w:val="008859D8"/>
    <w:rsid w:val="00885E40"/>
    <w:rsid w:val="0088644B"/>
    <w:rsid w:val="00886ED2"/>
    <w:rsid w:val="00887186"/>
    <w:rsid w:val="008871F1"/>
    <w:rsid w:val="0088753C"/>
    <w:rsid w:val="0088788B"/>
    <w:rsid w:val="00890297"/>
    <w:rsid w:val="0089142F"/>
    <w:rsid w:val="00891AA8"/>
    <w:rsid w:val="00893C26"/>
    <w:rsid w:val="008940BC"/>
    <w:rsid w:val="008A063F"/>
    <w:rsid w:val="008A0BAD"/>
    <w:rsid w:val="008A0D74"/>
    <w:rsid w:val="008A12E3"/>
    <w:rsid w:val="008A130C"/>
    <w:rsid w:val="008A1C3E"/>
    <w:rsid w:val="008A2A11"/>
    <w:rsid w:val="008A30A4"/>
    <w:rsid w:val="008A419F"/>
    <w:rsid w:val="008A49CB"/>
    <w:rsid w:val="008A4CA1"/>
    <w:rsid w:val="008A5CA2"/>
    <w:rsid w:val="008A639E"/>
    <w:rsid w:val="008A6E1B"/>
    <w:rsid w:val="008A7CD4"/>
    <w:rsid w:val="008B0262"/>
    <w:rsid w:val="008B1B46"/>
    <w:rsid w:val="008B1B82"/>
    <w:rsid w:val="008B217A"/>
    <w:rsid w:val="008B22A5"/>
    <w:rsid w:val="008B2983"/>
    <w:rsid w:val="008B38E7"/>
    <w:rsid w:val="008B3D5A"/>
    <w:rsid w:val="008B4093"/>
    <w:rsid w:val="008B5964"/>
    <w:rsid w:val="008B61EF"/>
    <w:rsid w:val="008B64BA"/>
    <w:rsid w:val="008B6645"/>
    <w:rsid w:val="008B6B9F"/>
    <w:rsid w:val="008B7051"/>
    <w:rsid w:val="008B7432"/>
    <w:rsid w:val="008C0D93"/>
    <w:rsid w:val="008C0EC3"/>
    <w:rsid w:val="008C1BC8"/>
    <w:rsid w:val="008C1E9B"/>
    <w:rsid w:val="008C2E6F"/>
    <w:rsid w:val="008C3256"/>
    <w:rsid w:val="008C3C95"/>
    <w:rsid w:val="008C44E3"/>
    <w:rsid w:val="008C4987"/>
    <w:rsid w:val="008C5FD3"/>
    <w:rsid w:val="008C611D"/>
    <w:rsid w:val="008C7145"/>
    <w:rsid w:val="008C7AC7"/>
    <w:rsid w:val="008C7B26"/>
    <w:rsid w:val="008D01EA"/>
    <w:rsid w:val="008D039E"/>
    <w:rsid w:val="008D0D42"/>
    <w:rsid w:val="008D14F2"/>
    <w:rsid w:val="008D21C0"/>
    <w:rsid w:val="008D28F9"/>
    <w:rsid w:val="008D2D73"/>
    <w:rsid w:val="008D4BA0"/>
    <w:rsid w:val="008D7E87"/>
    <w:rsid w:val="008E0798"/>
    <w:rsid w:val="008E13E5"/>
    <w:rsid w:val="008E2D95"/>
    <w:rsid w:val="008E52E4"/>
    <w:rsid w:val="008E5CAF"/>
    <w:rsid w:val="008F12FC"/>
    <w:rsid w:val="008F147E"/>
    <w:rsid w:val="008F2E56"/>
    <w:rsid w:val="008F3900"/>
    <w:rsid w:val="008F5568"/>
    <w:rsid w:val="008F568E"/>
    <w:rsid w:val="008F57F3"/>
    <w:rsid w:val="008F5A36"/>
    <w:rsid w:val="008F759F"/>
    <w:rsid w:val="0090023F"/>
    <w:rsid w:val="00900BFD"/>
    <w:rsid w:val="00901049"/>
    <w:rsid w:val="0090143C"/>
    <w:rsid w:val="0090193C"/>
    <w:rsid w:val="0090264E"/>
    <w:rsid w:val="00902ECE"/>
    <w:rsid w:val="0090538C"/>
    <w:rsid w:val="00905632"/>
    <w:rsid w:val="009066B7"/>
    <w:rsid w:val="00906A47"/>
    <w:rsid w:val="00906C93"/>
    <w:rsid w:val="00907909"/>
    <w:rsid w:val="00910A64"/>
    <w:rsid w:val="0091110C"/>
    <w:rsid w:val="00911603"/>
    <w:rsid w:val="00911C17"/>
    <w:rsid w:val="009121A6"/>
    <w:rsid w:val="00913DCC"/>
    <w:rsid w:val="009146D7"/>
    <w:rsid w:val="00914776"/>
    <w:rsid w:val="00914D77"/>
    <w:rsid w:val="0091521A"/>
    <w:rsid w:val="009153F8"/>
    <w:rsid w:val="00916405"/>
    <w:rsid w:val="0091641A"/>
    <w:rsid w:val="00916622"/>
    <w:rsid w:val="00916B96"/>
    <w:rsid w:val="00917E64"/>
    <w:rsid w:val="009206E3"/>
    <w:rsid w:val="0092147D"/>
    <w:rsid w:val="00922AE8"/>
    <w:rsid w:val="00922B8F"/>
    <w:rsid w:val="00922F2C"/>
    <w:rsid w:val="00923796"/>
    <w:rsid w:val="00923A7F"/>
    <w:rsid w:val="0092471E"/>
    <w:rsid w:val="009249C3"/>
    <w:rsid w:val="009255ED"/>
    <w:rsid w:val="00925B05"/>
    <w:rsid w:val="0092616E"/>
    <w:rsid w:val="0092643C"/>
    <w:rsid w:val="00927A17"/>
    <w:rsid w:val="00927C4A"/>
    <w:rsid w:val="00931400"/>
    <w:rsid w:val="00931669"/>
    <w:rsid w:val="009325F2"/>
    <w:rsid w:val="00932DA2"/>
    <w:rsid w:val="00932F4C"/>
    <w:rsid w:val="009337F1"/>
    <w:rsid w:val="00934AC4"/>
    <w:rsid w:val="00934E66"/>
    <w:rsid w:val="00935009"/>
    <w:rsid w:val="009351E4"/>
    <w:rsid w:val="009356C7"/>
    <w:rsid w:val="00936E84"/>
    <w:rsid w:val="00936FF6"/>
    <w:rsid w:val="00937133"/>
    <w:rsid w:val="00937373"/>
    <w:rsid w:val="009374E5"/>
    <w:rsid w:val="00937BE3"/>
    <w:rsid w:val="009404F2"/>
    <w:rsid w:val="009409AE"/>
    <w:rsid w:val="00941637"/>
    <w:rsid w:val="00943026"/>
    <w:rsid w:val="009433D1"/>
    <w:rsid w:val="00943461"/>
    <w:rsid w:val="00945499"/>
    <w:rsid w:val="009455FE"/>
    <w:rsid w:val="009472F4"/>
    <w:rsid w:val="009508E7"/>
    <w:rsid w:val="00951DB4"/>
    <w:rsid w:val="0095226B"/>
    <w:rsid w:val="00952933"/>
    <w:rsid w:val="009530EE"/>
    <w:rsid w:val="00953306"/>
    <w:rsid w:val="00954866"/>
    <w:rsid w:val="00955951"/>
    <w:rsid w:val="00956800"/>
    <w:rsid w:val="0095697A"/>
    <w:rsid w:val="00956EE2"/>
    <w:rsid w:val="00956EFF"/>
    <w:rsid w:val="00957E2A"/>
    <w:rsid w:val="00960B47"/>
    <w:rsid w:val="00960D7D"/>
    <w:rsid w:val="009615D4"/>
    <w:rsid w:val="00961DBC"/>
    <w:rsid w:val="00961FCE"/>
    <w:rsid w:val="009620C1"/>
    <w:rsid w:val="00962446"/>
    <w:rsid w:val="009627F9"/>
    <w:rsid w:val="009643C3"/>
    <w:rsid w:val="00965099"/>
    <w:rsid w:val="00966016"/>
    <w:rsid w:val="00966380"/>
    <w:rsid w:val="009668E1"/>
    <w:rsid w:val="00966F30"/>
    <w:rsid w:val="00967335"/>
    <w:rsid w:val="009674C1"/>
    <w:rsid w:val="009678BD"/>
    <w:rsid w:val="009709DB"/>
    <w:rsid w:val="0097123C"/>
    <w:rsid w:val="00971621"/>
    <w:rsid w:val="00971850"/>
    <w:rsid w:val="009718DE"/>
    <w:rsid w:val="009720EA"/>
    <w:rsid w:val="00973501"/>
    <w:rsid w:val="009736F6"/>
    <w:rsid w:val="0097371F"/>
    <w:rsid w:val="00973836"/>
    <w:rsid w:val="009739DC"/>
    <w:rsid w:val="00973E10"/>
    <w:rsid w:val="00976698"/>
    <w:rsid w:val="00977427"/>
    <w:rsid w:val="00977697"/>
    <w:rsid w:val="00980309"/>
    <w:rsid w:val="00980BB7"/>
    <w:rsid w:val="0098122E"/>
    <w:rsid w:val="00981DB4"/>
    <w:rsid w:val="009822CC"/>
    <w:rsid w:val="009822F5"/>
    <w:rsid w:val="0098235A"/>
    <w:rsid w:val="00982E3F"/>
    <w:rsid w:val="00983437"/>
    <w:rsid w:val="00984631"/>
    <w:rsid w:val="00984FE2"/>
    <w:rsid w:val="0098587F"/>
    <w:rsid w:val="00985C6F"/>
    <w:rsid w:val="0098710E"/>
    <w:rsid w:val="00990307"/>
    <w:rsid w:val="00990377"/>
    <w:rsid w:val="00990766"/>
    <w:rsid w:val="00990F3F"/>
    <w:rsid w:val="00991806"/>
    <w:rsid w:val="00993A1B"/>
    <w:rsid w:val="00993A26"/>
    <w:rsid w:val="00994C6F"/>
    <w:rsid w:val="009950A6"/>
    <w:rsid w:val="0099534B"/>
    <w:rsid w:val="0099553F"/>
    <w:rsid w:val="00995B6E"/>
    <w:rsid w:val="0099655C"/>
    <w:rsid w:val="00996695"/>
    <w:rsid w:val="00997F97"/>
    <w:rsid w:val="009A025B"/>
    <w:rsid w:val="009A087B"/>
    <w:rsid w:val="009A0F34"/>
    <w:rsid w:val="009A1332"/>
    <w:rsid w:val="009A2501"/>
    <w:rsid w:val="009A27F3"/>
    <w:rsid w:val="009A2B26"/>
    <w:rsid w:val="009A3E6F"/>
    <w:rsid w:val="009A50C6"/>
    <w:rsid w:val="009A611E"/>
    <w:rsid w:val="009A64FD"/>
    <w:rsid w:val="009A6C6E"/>
    <w:rsid w:val="009B243C"/>
    <w:rsid w:val="009B2621"/>
    <w:rsid w:val="009B2B19"/>
    <w:rsid w:val="009B2DF9"/>
    <w:rsid w:val="009B35FD"/>
    <w:rsid w:val="009B3D88"/>
    <w:rsid w:val="009B3DD0"/>
    <w:rsid w:val="009B4E30"/>
    <w:rsid w:val="009B4FEF"/>
    <w:rsid w:val="009B5036"/>
    <w:rsid w:val="009B544B"/>
    <w:rsid w:val="009B5BAA"/>
    <w:rsid w:val="009B5F3F"/>
    <w:rsid w:val="009B5FE7"/>
    <w:rsid w:val="009B60BA"/>
    <w:rsid w:val="009B64DD"/>
    <w:rsid w:val="009B7100"/>
    <w:rsid w:val="009B762B"/>
    <w:rsid w:val="009B77D2"/>
    <w:rsid w:val="009C000E"/>
    <w:rsid w:val="009C11C9"/>
    <w:rsid w:val="009C1558"/>
    <w:rsid w:val="009C230E"/>
    <w:rsid w:val="009C2DBC"/>
    <w:rsid w:val="009C3ABD"/>
    <w:rsid w:val="009C3F74"/>
    <w:rsid w:val="009C40A3"/>
    <w:rsid w:val="009C4F57"/>
    <w:rsid w:val="009D0B97"/>
    <w:rsid w:val="009D1C9C"/>
    <w:rsid w:val="009D1FDD"/>
    <w:rsid w:val="009D2701"/>
    <w:rsid w:val="009D2E69"/>
    <w:rsid w:val="009D31FD"/>
    <w:rsid w:val="009D3459"/>
    <w:rsid w:val="009D417A"/>
    <w:rsid w:val="009D432B"/>
    <w:rsid w:val="009D4510"/>
    <w:rsid w:val="009D4D56"/>
    <w:rsid w:val="009D5965"/>
    <w:rsid w:val="009D63BA"/>
    <w:rsid w:val="009D6692"/>
    <w:rsid w:val="009D77F5"/>
    <w:rsid w:val="009D7E2A"/>
    <w:rsid w:val="009E049A"/>
    <w:rsid w:val="009E0EBC"/>
    <w:rsid w:val="009E1197"/>
    <w:rsid w:val="009E14AD"/>
    <w:rsid w:val="009E3DFC"/>
    <w:rsid w:val="009E5232"/>
    <w:rsid w:val="009E5530"/>
    <w:rsid w:val="009E5931"/>
    <w:rsid w:val="009E625A"/>
    <w:rsid w:val="009E668E"/>
    <w:rsid w:val="009E71A6"/>
    <w:rsid w:val="009E73A3"/>
    <w:rsid w:val="009F0584"/>
    <w:rsid w:val="009F09E6"/>
    <w:rsid w:val="009F15E2"/>
    <w:rsid w:val="009F1EA0"/>
    <w:rsid w:val="009F2BA6"/>
    <w:rsid w:val="009F3109"/>
    <w:rsid w:val="009F34A4"/>
    <w:rsid w:val="009F3EA6"/>
    <w:rsid w:val="009F6419"/>
    <w:rsid w:val="009F737D"/>
    <w:rsid w:val="009F7448"/>
    <w:rsid w:val="009F797F"/>
    <w:rsid w:val="009F79AB"/>
    <w:rsid w:val="009F7AAB"/>
    <w:rsid w:val="00A003DE"/>
    <w:rsid w:val="00A00432"/>
    <w:rsid w:val="00A0044F"/>
    <w:rsid w:val="00A014FA"/>
    <w:rsid w:val="00A01F52"/>
    <w:rsid w:val="00A031AC"/>
    <w:rsid w:val="00A03A5C"/>
    <w:rsid w:val="00A05A58"/>
    <w:rsid w:val="00A05AAC"/>
    <w:rsid w:val="00A0632F"/>
    <w:rsid w:val="00A07F22"/>
    <w:rsid w:val="00A10F89"/>
    <w:rsid w:val="00A10FDD"/>
    <w:rsid w:val="00A11024"/>
    <w:rsid w:val="00A119FA"/>
    <w:rsid w:val="00A12B75"/>
    <w:rsid w:val="00A13818"/>
    <w:rsid w:val="00A141F7"/>
    <w:rsid w:val="00A14215"/>
    <w:rsid w:val="00A14CCB"/>
    <w:rsid w:val="00A17097"/>
    <w:rsid w:val="00A179F5"/>
    <w:rsid w:val="00A21434"/>
    <w:rsid w:val="00A21446"/>
    <w:rsid w:val="00A223E4"/>
    <w:rsid w:val="00A23D5A"/>
    <w:rsid w:val="00A24689"/>
    <w:rsid w:val="00A26720"/>
    <w:rsid w:val="00A2688F"/>
    <w:rsid w:val="00A2779A"/>
    <w:rsid w:val="00A27BD7"/>
    <w:rsid w:val="00A304B9"/>
    <w:rsid w:val="00A30B28"/>
    <w:rsid w:val="00A31603"/>
    <w:rsid w:val="00A3256D"/>
    <w:rsid w:val="00A33D1D"/>
    <w:rsid w:val="00A35A88"/>
    <w:rsid w:val="00A35BBC"/>
    <w:rsid w:val="00A3600A"/>
    <w:rsid w:val="00A36F65"/>
    <w:rsid w:val="00A37AB8"/>
    <w:rsid w:val="00A40043"/>
    <w:rsid w:val="00A4046A"/>
    <w:rsid w:val="00A41A5E"/>
    <w:rsid w:val="00A423C1"/>
    <w:rsid w:val="00A4295A"/>
    <w:rsid w:val="00A42DFC"/>
    <w:rsid w:val="00A43BA4"/>
    <w:rsid w:val="00A4560B"/>
    <w:rsid w:val="00A4601F"/>
    <w:rsid w:val="00A471AD"/>
    <w:rsid w:val="00A50889"/>
    <w:rsid w:val="00A50BA6"/>
    <w:rsid w:val="00A514EB"/>
    <w:rsid w:val="00A51D31"/>
    <w:rsid w:val="00A530D6"/>
    <w:rsid w:val="00A536F9"/>
    <w:rsid w:val="00A53D4E"/>
    <w:rsid w:val="00A54411"/>
    <w:rsid w:val="00A547BF"/>
    <w:rsid w:val="00A5664D"/>
    <w:rsid w:val="00A566AB"/>
    <w:rsid w:val="00A5754D"/>
    <w:rsid w:val="00A6178A"/>
    <w:rsid w:val="00A6200E"/>
    <w:rsid w:val="00A621B1"/>
    <w:rsid w:val="00A6360C"/>
    <w:rsid w:val="00A641E2"/>
    <w:rsid w:val="00A64605"/>
    <w:rsid w:val="00A6577C"/>
    <w:rsid w:val="00A65A06"/>
    <w:rsid w:val="00A65A9D"/>
    <w:rsid w:val="00A676FD"/>
    <w:rsid w:val="00A677B4"/>
    <w:rsid w:val="00A67C18"/>
    <w:rsid w:val="00A700D3"/>
    <w:rsid w:val="00A7016C"/>
    <w:rsid w:val="00A70EC4"/>
    <w:rsid w:val="00A7146C"/>
    <w:rsid w:val="00A7148B"/>
    <w:rsid w:val="00A718D3"/>
    <w:rsid w:val="00A71C23"/>
    <w:rsid w:val="00A71EC2"/>
    <w:rsid w:val="00A723CD"/>
    <w:rsid w:val="00A72E23"/>
    <w:rsid w:val="00A72EE6"/>
    <w:rsid w:val="00A7399C"/>
    <w:rsid w:val="00A74C1E"/>
    <w:rsid w:val="00A75C5B"/>
    <w:rsid w:val="00A76D91"/>
    <w:rsid w:val="00A772AC"/>
    <w:rsid w:val="00A7772A"/>
    <w:rsid w:val="00A77AB6"/>
    <w:rsid w:val="00A80E7E"/>
    <w:rsid w:val="00A81944"/>
    <w:rsid w:val="00A81ACB"/>
    <w:rsid w:val="00A82554"/>
    <w:rsid w:val="00A82661"/>
    <w:rsid w:val="00A82B00"/>
    <w:rsid w:val="00A82E7E"/>
    <w:rsid w:val="00A8345F"/>
    <w:rsid w:val="00A83846"/>
    <w:rsid w:val="00A8387D"/>
    <w:rsid w:val="00A83B7D"/>
    <w:rsid w:val="00A84E29"/>
    <w:rsid w:val="00A84FE5"/>
    <w:rsid w:val="00A8520B"/>
    <w:rsid w:val="00A85E14"/>
    <w:rsid w:val="00A87106"/>
    <w:rsid w:val="00A900FA"/>
    <w:rsid w:val="00A9012A"/>
    <w:rsid w:val="00A9078F"/>
    <w:rsid w:val="00A90932"/>
    <w:rsid w:val="00A90C83"/>
    <w:rsid w:val="00A91311"/>
    <w:rsid w:val="00A91577"/>
    <w:rsid w:val="00A917AB"/>
    <w:rsid w:val="00A91E7A"/>
    <w:rsid w:val="00A92473"/>
    <w:rsid w:val="00A926CA"/>
    <w:rsid w:val="00A92770"/>
    <w:rsid w:val="00A92EFD"/>
    <w:rsid w:val="00A92FE7"/>
    <w:rsid w:val="00A93A17"/>
    <w:rsid w:val="00A94070"/>
    <w:rsid w:val="00A95621"/>
    <w:rsid w:val="00A95DD5"/>
    <w:rsid w:val="00A96609"/>
    <w:rsid w:val="00A967FB"/>
    <w:rsid w:val="00A9691E"/>
    <w:rsid w:val="00A97D80"/>
    <w:rsid w:val="00A97E3F"/>
    <w:rsid w:val="00AA13E0"/>
    <w:rsid w:val="00AA1BB4"/>
    <w:rsid w:val="00AA3457"/>
    <w:rsid w:val="00AA3623"/>
    <w:rsid w:val="00AA3AC5"/>
    <w:rsid w:val="00AA53CE"/>
    <w:rsid w:val="00AA5587"/>
    <w:rsid w:val="00AA56CB"/>
    <w:rsid w:val="00AA5DAA"/>
    <w:rsid w:val="00AA7CFD"/>
    <w:rsid w:val="00AB25BA"/>
    <w:rsid w:val="00AB2639"/>
    <w:rsid w:val="00AB3312"/>
    <w:rsid w:val="00AB3763"/>
    <w:rsid w:val="00AB3B88"/>
    <w:rsid w:val="00AB4477"/>
    <w:rsid w:val="00AB454E"/>
    <w:rsid w:val="00AB4864"/>
    <w:rsid w:val="00AB4F08"/>
    <w:rsid w:val="00AC0782"/>
    <w:rsid w:val="00AC0B92"/>
    <w:rsid w:val="00AC11CA"/>
    <w:rsid w:val="00AC1208"/>
    <w:rsid w:val="00AC151A"/>
    <w:rsid w:val="00AC22F5"/>
    <w:rsid w:val="00AC2E2F"/>
    <w:rsid w:val="00AC7E2E"/>
    <w:rsid w:val="00AC7F0A"/>
    <w:rsid w:val="00AD0D70"/>
    <w:rsid w:val="00AD10AB"/>
    <w:rsid w:val="00AD10E5"/>
    <w:rsid w:val="00AD506B"/>
    <w:rsid w:val="00AD5729"/>
    <w:rsid w:val="00AD5E8D"/>
    <w:rsid w:val="00AD69BC"/>
    <w:rsid w:val="00AE032C"/>
    <w:rsid w:val="00AE31D9"/>
    <w:rsid w:val="00AE384B"/>
    <w:rsid w:val="00AE5FB5"/>
    <w:rsid w:val="00AE60D5"/>
    <w:rsid w:val="00AE63E4"/>
    <w:rsid w:val="00AE7521"/>
    <w:rsid w:val="00AE783C"/>
    <w:rsid w:val="00AE7E6E"/>
    <w:rsid w:val="00AF44A4"/>
    <w:rsid w:val="00AF5452"/>
    <w:rsid w:val="00AF5C26"/>
    <w:rsid w:val="00AF6B48"/>
    <w:rsid w:val="00AF7152"/>
    <w:rsid w:val="00B00E6A"/>
    <w:rsid w:val="00B015C0"/>
    <w:rsid w:val="00B0278F"/>
    <w:rsid w:val="00B02A1D"/>
    <w:rsid w:val="00B033D3"/>
    <w:rsid w:val="00B03685"/>
    <w:rsid w:val="00B03770"/>
    <w:rsid w:val="00B06214"/>
    <w:rsid w:val="00B069BD"/>
    <w:rsid w:val="00B07C7F"/>
    <w:rsid w:val="00B07FA4"/>
    <w:rsid w:val="00B112C0"/>
    <w:rsid w:val="00B1136C"/>
    <w:rsid w:val="00B1194D"/>
    <w:rsid w:val="00B1293D"/>
    <w:rsid w:val="00B133D1"/>
    <w:rsid w:val="00B13F40"/>
    <w:rsid w:val="00B146EA"/>
    <w:rsid w:val="00B15242"/>
    <w:rsid w:val="00B1528E"/>
    <w:rsid w:val="00B1559A"/>
    <w:rsid w:val="00B16AE0"/>
    <w:rsid w:val="00B16EAF"/>
    <w:rsid w:val="00B17061"/>
    <w:rsid w:val="00B171C1"/>
    <w:rsid w:val="00B17519"/>
    <w:rsid w:val="00B179ED"/>
    <w:rsid w:val="00B17EB6"/>
    <w:rsid w:val="00B17FAD"/>
    <w:rsid w:val="00B204AE"/>
    <w:rsid w:val="00B20833"/>
    <w:rsid w:val="00B20D8E"/>
    <w:rsid w:val="00B23E05"/>
    <w:rsid w:val="00B24759"/>
    <w:rsid w:val="00B24A61"/>
    <w:rsid w:val="00B24BC2"/>
    <w:rsid w:val="00B252A3"/>
    <w:rsid w:val="00B25722"/>
    <w:rsid w:val="00B25BCA"/>
    <w:rsid w:val="00B26447"/>
    <w:rsid w:val="00B26FA7"/>
    <w:rsid w:val="00B3010D"/>
    <w:rsid w:val="00B30DB0"/>
    <w:rsid w:val="00B346E1"/>
    <w:rsid w:val="00B34A00"/>
    <w:rsid w:val="00B34B6C"/>
    <w:rsid w:val="00B350E3"/>
    <w:rsid w:val="00B36010"/>
    <w:rsid w:val="00B365F9"/>
    <w:rsid w:val="00B42174"/>
    <w:rsid w:val="00B43F56"/>
    <w:rsid w:val="00B44079"/>
    <w:rsid w:val="00B44638"/>
    <w:rsid w:val="00B45366"/>
    <w:rsid w:val="00B45544"/>
    <w:rsid w:val="00B46868"/>
    <w:rsid w:val="00B46E1D"/>
    <w:rsid w:val="00B47BDE"/>
    <w:rsid w:val="00B501E8"/>
    <w:rsid w:val="00B51600"/>
    <w:rsid w:val="00B52A36"/>
    <w:rsid w:val="00B52AA4"/>
    <w:rsid w:val="00B53932"/>
    <w:rsid w:val="00B539DC"/>
    <w:rsid w:val="00B5475A"/>
    <w:rsid w:val="00B552C2"/>
    <w:rsid w:val="00B556AC"/>
    <w:rsid w:val="00B5665C"/>
    <w:rsid w:val="00B573BB"/>
    <w:rsid w:val="00B60623"/>
    <w:rsid w:val="00B60E89"/>
    <w:rsid w:val="00B60FF7"/>
    <w:rsid w:val="00B61814"/>
    <w:rsid w:val="00B61EB5"/>
    <w:rsid w:val="00B620CA"/>
    <w:rsid w:val="00B624B8"/>
    <w:rsid w:val="00B62E35"/>
    <w:rsid w:val="00B63882"/>
    <w:rsid w:val="00B63A6B"/>
    <w:rsid w:val="00B648F9"/>
    <w:rsid w:val="00B64C7B"/>
    <w:rsid w:val="00B65238"/>
    <w:rsid w:val="00B65D88"/>
    <w:rsid w:val="00B6794E"/>
    <w:rsid w:val="00B700C8"/>
    <w:rsid w:val="00B71A58"/>
    <w:rsid w:val="00B71D28"/>
    <w:rsid w:val="00B72508"/>
    <w:rsid w:val="00B72DDE"/>
    <w:rsid w:val="00B72E55"/>
    <w:rsid w:val="00B73AA7"/>
    <w:rsid w:val="00B76303"/>
    <w:rsid w:val="00B76777"/>
    <w:rsid w:val="00B772CF"/>
    <w:rsid w:val="00B80614"/>
    <w:rsid w:val="00B823BA"/>
    <w:rsid w:val="00B82CE4"/>
    <w:rsid w:val="00B838FD"/>
    <w:rsid w:val="00B84539"/>
    <w:rsid w:val="00B84D0D"/>
    <w:rsid w:val="00B8537D"/>
    <w:rsid w:val="00B86CAE"/>
    <w:rsid w:val="00B875BB"/>
    <w:rsid w:val="00B90258"/>
    <w:rsid w:val="00B90E3B"/>
    <w:rsid w:val="00B90F94"/>
    <w:rsid w:val="00B910B3"/>
    <w:rsid w:val="00B912B2"/>
    <w:rsid w:val="00B9250B"/>
    <w:rsid w:val="00B92FDF"/>
    <w:rsid w:val="00B94900"/>
    <w:rsid w:val="00B94932"/>
    <w:rsid w:val="00B9547A"/>
    <w:rsid w:val="00B955C3"/>
    <w:rsid w:val="00B95C86"/>
    <w:rsid w:val="00B95E8A"/>
    <w:rsid w:val="00B9752E"/>
    <w:rsid w:val="00B97BC3"/>
    <w:rsid w:val="00BA042E"/>
    <w:rsid w:val="00BA0BA4"/>
    <w:rsid w:val="00BA17D6"/>
    <w:rsid w:val="00BA2CB0"/>
    <w:rsid w:val="00BA3B2C"/>
    <w:rsid w:val="00BA45C0"/>
    <w:rsid w:val="00BA52F5"/>
    <w:rsid w:val="00BA68BB"/>
    <w:rsid w:val="00BA6CA1"/>
    <w:rsid w:val="00BA7AC8"/>
    <w:rsid w:val="00BB09AB"/>
    <w:rsid w:val="00BB0B39"/>
    <w:rsid w:val="00BB0D8F"/>
    <w:rsid w:val="00BB1122"/>
    <w:rsid w:val="00BB27AC"/>
    <w:rsid w:val="00BB3050"/>
    <w:rsid w:val="00BB409C"/>
    <w:rsid w:val="00BB46F6"/>
    <w:rsid w:val="00BB4BE1"/>
    <w:rsid w:val="00BB58FD"/>
    <w:rsid w:val="00BB6355"/>
    <w:rsid w:val="00BB676D"/>
    <w:rsid w:val="00BB6ADD"/>
    <w:rsid w:val="00BB70FC"/>
    <w:rsid w:val="00BB7BE6"/>
    <w:rsid w:val="00BC00DC"/>
    <w:rsid w:val="00BC0385"/>
    <w:rsid w:val="00BC19B6"/>
    <w:rsid w:val="00BC343C"/>
    <w:rsid w:val="00BC4935"/>
    <w:rsid w:val="00BC4CB4"/>
    <w:rsid w:val="00BC63C9"/>
    <w:rsid w:val="00BC6788"/>
    <w:rsid w:val="00BC68D5"/>
    <w:rsid w:val="00BC6C7A"/>
    <w:rsid w:val="00BD281D"/>
    <w:rsid w:val="00BD28DD"/>
    <w:rsid w:val="00BD2EFD"/>
    <w:rsid w:val="00BD3786"/>
    <w:rsid w:val="00BD5D24"/>
    <w:rsid w:val="00BD5DFF"/>
    <w:rsid w:val="00BD6450"/>
    <w:rsid w:val="00BD799D"/>
    <w:rsid w:val="00BE241B"/>
    <w:rsid w:val="00BE267F"/>
    <w:rsid w:val="00BE3208"/>
    <w:rsid w:val="00BE4598"/>
    <w:rsid w:val="00BE508D"/>
    <w:rsid w:val="00BE541D"/>
    <w:rsid w:val="00BE546E"/>
    <w:rsid w:val="00BE6597"/>
    <w:rsid w:val="00BE6629"/>
    <w:rsid w:val="00BE689C"/>
    <w:rsid w:val="00BE693F"/>
    <w:rsid w:val="00BE6D5B"/>
    <w:rsid w:val="00BE7061"/>
    <w:rsid w:val="00BE70FB"/>
    <w:rsid w:val="00BE726F"/>
    <w:rsid w:val="00BE7BDE"/>
    <w:rsid w:val="00BF03ED"/>
    <w:rsid w:val="00BF13AB"/>
    <w:rsid w:val="00BF149A"/>
    <w:rsid w:val="00BF1C66"/>
    <w:rsid w:val="00BF3B3B"/>
    <w:rsid w:val="00BF4D03"/>
    <w:rsid w:val="00BF5127"/>
    <w:rsid w:val="00BF5640"/>
    <w:rsid w:val="00BF5C62"/>
    <w:rsid w:val="00BF685A"/>
    <w:rsid w:val="00BF6997"/>
    <w:rsid w:val="00C01E75"/>
    <w:rsid w:val="00C01EDE"/>
    <w:rsid w:val="00C0205C"/>
    <w:rsid w:val="00C02590"/>
    <w:rsid w:val="00C03F55"/>
    <w:rsid w:val="00C045B1"/>
    <w:rsid w:val="00C04795"/>
    <w:rsid w:val="00C050B4"/>
    <w:rsid w:val="00C0576E"/>
    <w:rsid w:val="00C06F49"/>
    <w:rsid w:val="00C07393"/>
    <w:rsid w:val="00C07660"/>
    <w:rsid w:val="00C0774E"/>
    <w:rsid w:val="00C07F13"/>
    <w:rsid w:val="00C10621"/>
    <w:rsid w:val="00C10C79"/>
    <w:rsid w:val="00C1124B"/>
    <w:rsid w:val="00C11E62"/>
    <w:rsid w:val="00C12896"/>
    <w:rsid w:val="00C12EA1"/>
    <w:rsid w:val="00C12EC3"/>
    <w:rsid w:val="00C13A25"/>
    <w:rsid w:val="00C1432F"/>
    <w:rsid w:val="00C14619"/>
    <w:rsid w:val="00C14CFC"/>
    <w:rsid w:val="00C1512C"/>
    <w:rsid w:val="00C151F6"/>
    <w:rsid w:val="00C162A4"/>
    <w:rsid w:val="00C17087"/>
    <w:rsid w:val="00C173A2"/>
    <w:rsid w:val="00C1775C"/>
    <w:rsid w:val="00C17BD1"/>
    <w:rsid w:val="00C17E4C"/>
    <w:rsid w:val="00C20310"/>
    <w:rsid w:val="00C20B5B"/>
    <w:rsid w:val="00C20DB5"/>
    <w:rsid w:val="00C211C2"/>
    <w:rsid w:val="00C212D6"/>
    <w:rsid w:val="00C21C23"/>
    <w:rsid w:val="00C22691"/>
    <w:rsid w:val="00C24045"/>
    <w:rsid w:val="00C2409E"/>
    <w:rsid w:val="00C24615"/>
    <w:rsid w:val="00C24647"/>
    <w:rsid w:val="00C246CF"/>
    <w:rsid w:val="00C259C0"/>
    <w:rsid w:val="00C264D7"/>
    <w:rsid w:val="00C30843"/>
    <w:rsid w:val="00C30923"/>
    <w:rsid w:val="00C3099A"/>
    <w:rsid w:val="00C31710"/>
    <w:rsid w:val="00C31FEF"/>
    <w:rsid w:val="00C32486"/>
    <w:rsid w:val="00C32776"/>
    <w:rsid w:val="00C333FA"/>
    <w:rsid w:val="00C33B21"/>
    <w:rsid w:val="00C3400A"/>
    <w:rsid w:val="00C3432B"/>
    <w:rsid w:val="00C363C9"/>
    <w:rsid w:val="00C36EBC"/>
    <w:rsid w:val="00C4137B"/>
    <w:rsid w:val="00C41E35"/>
    <w:rsid w:val="00C42F53"/>
    <w:rsid w:val="00C43174"/>
    <w:rsid w:val="00C44489"/>
    <w:rsid w:val="00C45B3C"/>
    <w:rsid w:val="00C45C01"/>
    <w:rsid w:val="00C461C0"/>
    <w:rsid w:val="00C46DD4"/>
    <w:rsid w:val="00C46FDA"/>
    <w:rsid w:val="00C501C4"/>
    <w:rsid w:val="00C5030C"/>
    <w:rsid w:val="00C50B30"/>
    <w:rsid w:val="00C51953"/>
    <w:rsid w:val="00C530B0"/>
    <w:rsid w:val="00C53506"/>
    <w:rsid w:val="00C53F85"/>
    <w:rsid w:val="00C54052"/>
    <w:rsid w:val="00C5414C"/>
    <w:rsid w:val="00C54818"/>
    <w:rsid w:val="00C553A0"/>
    <w:rsid w:val="00C56044"/>
    <w:rsid w:val="00C5644A"/>
    <w:rsid w:val="00C56509"/>
    <w:rsid w:val="00C56735"/>
    <w:rsid w:val="00C56971"/>
    <w:rsid w:val="00C56E63"/>
    <w:rsid w:val="00C607C0"/>
    <w:rsid w:val="00C611EA"/>
    <w:rsid w:val="00C61672"/>
    <w:rsid w:val="00C61FD6"/>
    <w:rsid w:val="00C62D2B"/>
    <w:rsid w:val="00C63AAB"/>
    <w:rsid w:val="00C63E4A"/>
    <w:rsid w:val="00C643F3"/>
    <w:rsid w:val="00C6453C"/>
    <w:rsid w:val="00C64B65"/>
    <w:rsid w:val="00C65240"/>
    <w:rsid w:val="00C6556E"/>
    <w:rsid w:val="00C65FDE"/>
    <w:rsid w:val="00C67D38"/>
    <w:rsid w:val="00C70E41"/>
    <w:rsid w:val="00C7163D"/>
    <w:rsid w:val="00C72592"/>
    <w:rsid w:val="00C72AF6"/>
    <w:rsid w:val="00C7433B"/>
    <w:rsid w:val="00C74870"/>
    <w:rsid w:val="00C75B96"/>
    <w:rsid w:val="00C76A57"/>
    <w:rsid w:val="00C77911"/>
    <w:rsid w:val="00C82A2D"/>
    <w:rsid w:val="00C82C31"/>
    <w:rsid w:val="00C839F9"/>
    <w:rsid w:val="00C841F4"/>
    <w:rsid w:val="00C85735"/>
    <w:rsid w:val="00C857B9"/>
    <w:rsid w:val="00C85BAE"/>
    <w:rsid w:val="00C8744A"/>
    <w:rsid w:val="00C87A09"/>
    <w:rsid w:val="00C906E6"/>
    <w:rsid w:val="00C90C7D"/>
    <w:rsid w:val="00C90DAF"/>
    <w:rsid w:val="00C915C6"/>
    <w:rsid w:val="00C924CA"/>
    <w:rsid w:val="00C94840"/>
    <w:rsid w:val="00C94A6F"/>
    <w:rsid w:val="00C94AA0"/>
    <w:rsid w:val="00C94D7A"/>
    <w:rsid w:val="00C950F0"/>
    <w:rsid w:val="00C96240"/>
    <w:rsid w:val="00CA0AEE"/>
    <w:rsid w:val="00CA0D1F"/>
    <w:rsid w:val="00CA29BD"/>
    <w:rsid w:val="00CA2C69"/>
    <w:rsid w:val="00CA370B"/>
    <w:rsid w:val="00CA3E73"/>
    <w:rsid w:val="00CA3F5D"/>
    <w:rsid w:val="00CA5CB7"/>
    <w:rsid w:val="00CA7C04"/>
    <w:rsid w:val="00CA7C49"/>
    <w:rsid w:val="00CB03CD"/>
    <w:rsid w:val="00CB0A92"/>
    <w:rsid w:val="00CB14AE"/>
    <w:rsid w:val="00CB1E2D"/>
    <w:rsid w:val="00CB208F"/>
    <w:rsid w:val="00CB2160"/>
    <w:rsid w:val="00CB2503"/>
    <w:rsid w:val="00CB34B4"/>
    <w:rsid w:val="00CB487C"/>
    <w:rsid w:val="00CB6380"/>
    <w:rsid w:val="00CB6965"/>
    <w:rsid w:val="00CB697D"/>
    <w:rsid w:val="00CB6C77"/>
    <w:rsid w:val="00CB6F3F"/>
    <w:rsid w:val="00CB749C"/>
    <w:rsid w:val="00CB79BD"/>
    <w:rsid w:val="00CB7E5F"/>
    <w:rsid w:val="00CC0111"/>
    <w:rsid w:val="00CC04E3"/>
    <w:rsid w:val="00CC1F64"/>
    <w:rsid w:val="00CC2423"/>
    <w:rsid w:val="00CC34DD"/>
    <w:rsid w:val="00CC41E8"/>
    <w:rsid w:val="00CC4465"/>
    <w:rsid w:val="00CC4871"/>
    <w:rsid w:val="00CC5F47"/>
    <w:rsid w:val="00CC60D0"/>
    <w:rsid w:val="00CC6158"/>
    <w:rsid w:val="00CC6220"/>
    <w:rsid w:val="00CC667E"/>
    <w:rsid w:val="00CC69F0"/>
    <w:rsid w:val="00CC705D"/>
    <w:rsid w:val="00CC747F"/>
    <w:rsid w:val="00CD0086"/>
    <w:rsid w:val="00CD0C76"/>
    <w:rsid w:val="00CD1648"/>
    <w:rsid w:val="00CD21A1"/>
    <w:rsid w:val="00CD31CC"/>
    <w:rsid w:val="00CD3697"/>
    <w:rsid w:val="00CD380D"/>
    <w:rsid w:val="00CD3F49"/>
    <w:rsid w:val="00CD47B5"/>
    <w:rsid w:val="00CD48DC"/>
    <w:rsid w:val="00CD5BE2"/>
    <w:rsid w:val="00CE0E4D"/>
    <w:rsid w:val="00CE10CC"/>
    <w:rsid w:val="00CE18BF"/>
    <w:rsid w:val="00CE20A3"/>
    <w:rsid w:val="00CE23D0"/>
    <w:rsid w:val="00CE2DE7"/>
    <w:rsid w:val="00CE319C"/>
    <w:rsid w:val="00CE3EEB"/>
    <w:rsid w:val="00CE404E"/>
    <w:rsid w:val="00CE46DA"/>
    <w:rsid w:val="00CE5053"/>
    <w:rsid w:val="00CE5607"/>
    <w:rsid w:val="00CE6575"/>
    <w:rsid w:val="00CE66B0"/>
    <w:rsid w:val="00CE70F8"/>
    <w:rsid w:val="00CE7CF5"/>
    <w:rsid w:val="00CE7EC8"/>
    <w:rsid w:val="00CF1067"/>
    <w:rsid w:val="00CF10B1"/>
    <w:rsid w:val="00CF244E"/>
    <w:rsid w:val="00CF2571"/>
    <w:rsid w:val="00CF292F"/>
    <w:rsid w:val="00CF2A15"/>
    <w:rsid w:val="00CF2E60"/>
    <w:rsid w:val="00CF40C8"/>
    <w:rsid w:val="00CF45DD"/>
    <w:rsid w:val="00CF507F"/>
    <w:rsid w:val="00CF54F0"/>
    <w:rsid w:val="00CF5795"/>
    <w:rsid w:val="00CF6DE3"/>
    <w:rsid w:val="00CF7395"/>
    <w:rsid w:val="00CF777B"/>
    <w:rsid w:val="00CF7ED5"/>
    <w:rsid w:val="00D00194"/>
    <w:rsid w:val="00D00253"/>
    <w:rsid w:val="00D005B6"/>
    <w:rsid w:val="00D01195"/>
    <w:rsid w:val="00D01D21"/>
    <w:rsid w:val="00D0219A"/>
    <w:rsid w:val="00D027D2"/>
    <w:rsid w:val="00D046E7"/>
    <w:rsid w:val="00D0561B"/>
    <w:rsid w:val="00D0681B"/>
    <w:rsid w:val="00D0730A"/>
    <w:rsid w:val="00D1070F"/>
    <w:rsid w:val="00D10A3F"/>
    <w:rsid w:val="00D10F04"/>
    <w:rsid w:val="00D12555"/>
    <w:rsid w:val="00D13CFA"/>
    <w:rsid w:val="00D14C48"/>
    <w:rsid w:val="00D1584B"/>
    <w:rsid w:val="00D15886"/>
    <w:rsid w:val="00D167EF"/>
    <w:rsid w:val="00D16F08"/>
    <w:rsid w:val="00D20D6F"/>
    <w:rsid w:val="00D20E30"/>
    <w:rsid w:val="00D21143"/>
    <w:rsid w:val="00D242B6"/>
    <w:rsid w:val="00D24381"/>
    <w:rsid w:val="00D24421"/>
    <w:rsid w:val="00D27546"/>
    <w:rsid w:val="00D27670"/>
    <w:rsid w:val="00D277FE"/>
    <w:rsid w:val="00D31742"/>
    <w:rsid w:val="00D323F3"/>
    <w:rsid w:val="00D32B4A"/>
    <w:rsid w:val="00D336A7"/>
    <w:rsid w:val="00D35105"/>
    <w:rsid w:val="00D35D9C"/>
    <w:rsid w:val="00D362BB"/>
    <w:rsid w:val="00D3656D"/>
    <w:rsid w:val="00D37DF8"/>
    <w:rsid w:val="00D404E4"/>
    <w:rsid w:val="00D40571"/>
    <w:rsid w:val="00D40670"/>
    <w:rsid w:val="00D40755"/>
    <w:rsid w:val="00D413C4"/>
    <w:rsid w:val="00D434BA"/>
    <w:rsid w:val="00D435AD"/>
    <w:rsid w:val="00D43771"/>
    <w:rsid w:val="00D44CF5"/>
    <w:rsid w:val="00D452A3"/>
    <w:rsid w:val="00D4684B"/>
    <w:rsid w:val="00D469BF"/>
    <w:rsid w:val="00D471C7"/>
    <w:rsid w:val="00D47ADC"/>
    <w:rsid w:val="00D47B45"/>
    <w:rsid w:val="00D501A2"/>
    <w:rsid w:val="00D516BD"/>
    <w:rsid w:val="00D522B2"/>
    <w:rsid w:val="00D522FC"/>
    <w:rsid w:val="00D52762"/>
    <w:rsid w:val="00D53E4F"/>
    <w:rsid w:val="00D54299"/>
    <w:rsid w:val="00D54F19"/>
    <w:rsid w:val="00D55D48"/>
    <w:rsid w:val="00D56921"/>
    <w:rsid w:val="00D573B0"/>
    <w:rsid w:val="00D57743"/>
    <w:rsid w:val="00D600F6"/>
    <w:rsid w:val="00D603BC"/>
    <w:rsid w:val="00D620D9"/>
    <w:rsid w:val="00D6210C"/>
    <w:rsid w:val="00D62421"/>
    <w:rsid w:val="00D62831"/>
    <w:rsid w:val="00D637F7"/>
    <w:rsid w:val="00D6385F"/>
    <w:rsid w:val="00D65CF3"/>
    <w:rsid w:val="00D67BE6"/>
    <w:rsid w:val="00D724C3"/>
    <w:rsid w:val="00D73969"/>
    <w:rsid w:val="00D73DED"/>
    <w:rsid w:val="00D73E53"/>
    <w:rsid w:val="00D74049"/>
    <w:rsid w:val="00D74781"/>
    <w:rsid w:val="00D75366"/>
    <w:rsid w:val="00D75C44"/>
    <w:rsid w:val="00D7634C"/>
    <w:rsid w:val="00D76A62"/>
    <w:rsid w:val="00D80116"/>
    <w:rsid w:val="00D8049C"/>
    <w:rsid w:val="00D80748"/>
    <w:rsid w:val="00D80BE7"/>
    <w:rsid w:val="00D81B93"/>
    <w:rsid w:val="00D82092"/>
    <w:rsid w:val="00D820E4"/>
    <w:rsid w:val="00D830B2"/>
    <w:rsid w:val="00D84A69"/>
    <w:rsid w:val="00D85342"/>
    <w:rsid w:val="00D854EB"/>
    <w:rsid w:val="00D8555E"/>
    <w:rsid w:val="00D871B7"/>
    <w:rsid w:val="00D878C2"/>
    <w:rsid w:val="00D912B4"/>
    <w:rsid w:val="00D92222"/>
    <w:rsid w:val="00D92D39"/>
    <w:rsid w:val="00D939E4"/>
    <w:rsid w:val="00D94C88"/>
    <w:rsid w:val="00D952F1"/>
    <w:rsid w:val="00D95354"/>
    <w:rsid w:val="00D95ECC"/>
    <w:rsid w:val="00D9764F"/>
    <w:rsid w:val="00D97DF0"/>
    <w:rsid w:val="00DA0C31"/>
    <w:rsid w:val="00DA0C97"/>
    <w:rsid w:val="00DA2D45"/>
    <w:rsid w:val="00DA3B4C"/>
    <w:rsid w:val="00DA41E6"/>
    <w:rsid w:val="00DA4DF5"/>
    <w:rsid w:val="00DA6502"/>
    <w:rsid w:val="00DA71CF"/>
    <w:rsid w:val="00DA78D9"/>
    <w:rsid w:val="00DB14D2"/>
    <w:rsid w:val="00DB1B3C"/>
    <w:rsid w:val="00DB292B"/>
    <w:rsid w:val="00DB3D88"/>
    <w:rsid w:val="00DB5D09"/>
    <w:rsid w:val="00DB5DA5"/>
    <w:rsid w:val="00DB67C3"/>
    <w:rsid w:val="00DB6835"/>
    <w:rsid w:val="00DB7145"/>
    <w:rsid w:val="00DB73B2"/>
    <w:rsid w:val="00DB7485"/>
    <w:rsid w:val="00DB7800"/>
    <w:rsid w:val="00DC0534"/>
    <w:rsid w:val="00DC0D18"/>
    <w:rsid w:val="00DC11E2"/>
    <w:rsid w:val="00DC1A43"/>
    <w:rsid w:val="00DC20B4"/>
    <w:rsid w:val="00DC23B7"/>
    <w:rsid w:val="00DC59FC"/>
    <w:rsid w:val="00DC6516"/>
    <w:rsid w:val="00DC769D"/>
    <w:rsid w:val="00DD0058"/>
    <w:rsid w:val="00DD0326"/>
    <w:rsid w:val="00DD11DF"/>
    <w:rsid w:val="00DD126C"/>
    <w:rsid w:val="00DD24B8"/>
    <w:rsid w:val="00DD2538"/>
    <w:rsid w:val="00DD271E"/>
    <w:rsid w:val="00DD30C6"/>
    <w:rsid w:val="00DD31FE"/>
    <w:rsid w:val="00DD585D"/>
    <w:rsid w:val="00DD79CF"/>
    <w:rsid w:val="00DE0715"/>
    <w:rsid w:val="00DE2533"/>
    <w:rsid w:val="00DE48F6"/>
    <w:rsid w:val="00DE5B88"/>
    <w:rsid w:val="00DE6112"/>
    <w:rsid w:val="00DE70A6"/>
    <w:rsid w:val="00DE71C8"/>
    <w:rsid w:val="00DE73FC"/>
    <w:rsid w:val="00DF016F"/>
    <w:rsid w:val="00DF2848"/>
    <w:rsid w:val="00DF36F4"/>
    <w:rsid w:val="00DF378A"/>
    <w:rsid w:val="00DF4E24"/>
    <w:rsid w:val="00DF5081"/>
    <w:rsid w:val="00DF5451"/>
    <w:rsid w:val="00DF5461"/>
    <w:rsid w:val="00DF5545"/>
    <w:rsid w:val="00DF55CD"/>
    <w:rsid w:val="00DF5AD5"/>
    <w:rsid w:val="00DF6148"/>
    <w:rsid w:val="00DF6284"/>
    <w:rsid w:val="00DF63F6"/>
    <w:rsid w:val="00DF65EB"/>
    <w:rsid w:val="00DF67EC"/>
    <w:rsid w:val="00DF6B7A"/>
    <w:rsid w:val="00DF71F8"/>
    <w:rsid w:val="00E01713"/>
    <w:rsid w:val="00E01B99"/>
    <w:rsid w:val="00E02476"/>
    <w:rsid w:val="00E036D2"/>
    <w:rsid w:val="00E0373F"/>
    <w:rsid w:val="00E03AF8"/>
    <w:rsid w:val="00E043B7"/>
    <w:rsid w:val="00E04DBC"/>
    <w:rsid w:val="00E04E3B"/>
    <w:rsid w:val="00E0590C"/>
    <w:rsid w:val="00E068F4"/>
    <w:rsid w:val="00E06A6F"/>
    <w:rsid w:val="00E06F51"/>
    <w:rsid w:val="00E076CA"/>
    <w:rsid w:val="00E07C4D"/>
    <w:rsid w:val="00E07E7A"/>
    <w:rsid w:val="00E07F6F"/>
    <w:rsid w:val="00E10B9A"/>
    <w:rsid w:val="00E10BFF"/>
    <w:rsid w:val="00E12640"/>
    <w:rsid w:val="00E12732"/>
    <w:rsid w:val="00E13FA4"/>
    <w:rsid w:val="00E157F2"/>
    <w:rsid w:val="00E16AFF"/>
    <w:rsid w:val="00E16F85"/>
    <w:rsid w:val="00E1711F"/>
    <w:rsid w:val="00E1780B"/>
    <w:rsid w:val="00E21213"/>
    <w:rsid w:val="00E2191C"/>
    <w:rsid w:val="00E21DCE"/>
    <w:rsid w:val="00E22181"/>
    <w:rsid w:val="00E24163"/>
    <w:rsid w:val="00E260C6"/>
    <w:rsid w:val="00E271DB"/>
    <w:rsid w:val="00E273DE"/>
    <w:rsid w:val="00E3053B"/>
    <w:rsid w:val="00E308B6"/>
    <w:rsid w:val="00E30B9C"/>
    <w:rsid w:val="00E30C38"/>
    <w:rsid w:val="00E30D4C"/>
    <w:rsid w:val="00E31618"/>
    <w:rsid w:val="00E31C02"/>
    <w:rsid w:val="00E32DCE"/>
    <w:rsid w:val="00E33A75"/>
    <w:rsid w:val="00E34582"/>
    <w:rsid w:val="00E35DE3"/>
    <w:rsid w:val="00E3683E"/>
    <w:rsid w:val="00E36C52"/>
    <w:rsid w:val="00E36E9C"/>
    <w:rsid w:val="00E37B09"/>
    <w:rsid w:val="00E40BB5"/>
    <w:rsid w:val="00E41706"/>
    <w:rsid w:val="00E42785"/>
    <w:rsid w:val="00E42D1F"/>
    <w:rsid w:val="00E43017"/>
    <w:rsid w:val="00E431E8"/>
    <w:rsid w:val="00E45C4C"/>
    <w:rsid w:val="00E462F1"/>
    <w:rsid w:val="00E47561"/>
    <w:rsid w:val="00E475F2"/>
    <w:rsid w:val="00E47B32"/>
    <w:rsid w:val="00E501C7"/>
    <w:rsid w:val="00E50576"/>
    <w:rsid w:val="00E505B7"/>
    <w:rsid w:val="00E51793"/>
    <w:rsid w:val="00E519CA"/>
    <w:rsid w:val="00E535D7"/>
    <w:rsid w:val="00E53A18"/>
    <w:rsid w:val="00E53C6D"/>
    <w:rsid w:val="00E5440F"/>
    <w:rsid w:val="00E5513C"/>
    <w:rsid w:val="00E5528D"/>
    <w:rsid w:val="00E5561E"/>
    <w:rsid w:val="00E55C7E"/>
    <w:rsid w:val="00E579B7"/>
    <w:rsid w:val="00E57CA5"/>
    <w:rsid w:val="00E6018C"/>
    <w:rsid w:val="00E60AFD"/>
    <w:rsid w:val="00E610A2"/>
    <w:rsid w:val="00E616BE"/>
    <w:rsid w:val="00E6188D"/>
    <w:rsid w:val="00E622B2"/>
    <w:rsid w:val="00E630F5"/>
    <w:rsid w:val="00E63429"/>
    <w:rsid w:val="00E6473C"/>
    <w:rsid w:val="00E65DF3"/>
    <w:rsid w:val="00E6612C"/>
    <w:rsid w:val="00E662FB"/>
    <w:rsid w:val="00E66554"/>
    <w:rsid w:val="00E66589"/>
    <w:rsid w:val="00E66ACE"/>
    <w:rsid w:val="00E66E1A"/>
    <w:rsid w:val="00E67119"/>
    <w:rsid w:val="00E67423"/>
    <w:rsid w:val="00E6745B"/>
    <w:rsid w:val="00E675F9"/>
    <w:rsid w:val="00E67DBB"/>
    <w:rsid w:val="00E67FCD"/>
    <w:rsid w:val="00E70566"/>
    <w:rsid w:val="00E70BCF"/>
    <w:rsid w:val="00E72635"/>
    <w:rsid w:val="00E7269C"/>
    <w:rsid w:val="00E7357B"/>
    <w:rsid w:val="00E735D4"/>
    <w:rsid w:val="00E73FF1"/>
    <w:rsid w:val="00E741A8"/>
    <w:rsid w:val="00E748AB"/>
    <w:rsid w:val="00E74AC1"/>
    <w:rsid w:val="00E756D3"/>
    <w:rsid w:val="00E75D97"/>
    <w:rsid w:val="00E75F43"/>
    <w:rsid w:val="00E7619B"/>
    <w:rsid w:val="00E774FA"/>
    <w:rsid w:val="00E778EE"/>
    <w:rsid w:val="00E80A14"/>
    <w:rsid w:val="00E81257"/>
    <w:rsid w:val="00E81292"/>
    <w:rsid w:val="00E8199A"/>
    <w:rsid w:val="00E82895"/>
    <w:rsid w:val="00E9169D"/>
    <w:rsid w:val="00E91858"/>
    <w:rsid w:val="00E92DB8"/>
    <w:rsid w:val="00E92FAF"/>
    <w:rsid w:val="00E932BC"/>
    <w:rsid w:val="00E937F5"/>
    <w:rsid w:val="00E9389A"/>
    <w:rsid w:val="00E95B1B"/>
    <w:rsid w:val="00E964F2"/>
    <w:rsid w:val="00E96530"/>
    <w:rsid w:val="00E96DB6"/>
    <w:rsid w:val="00E97232"/>
    <w:rsid w:val="00EA0523"/>
    <w:rsid w:val="00EA06E8"/>
    <w:rsid w:val="00EA15B4"/>
    <w:rsid w:val="00EA15DD"/>
    <w:rsid w:val="00EA18D7"/>
    <w:rsid w:val="00EA21C2"/>
    <w:rsid w:val="00EA274E"/>
    <w:rsid w:val="00EA3098"/>
    <w:rsid w:val="00EA3CC9"/>
    <w:rsid w:val="00EA407B"/>
    <w:rsid w:val="00EA4CEF"/>
    <w:rsid w:val="00EA5628"/>
    <w:rsid w:val="00EB0515"/>
    <w:rsid w:val="00EB0CB5"/>
    <w:rsid w:val="00EB190D"/>
    <w:rsid w:val="00EB1AC7"/>
    <w:rsid w:val="00EB2B6C"/>
    <w:rsid w:val="00EB2F80"/>
    <w:rsid w:val="00EB3091"/>
    <w:rsid w:val="00EB3194"/>
    <w:rsid w:val="00EB3E85"/>
    <w:rsid w:val="00EB4A76"/>
    <w:rsid w:val="00EB5993"/>
    <w:rsid w:val="00EB64D9"/>
    <w:rsid w:val="00EB672A"/>
    <w:rsid w:val="00EB7C6F"/>
    <w:rsid w:val="00EB7CBA"/>
    <w:rsid w:val="00EC001D"/>
    <w:rsid w:val="00EC081A"/>
    <w:rsid w:val="00EC1511"/>
    <w:rsid w:val="00EC170F"/>
    <w:rsid w:val="00EC1A97"/>
    <w:rsid w:val="00EC1E30"/>
    <w:rsid w:val="00EC2996"/>
    <w:rsid w:val="00EC72CD"/>
    <w:rsid w:val="00EC72E3"/>
    <w:rsid w:val="00EC7A41"/>
    <w:rsid w:val="00ED0FAA"/>
    <w:rsid w:val="00ED109D"/>
    <w:rsid w:val="00ED1F99"/>
    <w:rsid w:val="00ED24D7"/>
    <w:rsid w:val="00ED2528"/>
    <w:rsid w:val="00ED27BC"/>
    <w:rsid w:val="00ED2ABB"/>
    <w:rsid w:val="00ED3504"/>
    <w:rsid w:val="00ED35DE"/>
    <w:rsid w:val="00ED368F"/>
    <w:rsid w:val="00ED5484"/>
    <w:rsid w:val="00ED5A78"/>
    <w:rsid w:val="00ED60A9"/>
    <w:rsid w:val="00ED619B"/>
    <w:rsid w:val="00ED6865"/>
    <w:rsid w:val="00ED6C48"/>
    <w:rsid w:val="00ED747D"/>
    <w:rsid w:val="00EE17A8"/>
    <w:rsid w:val="00EE1997"/>
    <w:rsid w:val="00EE1D15"/>
    <w:rsid w:val="00EE1DB7"/>
    <w:rsid w:val="00EE460A"/>
    <w:rsid w:val="00EE5846"/>
    <w:rsid w:val="00EE5C86"/>
    <w:rsid w:val="00EE6180"/>
    <w:rsid w:val="00EE6686"/>
    <w:rsid w:val="00EE6FDE"/>
    <w:rsid w:val="00EF030A"/>
    <w:rsid w:val="00EF040F"/>
    <w:rsid w:val="00EF09DC"/>
    <w:rsid w:val="00EF0C8E"/>
    <w:rsid w:val="00EF159B"/>
    <w:rsid w:val="00EF1859"/>
    <w:rsid w:val="00EF399F"/>
    <w:rsid w:val="00EF3BD5"/>
    <w:rsid w:val="00EF58C4"/>
    <w:rsid w:val="00EF6677"/>
    <w:rsid w:val="00EF70EB"/>
    <w:rsid w:val="00F0025D"/>
    <w:rsid w:val="00F00C3A"/>
    <w:rsid w:val="00F012A8"/>
    <w:rsid w:val="00F01466"/>
    <w:rsid w:val="00F01A21"/>
    <w:rsid w:val="00F03CB3"/>
    <w:rsid w:val="00F04312"/>
    <w:rsid w:val="00F0581F"/>
    <w:rsid w:val="00F06383"/>
    <w:rsid w:val="00F06478"/>
    <w:rsid w:val="00F06C52"/>
    <w:rsid w:val="00F06DCF"/>
    <w:rsid w:val="00F0744E"/>
    <w:rsid w:val="00F07571"/>
    <w:rsid w:val="00F0768F"/>
    <w:rsid w:val="00F0775C"/>
    <w:rsid w:val="00F07788"/>
    <w:rsid w:val="00F07F5F"/>
    <w:rsid w:val="00F106FC"/>
    <w:rsid w:val="00F11335"/>
    <w:rsid w:val="00F12BF4"/>
    <w:rsid w:val="00F140FB"/>
    <w:rsid w:val="00F14A44"/>
    <w:rsid w:val="00F14FBB"/>
    <w:rsid w:val="00F1518E"/>
    <w:rsid w:val="00F15A0E"/>
    <w:rsid w:val="00F16031"/>
    <w:rsid w:val="00F162BD"/>
    <w:rsid w:val="00F17488"/>
    <w:rsid w:val="00F178DB"/>
    <w:rsid w:val="00F20DB9"/>
    <w:rsid w:val="00F21776"/>
    <w:rsid w:val="00F21903"/>
    <w:rsid w:val="00F22DB5"/>
    <w:rsid w:val="00F3036A"/>
    <w:rsid w:val="00F3080C"/>
    <w:rsid w:val="00F316E4"/>
    <w:rsid w:val="00F31D18"/>
    <w:rsid w:val="00F32739"/>
    <w:rsid w:val="00F328DA"/>
    <w:rsid w:val="00F32AB6"/>
    <w:rsid w:val="00F32BE4"/>
    <w:rsid w:val="00F33215"/>
    <w:rsid w:val="00F3359C"/>
    <w:rsid w:val="00F33D04"/>
    <w:rsid w:val="00F33F84"/>
    <w:rsid w:val="00F34B9C"/>
    <w:rsid w:val="00F3526A"/>
    <w:rsid w:val="00F35FE6"/>
    <w:rsid w:val="00F36149"/>
    <w:rsid w:val="00F37C24"/>
    <w:rsid w:val="00F40972"/>
    <w:rsid w:val="00F42CB5"/>
    <w:rsid w:val="00F42E69"/>
    <w:rsid w:val="00F42ED3"/>
    <w:rsid w:val="00F436F2"/>
    <w:rsid w:val="00F442C7"/>
    <w:rsid w:val="00F4470E"/>
    <w:rsid w:val="00F451DC"/>
    <w:rsid w:val="00F454E4"/>
    <w:rsid w:val="00F45875"/>
    <w:rsid w:val="00F46C2D"/>
    <w:rsid w:val="00F50AFC"/>
    <w:rsid w:val="00F513E1"/>
    <w:rsid w:val="00F515B1"/>
    <w:rsid w:val="00F5171F"/>
    <w:rsid w:val="00F5323C"/>
    <w:rsid w:val="00F53292"/>
    <w:rsid w:val="00F53D4A"/>
    <w:rsid w:val="00F54731"/>
    <w:rsid w:val="00F5532B"/>
    <w:rsid w:val="00F559BA"/>
    <w:rsid w:val="00F61621"/>
    <w:rsid w:val="00F618CC"/>
    <w:rsid w:val="00F61E38"/>
    <w:rsid w:val="00F62532"/>
    <w:rsid w:val="00F62F0C"/>
    <w:rsid w:val="00F633E9"/>
    <w:rsid w:val="00F63774"/>
    <w:rsid w:val="00F65BCE"/>
    <w:rsid w:val="00F65CAD"/>
    <w:rsid w:val="00F66855"/>
    <w:rsid w:val="00F668A1"/>
    <w:rsid w:val="00F66A05"/>
    <w:rsid w:val="00F67F2B"/>
    <w:rsid w:val="00F718C2"/>
    <w:rsid w:val="00F73C0A"/>
    <w:rsid w:val="00F74615"/>
    <w:rsid w:val="00F748EE"/>
    <w:rsid w:val="00F7700E"/>
    <w:rsid w:val="00F7794D"/>
    <w:rsid w:val="00F80D95"/>
    <w:rsid w:val="00F81D9A"/>
    <w:rsid w:val="00F82E97"/>
    <w:rsid w:val="00F83850"/>
    <w:rsid w:val="00F844F5"/>
    <w:rsid w:val="00F84D4E"/>
    <w:rsid w:val="00F85889"/>
    <w:rsid w:val="00F85F87"/>
    <w:rsid w:val="00F868B2"/>
    <w:rsid w:val="00F869CB"/>
    <w:rsid w:val="00F86D1A"/>
    <w:rsid w:val="00F8715D"/>
    <w:rsid w:val="00F876CE"/>
    <w:rsid w:val="00F879CE"/>
    <w:rsid w:val="00F90430"/>
    <w:rsid w:val="00F90B17"/>
    <w:rsid w:val="00F91969"/>
    <w:rsid w:val="00F91E1A"/>
    <w:rsid w:val="00F92F2E"/>
    <w:rsid w:val="00F932C4"/>
    <w:rsid w:val="00F937CA"/>
    <w:rsid w:val="00F944A7"/>
    <w:rsid w:val="00F94716"/>
    <w:rsid w:val="00F9514C"/>
    <w:rsid w:val="00F95836"/>
    <w:rsid w:val="00F95B70"/>
    <w:rsid w:val="00F973F3"/>
    <w:rsid w:val="00F97B7E"/>
    <w:rsid w:val="00FA1D1F"/>
    <w:rsid w:val="00FA1F3A"/>
    <w:rsid w:val="00FA235A"/>
    <w:rsid w:val="00FA2CE1"/>
    <w:rsid w:val="00FA3E73"/>
    <w:rsid w:val="00FA48F2"/>
    <w:rsid w:val="00FA4942"/>
    <w:rsid w:val="00FA5336"/>
    <w:rsid w:val="00FA5CEB"/>
    <w:rsid w:val="00FA66B1"/>
    <w:rsid w:val="00FA704D"/>
    <w:rsid w:val="00FB0BE3"/>
    <w:rsid w:val="00FB1110"/>
    <w:rsid w:val="00FB11BC"/>
    <w:rsid w:val="00FB1C37"/>
    <w:rsid w:val="00FB24DC"/>
    <w:rsid w:val="00FB2B75"/>
    <w:rsid w:val="00FB2D17"/>
    <w:rsid w:val="00FB48A3"/>
    <w:rsid w:val="00FB6402"/>
    <w:rsid w:val="00FB64F4"/>
    <w:rsid w:val="00FB6519"/>
    <w:rsid w:val="00FB6D49"/>
    <w:rsid w:val="00FB73AD"/>
    <w:rsid w:val="00FC064F"/>
    <w:rsid w:val="00FC0EC3"/>
    <w:rsid w:val="00FC1CD1"/>
    <w:rsid w:val="00FC2494"/>
    <w:rsid w:val="00FC24B4"/>
    <w:rsid w:val="00FC2CB4"/>
    <w:rsid w:val="00FC344E"/>
    <w:rsid w:val="00FC3C67"/>
    <w:rsid w:val="00FC3F90"/>
    <w:rsid w:val="00FD04F0"/>
    <w:rsid w:val="00FD0E9B"/>
    <w:rsid w:val="00FD24C7"/>
    <w:rsid w:val="00FD3402"/>
    <w:rsid w:val="00FD3657"/>
    <w:rsid w:val="00FE0974"/>
    <w:rsid w:val="00FE2A52"/>
    <w:rsid w:val="00FE3588"/>
    <w:rsid w:val="00FE3590"/>
    <w:rsid w:val="00FE3777"/>
    <w:rsid w:val="00FE3B1A"/>
    <w:rsid w:val="00FE3E12"/>
    <w:rsid w:val="00FE4260"/>
    <w:rsid w:val="00FE4384"/>
    <w:rsid w:val="00FE5146"/>
    <w:rsid w:val="00FE627D"/>
    <w:rsid w:val="00FE66AB"/>
    <w:rsid w:val="00FE6E77"/>
    <w:rsid w:val="00FE7A02"/>
    <w:rsid w:val="00FF12CE"/>
    <w:rsid w:val="00FF2F00"/>
    <w:rsid w:val="00FF45B8"/>
    <w:rsid w:val="00FF5455"/>
    <w:rsid w:val="00FF61A9"/>
    <w:rsid w:val="00FF68FE"/>
    <w:rsid w:val="00FF6E5D"/>
    <w:rsid w:val="00FF7EFB"/>
    <w:rsid w:val="016C2C80"/>
    <w:rsid w:val="01836082"/>
    <w:rsid w:val="022543E1"/>
    <w:rsid w:val="026352FF"/>
    <w:rsid w:val="029D1478"/>
    <w:rsid w:val="0422572C"/>
    <w:rsid w:val="04AF0F37"/>
    <w:rsid w:val="050B20AC"/>
    <w:rsid w:val="05411A66"/>
    <w:rsid w:val="057B4A35"/>
    <w:rsid w:val="05A2371D"/>
    <w:rsid w:val="05A97C32"/>
    <w:rsid w:val="060A6B11"/>
    <w:rsid w:val="06192E70"/>
    <w:rsid w:val="0666542D"/>
    <w:rsid w:val="066C0609"/>
    <w:rsid w:val="06F44FA6"/>
    <w:rsid w:val="06FB6627"/>
    <w:rsid w:val="073C1C37"/>
    <w:rsid w:val="07631CF3"/>
    <w:rsid w:val="07995400"/>
    <w:rsid w:val="083352BC"/>
    <w:rsid w:val="08821592"/>
    <w:rsid w:val="08FA0D1B"/>
    <w:rsid w:val="090E6972"/>
    <w:rsid w:val="09417318"/>
    <w:rsid w:val="096376A9"/>
    <w:rsid w:val="099E3711"/>
    <w:rsid w:val="09F32507"/>
    <w:rsid w:val="0A6B2B30"/>
    <w:rsid w:val="0ADD3919"/>
    <w:rsid w:val="0B996540"/>
    <w:rsid w:val="0C545BCE"/>
    <w:rsid w:val="0CB36DB8"/>
    <w:rsid w:val="0D2865BB"/>
    <w:rsid w:val="0D7B3EF6"/>
    <w:rsid w:val="0E2437B9"/>
    <w:rsid w:val="0E3E4334"/>
    <w:rsid w:val="0E414363"/>
    <w:rsid w:val="0E536938"/>
    <w:rsid w:val="0E7236D5"/>
    <w:rsid w:val="0E920295"/>
    <w:rsid w:val="0EB67BBA"/>
    <w:rsid w:val="0EBC4BEA"/>
    <w:rsid w:val="0F366B85"/>
    <w:rsid w:val="0F896577"/>
    <w:rsid w:val="0F902E66"/>
    <w:rsid w:val="0FB0473E"/>
    <w:rsid w:val="10566922"/>
    <w:rsid w:val="10690A9D"/>
    <w:rsid w:val="107C2667"/>
    <w:rsid w:val="10B61F5A"/>
    <w:rsid w:val="10EC3BDB"/>
    <w:rsid w:val="113C081C"/>
    <w:rsid w:val="119F019B"/>
    <w:rsid w:val="11F92775"/>
    <w:rsid w:val="130E3A71"/>
    <w:rsid w:val="138A382B"/>
    <w:rsid w:val="139502A6"/>
    <w:rsid w:val="140F001F"/>
    <w:rsid w:val="146E6986"/>
    <w:rsid w:val="14BF0A96"/>
    <w:rsid w:val="14D77426"/>
    <w:rsid w:val="14FF42CB"/>
    <w:rsid w:val="155E49B7"/>
    <w:rsid w:val="15766727"/>
    <w:rsid w:val="15E9247F"/>
    <w:rsid w:val="15F51B05"/>
    <w:rsid w:val="164D19BE"/>
    <w:rsid w:val="16661417"/>
    <w:rsid w:val="16BF4F47"/>
    <w:rsid w:val="173373BB"/>
    <w:rsid w:val="174D02EF"/>
    <w:rsid w:val="175C0D22"/>
    <w:rsid w:val="176F027A"/>
    <w:rsid w:val="17B12ABC"/>
    <w:rsid w:val="17CC7320"/>
    <w:rsid w:val="18D04A6F"/>
    <w:rsid w:val="18E67BD0"/>
    <w:rsid w:val="18FE59C0"/>
    <w:rsid w:val="191B268A"/>
    <w:rsid w:val="196F1343"/>
    <w:rsid w:val="19EE5E7B"/>
    <w:rsid w:val="1A0341CF"/>
    <w:rsid w:val="1A6301E7"/>
    <w:rsid w:val="1AAF37AA"/>
    <w:rsid w:val="1B37238E"/>
    <w:rsid w:val="1B463D9C"/>
    <w:rsid w:val="1C1E572A"/>
    <w:rsid w:val="1C4000D8"/>
    <w:rsid w:val="1C4E64FA"/>
    <w:rsid w:val="1C501D3C"/>
    <w:rsid w:val="1C691570"/>
    <w:rsid w:val="1C843553"/>
    <w:rsid w:val="1CE71420"/>
    <w:rsid w:val="1CEA2872"/>
    <w:rsid w:val="1CEF7CDB"/>
    <w:rsid w:val="1D2D035C"/>
    <w:rsid w:val="1D6C4B36"/>
    <w:rsid w:val="1D833896"/>
    <w:rsid w:val="1DBA4AF6"/>
    <w:rsid w:val="1DCE0743"/>
    <w:rsid w:val="1DFC1EA5"/>
    <w:rsid w:val="1E0E056C"/>
    <w:rsid w:val="1E1E432E"/>
    <w:rsid w:val="1E2B7105"/>
    <w:rsid w:val="1E42178B"/>
    <w:rsid w:val="1E7A6A5C"/>
    <w:rsid w:val="1E841747"/>
    <w:rsid w:val="1EB97CF4"/>
    <w:rsid w:val="1EC21137"/>
    <w:rsid w:val="1EF621D0"/>
    <w:rsid w:val="208122A6"/>
    <w:rsid w:val="20EB4C2B"/>
    <w:rsid w:val="219D60B9"/>
    <w:rsid w:val="21DE43A9"/>
    <w:rsid w:val="21E42F15"/>
    <w:rsid w:val="22581416"/>
    <w:rsid w:val="22591BBC"/>
    <w:rsid w:val="22842ECC"/>
    <w:rsid w:val="22AF6C16"/>
    <w:rsid w:val="231C1323"/>
    <w:rsid w:val="23577E20"/>
    <w:rsid w:val="23A155F4"/>
    <w:rsid w:val="23BA0C31"/>
    <w:rsid w:val="24057477"/>
    <w:rsid w:val="240C5A82"/>
    <w:rsid w:val="244E2074"/>
    <w:rsid w:val="2458302A"/>
    <w:rsid w:val="24766AEA"/>
    <w:rsid w:val="2482379E"/>
    <w:rsid w:val="25135B61"/>
    <w:rsid w:val="25211B1E"/>
    <w:rsid w:val="256246EC"/>
    <w:rsid w:val="25815208"/>
    <w:rsid w:val="25A645C5"/>
    <w:rsid w:val="25BE5943"/>
    <w:rsid w:val="25FF5527"/>
    <w:rsid w:val="26576177"/>
    <w:rsid w:val="2662402D"/>
    <w:rsid w:val="26663667"/>
    <w:rsid w:val="266F3EA1"/>
    <w:rsid w:val="26D1395E"/>
    <w:rsid w:val="270E13FF"/>
    <w:rsid w:val="271972DE"/>
    <w:rsid w:val="271A22DF"/>
    <w:rsid w:val="2735148B"/>
    <w:rsid w:val="277F5379"/>
    <w:rsid w:val="27865231"/>
    <w:rsid w:val="27C776A5"/>
    <w:rsid w:val="27CE3E30"/>
    <w:rsid w:val="282F1EFF"/>
    <w:rsid w:val="289475DA"/>
    <w:rsid w:val="295D5FD1"/>
    <w:rsid w:val="29F6169E"/>
    <w:rsid w:val="2A4B3773"/>
    <w:rsid w:val="2AD96B6D"/>
    <w:rsid w:val="2B231329"/>
    <w:rsid w:val="2B3C17D4"/>
    <w:rsid w:val="2B57477C"/>
    <w:rsid w:val="2BB3169F"/>
    <w:rsid w:val="2BBF7E78"/>
    <w:rsid w:val="2BD426CB"/>
    <w:rsid w:val="2BD9748C"/>
    <w:rsid w:val="2BF65788"/>
    <w:rsid w:val="2C3D704D"/>
    <w:rsid w:val="2C9E347E"/>
    <w:rsid w:val="2CBA3809"/>
    <w:rsid w:val="2D0C2F21"/>
    <w:rsid w:val="2D2A1F96"/>
    <w:rsid w:val="2D5B37D2"/>
    <w:rsid w:val="2D6263F4"/>
    <w:rsid w:val="2D754E59"/>
    <w:rsid w:val="2DCD7D8C"/>
    <w:rsid w:val="2DDB5BD5"/>
    <w:rsid w:val="2E593F83"/>
    <w:rsid w:val="2E904057"/>
    <w:rsid w:val="2E9E3FDF"/>
    <w:rsid w:val="2F260509"/>
    <w:rsid w:val="2F326ACC"/>
    <w:rsid w:val="2FE74E54"/>
    <w:rsid w:val="300D55ED"/>
    <w:rsid w:val="30244BD9"/>
    <w:rsid w:val="303B761A"/>
    <w:rsid w:val="30E67858"/>
    <w:rsid w:val="30E76281"/>
    <w:rsid w:val="318B5FDE"/>
    <w:rsid w:val="318F34CE"/>
    <w:rsid w:val="319D64AB"/>
    <w:rsid w:val="328E25FA"/>
    <w:rsid w:val="32986212"/>
    <w:rsid w:val="32CF0B91"/>
    <w:rsid w:val="32D73BF7"/>
    <w:rsid w:val="33D400E9"/>
    <w:rsid w:val="33F263DC"/>
    <w:rsid w:val="34237CE4"/>
    <w:rsid w:val="3444089F"/>
    <w:rsid w:val="34883F20"/>
    <w:rsid w:val="34CC45A8"/>
    <w:rsid w:val="3519055A"/>
    <w:rsid w:val="35861850"/>
    <w:rsid w:val="359004E0"/>
    <w:rsid w:val="35D43F3F"/>
    <w:rsid w:val="35DB5E83"/>
    <w:rsid w:val="360151CA"/>
    <w:rsid w:val="36800AF8"/>
    <w:rsid w:val="368F71C0"/>
    <w:rsid w:val="36DC4ECC"/>
    <w:rsid w:val="36F03B27"/>
    <w:rsid w:val="37347065"/>
    <w:rsid w:val="37486789"/>
    <w:rsid w:val="37701A65"/>
    <w:rsid w:val="37DE5126"/>
    <w:rsid w:val="3812270A"/>
    <w:rsid w:val="38285A49"/>
    <w:rsid w:val="39523447"/>
    <w:rsid w:val="39D442EE"/>
    <w:rsid w:val="3A2865BC"/>
    <w:rsid w:val="3AC96E8B"/>
    <w:rsid w:val="3AE222C7"/>
    <w:rsid w:val="3AE975F7"/>
    <w:rsid w:val="3AF603C1"/>
    <w:rsid w:val="3B3E65FB"/>
    <w:rsid w:val="3BB47F5C"/>
    <w:rsid w:val="3BC04DED"/>
    <w:rsid w:val="3BCD77A2"/>
    <w:rsid w:val="3BFA3712"/>
    <w:rsid w:val="3D100A62"/>
    <w:rsid w:val="3D3E3DFF"/>
    <w:rsid w:val="3DEF1188"/>
    <w:rsid w:val="3E52056F"/>
    <w:rsid w:val="3E676885"/>
    <w:rsid w:val="3E6A79C9"/>
    <w:rsid w:val="3E792073"/>
    <w:rsid w:val="3E7D6DCB"/>
    <w:rsid w:val="3EE14D97"/>
    <w:rsid w:val="3F327FE5"/>
    <w:rsid w:val="40A65198"/>
    <w:rsid w:val="40B809F7"/>
    <w:rsid w:val="40BD093E"/>
    <w:rsid w:val="40D928FC"/>
    <w:rsid w:val="40FF3270"/>
    <w:rsid w:val="41584F88"/>
    <w:rsid w:val="416208C1"/>
    <w:rsid w:val="419F68C9"/>
    <w:rsid w:val="424339FD"/>
    <w:rsid w:val="427214ED"/>
    <w:rsid w:val="42925717"/>
    <w:rsid w:val="42A315B1"/>
    <w:rsid w:val="433F40DB"/>
    <w:rsid w:val="43541ABC"/>
    <w:rsid w:val="43664DF1"/>
    <w:rsid w:val="43837C7B"/>
    <w:rsid w:val="43966076"/>
    <w:rsid w:val="44276CF1"/>
    <w:rsid w:val="44AE4117"/>
    <w:rsid w:val="44DF767A"/>
    <w:rsid w:val="44FB64D6"/>
    <w:rsid w:val="45175DD3"/>
    <w:rsid w:val="45720514"/>
    <w:rsid w:val="45F65242"/>
    <w:rsid w:val="46006689"/>
    <w:rsid w:val="46312D61"/>
    <w:rsid w:val="46ED003F"/>
    <w:rsid w:val="47273FF5"/>
    <w:rsid w:val="47371FFF"/>
    <w:rsid w:val="47407DA5"/>
    <w:rsid w:val="47892D87"/>
    <w:rsid w:val="47A27EB9"/>
    <w:rsid w:val="48073FCE"/>
    <w:rsid w:val="48083DD9"/>
    <w:rsid w:val="48322C9B"/>
    <w:rsid w:val="48AB73D9"/>
    <w:rsid w:val="4986294D"/>
    <w:rsid w:val="49CD025F"/>
    <w:rsid w:val="4A220541"/>
    <w:rsid w:val="4A4739C5"/>
    <w:rsid w:val="4AA2102B"/>
    <w:rsid w:val="4AB1258E"/>
    <w:rsid w:val="4ADA5803"/>
    <w:rsid w:val="4B233BC3"/>
    <w:rsid w:val="4B5D1886"/>
    <w:rsid w:val="4B8F7C01"/>
    <w:rsid w:val="4C4B5AB0"/>
    <w:rsid w:val="4C5264FF"/>
    <w:rsid w:val="4C9330A2"/>
    <w:rsid w:val="4C964C3A"/>
    <w:rsid w:val="4CA044A1"/>
    <w:rsid w:val="4CCB6BAC"/>
    <w:rsid w:val="4D080496"/>
    <w:rsid w:val="4D774889"/>
    <w:rsid w:val="4D8A7E66"/>
    <w:rsid w:val="4E7F11CE"/>
    <w:rsid w:val="4FBE3E2F"/>
    <w:rsid w:val="50014977"/>
    <w:rsid w:val="50210B71"/>
    <w:rsid w:val="510E1E70"/>
    <w:rsid w:val="51DE1040"/>
    <w:rsid w:val="521266DD"/>
    <w:rsid w:val="52545573"/>
    <w:rsid w:val="528C3463"/>
    <w:rsid w:val="52A83936"/>
    <w:rsid w:val="52CD0782"/>
    <w:rsid w:val="52FF6F1F"/>
    <w:rsid w:val="537651D7"/>
    <w:rsid w:val="54247CF0"/>
    <w:rsid w:val="546A57EB"/>
    <w:rsid w:val="546C6642"/>
    <w:rsid w:val="54C47700"/>
    <w:rsid w:val="54CC1E41"/>
    <w:rsid w:val="560631D4"/>
    <w:rsid w:val="562E42CB"/>
    <w:rsid w:val="56661C65"/>
    <w:rsid w:val="56D50399"/>
    <w:rsid w:val="571A6FA8"/>
    <w:rsid w:val="576A6C0C"/>
    <w:rsid w:val="579565F2"/>
    <w:rsid w:val="57C36D81"/>
    <w:rsid w:val="58106386"/>
    <w:rsid w:val="58992F18"/>
    <w:rsid w:val="58AE17C9"/>
    <w:rsid w:val="58FD2CDB"/>
    <w:rsid w:val="59324302"/>
    <w:rsid w:val="59D578D8"/>
    <w:rsid w:val="5A276988"/>
    <w:rsid w:val="5A433D89"/>
    <w:rsid w:val="5A483C3E"/>
    <w:rsid w:val="5A761FD5"/>
    <w:rsid w:val="5A8661D2"/>
    <w:rsid w:val="5A967FDA"/>
    <w:rsid w:val="5AAB117E"/>
    <w:rsid w:val="5AB95F1F"/>
    <w:rsid w:val="5ABC09FD"/>
    <w:rsid w:val="5B760479"/>
    <w:rsid w:val="5BA0052D"/>
    <w:rsid w:val="5BFE7BBD"/>
    <w:rsid w:val="5C025F17"/>
    <w:rsid w:val="5C085962"/>
    <w:rsid w:val="5C417BE2"/>
    <w:rsid w:val="5CAF1ADA"/>
    <w:rsid w:val="5CBB4783"/>
    <w:rsid w:val="5D8C1687"/>
    <w:rsid w:val="5DAF4C86"/>
    <w:rsid w:val="5DC17E3D"/>
    <w:rsid w:val="5DC249DD"/>
    <w:rsid w:val="5DED6431"/>
    <w:rsid w:val="5E66337E"/>
    <w:rsid w:val="5EC510E8"/>
    <w:rsid w:val="5ED63017"/>
    <w:rsid w:val="5F613B9E"/>
    <w:rsid w:val="5FD65986"/>
    <w:rsid w:val="5FD81226"/>
    <w:rsid w:val="60192173"/>
    <w:rsid w:val="60387B57"/>
    <w:rsid w:val="608135A3"/>
    <w:rsid w:val="6099694B"/>
    <w:rsid w:val="60A15D34"/>
    <w:rsid w:val="60D3466B"/>
    <w:rsid w:val="60D86C2E"/>
    <w:rsid w:val="6136625D"/>
    <w:rsid w:val="615310C9"/>
    <w:rsid w:val="6172289F"/>
    <w:rsid w:val="61B564FF"/>
    <w:rsid w:val="61F36AC5"/>
    <w:rsid w:val="61F519E1"/>
    <w:rsid w:val="62016624"/>
    <w:rsid w:val="620F72B5"/>
    <w:rsid w:val="62467E63"/>
    <w:rsid w:val="62697BFB"/>
    <w:rsid w:val="62707713"/>
    <w:rsid w:val="62E0571D"/>
    <w:rsid w:val="63252EFD"/>
    <w:rsid w:val="634C1382"/>
    <w:rsid w:val="637439B9"/>
    <w:rsid w:val="63EB44F5"/>
    <w:rsid w:val="64024100"/>
    <w:rsid w:val="643C02DD"/>
    <w:rsid w:val="643F7B6E"/>
    <w:rsid w:val="64642F07"/>
    <w:rsid w:val="648F4401"/>
    <w:rsid w:val="64DB58BD"/>
    <w:rsid w:val="64DD230E"/>
    <w:rsid w:val="64E334DE"/>
    <w:rsid w:val="655D1838"/>
    <w:rsid w:val="65F0141F"/>
    <w:rsid w:val="66002373"/>
    <w:rsid w:val="66046B70"/>
    <w:rsid w:val="664B34AE"/>
    <w:rsid w:val="668D6FD3"/>
    <w:rsid w:val="668E4909"/>
    <w:rsid w:val="66D44679"/>
    <w:rsid w:val="66E93F99"/>
    <w:rsid w:val="66EE015D"/>
    <w:rsid w:val="676654E8"/>
    <w:rsid w:val="677F045A"/>
    <w:rsid w:val="67A040B8"/>
    <w:rsid w:val="68322F45"/>
    <w:rsid w:val="683C11C5"/>
    <w:rsid w:val="68737E15"/>
    <w:rsid w:val="6892496B"/>
    <w:rsid w:val="68BE58DC"/>
    <w:rsid w:val="696D6BC2"/>
    <w:rsid w:val="697877CE"/>
    <w:rsid w:val="69DA6FA5"/>
    <w:rsid w:val="6A0A687D"/>
    <w:rsid w:val="6A4E6E82"/>
    <w:rsid w:val="6A6138FA"/>
    <w:rsid w:val="6B5E7989"/>
    <w:rsid w:val="6C0078A4"/>
    <w:rsid w:val="6C9B4CDC"/>
    <w:rsid w:val="6CB9683A"/>
    <w:rsid w:val="6CFA475A"/>
    <w:rsid w:val="6CFF10D5"/>
    <w:rsid w:val="6D2E3177"/>
    <w:rsid w:val="6D8A305E"/>
    <w:rsid w:val="6D8C4944"/>
    <w:rsid w:val="6DB17FA9"/>
    <w:rsid w:val="6DBA4806"/>
    <w:rsid w:val="6DC101B6"/>
    <w:rsid w:val="6E2D1D2E"/>
    <w:rsid w:val="6E5017D6"/>
    <w:rsid w:val="6F1A0AA4"/>
    <w:rsid w:val="6F224701"/>
    <w:rsid w:val="6F252F18"/>
    <w:rsid w:val="6F6B422D"/>
    <w:rsid w:val="6F923AA3"/>
    <w:rsid w:val="6FA6352A"/>
    <w:rsid w:val="6FE912BC"/>
    <w:rsid w:val="6FEC0623"/>
    <w:rsid w:val="70357889"/>
    <w:rsid w:val="707B1805"/>
    <w:rsid w:val="70B75027"/>
    <w:rsid w:val="7113068E"/>
    <w:rsid w:val="715115C3"/>
    <w:rsid w:val="716B08D0"/>
    <w:rsid w:val="71732672"/>
    <w:rsid w:val="718A5A63"/>
    <w:rsid w:val="71CE6856"/>
    <w:rsid w:val="72DD522F"/>
    <w:rsid w:val="732117B3"/>
    <w:rsid w:val="740206A7"/>
    <w:rsid w:val="741E2CED"/>
    <w:rsid w:val="742C4F53"/>
    <w:rsid w:val="758A621B"/>
    <w:rsid w:val="75C01187"/>
    <w:rsid w:val="76466F51"/>
    <w:rsid w:val="76503C9C"/>
    <w:rsid w:val="76A87F06"/>
    <w:rsid w:val="76F00514"/>
    <w:rsid w:val="773C57D1"/>
    <w:rsid w:val="779A3945"/>
    <w:rsid w:val="779F159E"/>
    <w:rsid w:val="77F550D1"/>
    <w:rsid w:val="7800292B"/>
    <w:rsid w:val="78463893"/>
    <w:rsid w:val="79930E64"/>
    <w:rsid w:val="79A52E52"/>
    <w:rsid w:val="79C26192"/>
    <w:rsid w:val="79CE15F7"/>
    <w:rsid w:val="79D52FAC"/>
    <w:rsid w:val="79DF75C6"/>
    <w:rsid w:val="7A521369"/>
    <w:rsid w:val="7AB961D2"/>
    <w:rsid w:val="7ADC2400"/>
    <w:rsid w:val="7AF12C35"/>
    <w:rsid w:val="7AF815E6"/>
    <w:rsid w:val="7BFB7EC6"/>
    <w:rsid w:val="7C1B1AD6"/>
    <w:rsid w:val="7C5E3D24"/>
    <w:rsid w:val="7D045527"/>
    <w:rsid w:val="7D702BE3"/>
    <w:rsid w:val="7D8A165C"/>
    <w:rsid w:val="7E026C41"/>
    <w:rsid w:val="7E14785D"/>
    <w:rsid w:val="7E437E58"/>
    <w:rsid w:val="7E86347C"/>
    <w:rsid w:val="7ED20D8D"/>
    <w:rsid w:val="7EEA61BC"/>
    <w:rsid w:val="7EFB5A2C"/>
    <w:rsid w:val="7F1D5CFA"/>
    <w:rsid w:val="7F6F40E9"/>
    <w:rsid w:val="7F7E77BA"/>
    <w:rsid w:val="7F8F0E80"/>
    <w:rsid w:val="D67E8B6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lang w:val="en-US" w:eastAsia="zh-CN" w:bidi="ar-SA"/>
    </w:rPr>
  </w:style>
  <w:style w:type="paragraph" w:styleId="2">
    <w:name w:val="heading 1"/>
    <w:basedOn w:val="1"/>
    <w:next w:val="1"/>
    <w:link w:val="36"/>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30">
    <w:name w:val="Default Paragraph Font"/>
    <w:semiHidden/>
    <w:uiPriority w:val="0"/>
  </w:style>
  <w:style w:type="table" w:default="1" w:styleId="28">
    <w:name w:val="Normal Table"/>
    <w:semiHidden/>
    <w:uiPriority w:val="0"/>
    <w:tblPr>
      <w:tblStyle w:val="28"/>
      <w:tblCellMar>
        <w:top w:w="0" w:type="dxa"/>
        <w:left w:w="108" w:type="dxa"/>
        <w:bottom w:w="0" w:type="dxa"/>
        <w:right w:w="108" w:type="dxa"/>
      </w:tblCellMar>
    </w:tblPr>
  </w:style>
  <w:style w:type="paragraph" w:styleId="5">
    <w:name w:val="toc 7"/>
    <w:basedOn w:val="1"/>
    <w:next w:val="1"/>
    <w:uiPriority w:val="0"/>
    <w:pPr>
      <w:ind w:left="1260"/>
      <w:jc w:val="left"/>
    </w:pPr>
    <w:rPr>
      <w:rFonts w:ascii="Calibri" w:hAnsi="Calibri" w:cs="Calibri"/>
      <w:sz w:val="18"/>
      <w:szCs w:val="18"/>
    </w:rPr>
  </w:style>
  <w:style w:type="paragraph" w:styleId="6">
    <w:name w:val="Document Map"/>
    <w:basedOn w:val="1"/>
    <w:link w:val="37"/>
    <w:uiPriority w:val="0"/>
    <w:rPr>
      <w:rFonts w:ascii="宋体"/>
      <w:sz w:val="18"/>
      <w:szCs w:val="18"/>
    </w:rPr>
  </w:style>
  <w:style w:type="paragraph" w:styleId="7">
    <w:name w:val="annotation text"/>
    <w:basedOn w:val="1"/>
    <w:semiHidden/>
    <w:uiPriority w:val="0"/>
    <w:pPr>
      <w:jc w:val="left"/>
    </w:pPr>
  </w:style>
  <w:style w:type="paragraph" w:styleId="8">
    <w:name w:val="Body Text"/>
    <w:basedOn w:val="1"/>
    <w:link w:val="38"/>
    <w:uiPriority w:val="0"/>
    <w:pPr>
      <w:spacing w:after="120"/>
    </w:pPr>
  </w:style>
  <w:style w:type="paragraph" w:styleId="9">
    <w:name w:val="Body Text Indent"/>
    <w:basedOn w:val="1"/>
    <w:uiPriority w:val="0"/>
    <w:pPr>
      <w:ind w:left="636"/>
    </w:pPr>
    <w:rPr>
      <w:rFonts w:ascii="仿宋_GB2312" w:eastAsia="仿宋_GB2312"/>
      <w:sz w:val="32"/>
    </w:rPr>
  </w:style>
  <w:style w:type="paragraph" w:styleId="10">
    <w:name w:val="Block Text"/>
    <w:basedOn w:val="1"/>
    <w:uiPriority w:val="0"/>
    <w:pPr>
      <w:spacing w:line="562" w:lineRule="exact"/>
      <w:ind w:left="-359" w:leftChars="-171" w:right="-540" w:rightChars="-257" w:firstLine="714" w:firstLineChars="238"/>
    </w:pPr>
    <w:rPr>
      <w:rFonts w:ascii="仿宋_GB2312" w:eastAsia="仿宋_GB2312"/>
      <w:sz w:val="30"/>
      <w:szCs w:val="30"/>
    </w:rPr>
  </w:style>
  <w:style w:type="paragraph" w:styleId="11">
    <w:name w:val="toc 5"/>
    <w:basedOn w:val="1"/>
    <w:next w:val="1"/>
    <w:uiPriority w:val="0"/>
    <w:pPr>
      <w:ind w:left="840"/>
      <w:jc w:val="left"/>
    </w:pPr>
    <w:rPr>
      <w:rFonts w:ascii="Calibri" w:hAnsi="Calibri" w:cs="Calibri"/>
      <w:sz w:val="18"/>
      <w:szCs w:val="18"/>
    </w:rPr>
  </w:style>
  <w:style w:type="paragraph" w:styleId="12">
    <w:name w:val="toc 3"/>
    <w:basedOn w:val="1"/>
    <w:next w:val="1"/>
    <w:uiPriority w:val="0"/>
    <w:pPr>
      <w:ind w:left="420"/>
      <w:jc w:val="left"/>
    </w:pPr>
    <w:rPr>
      <w:rFonts w:ascii="Calibri" w:hAnsi="Calibri" w:cs="Calibri"/>
      <w:i/>
      <w:iCs/>
      <w:sz w:val="20"/>
    </w:rPr>
  </w:style>
  <w:style w:type="paragraph" w:styleId="13">
    <w:name w:val="toc 8"/>
    <w:basedOn w:val="1"/>
    <w:next w:val="1"/>
    <w:uiPriority w:val="0"/>
    <w:pPr>
      <w:ind w:left="1470"/>
      <w:jc w:val="left"/>
    </w:pPr>
    <w:rPr>
      <w:rFonts w:ascii="Calibri" w:hAnsi="Calibri" w:cs="Calibri"/>
      <w:sz w:val="18"/>
      <w:szCs w:val="18"/>
    </w:rPr>
  </w:style>
  <w:style w:type="paragraph" w:styleId="14">
    <w:name w:val="Date"/>
    <w:basedOn w:val="1"/>
    <w:next w:val="1"/>
    <w:uiPriority w:val="0"/>
  </w:style>
  <w:style w:type="paragraph" w:styleId="15">
    <w:name w:val="Body Text Indent 2"/>
    <w:basedOn w:val="1"/>
    <w:uiPriority w:val="0"/>
    <w:pPr>
      <w:ind w:left="720" w:firstLine="555"/>
    </w:pPr>
    <w:rPr>
      <w:rFonts w:ascii="仿宋_GB2312" w:eastAsia="仿宋_GB2312"/>
      <w:sz w:val="32"/>
    </w:rPr>
  </w:style>
  <w:style w:type="paragraph" w:styleId="16">
    <w:name w:val="Balloon Text"/>
    <w:basedOn w:val="1"/>
    <w:semiHidden/>
    <w:uiPriority w:val="0"/>
    <w:rPr>
      <w:sz w:val="18"/>
      <w:szCs w:val="18"/>
    </w:rPr>
  </w:style>
  <w:style w:type="paragraph" w:styleId="17">
    <w:name w:val="footer"/>
    <w:basedOn w:val="1"/>
    <w:link w:val="39"/>
    <w:uiPriority w:val="0"/>
    <w:pPr>
      <w:tabs>
        <w:tab w:val="center" w:pos="4153"/>
        <w:tab w:val="right" w:pos="8306"/>
      </w:tabs>
      <w:snapToGrid w:val="0"/>
      <w:jc w:val="left"/>
    </w:pPr>
    <w:rPr>
      <w:sz w:val="18"/>
    </w:rPr>
  </w:style>
  <w:style w:type="paragraph" w:styleId="18">
    <w:name w:val="header"/>
    <w:basedOn w:val="1"/>
    <w:link w:val="40"/>
    <w:uiPriority w:val="99"/>
    <w:pPr>
      <w:pBdr>
        <w:bottom w:val="single" w:color="auto" w:sz="6" w:space="1"/>
      </w:pBdr>
      <w:tabs>
        <w:tab w:val="center" w:pos="4153"/>
        <w:tab w:val="right" w:pos="8306"/>
      </w:tabs>
      <w:snapToGrid w:val="0"/>
      <w:jc w:val="center"/>
    </w:pPr>
    <w:rPr>
      <w:sz w:val="18"/>
    </w:rPr>
  </w:style>
  <w:style w:type="paragraph" w:styleId="19">
    <w:name w:val="toc 1"/>
    <w:basedOn w:val="1"/>
    <w:next w:val="1"/>
    <w:uiPriority w:val="39"/>
    <w:pPr>
      <w:spacing w:before="120" w:after="120"/>
      <w:jc w:val="left"/>
    </w:pPr>
    <w:rPr>
      <w:rFonts w:ascii="Calibri" w:hAnsi="Calibri" w:cs="Calibri"/>
      <w:b/>
      <w:bCs/>
      <w:caps/>
      <w:sz w:val="20"/>
    </w:rPr>
  </w:style>
  <w:style w:type="paragraph" w:styleId="20">
    <w:name w:val="toc 4"/>
    <w:basedOn w:val="1"/>
    <w:next w:val="1"/>
    <w:uiPriority w:val="0"/>
    <w:pPr>
      <w:ind w:left="630"/>
      <w:jc w:val="left"/>
    </w:pPr>
    <w:rPr>
      <w:rFonts w:ascii="Calibri" w:hAnsi="Calibri" w:cs="Calibri"/>
      <w:sz w:val="18"/>
      <w:szCs w:val="18"/>
    </w:rPr>
  </w:style>
  <w:style w:type="paragraph" w:styleId="21">
    <w:name w:val="toc 6"/>
    <w:basedOn w:val="1"/>
    <w:next w:val="1"/>
    <w:uiPriority w:val="0"/>
    <w:pPr>
      <w:ind w:left="1050"/>
      <w:jc w:val="left"/>
    </w:pPr>
    <w:rPr>
      <w:rFonts w:ascii="Calibri" w:hAnsi="Calibri" w:cs="Calibri"/>
      <w:sz w:val="18"/>
      <w:szCs w:val="18"/>
    </w:rPr>
  </w:style>
  <w:style w:type="paragraph" w:styleId="22">
    <w:name w:val="Body Text Indent 3"/>
    <w:basedOn w:val="1"/>
    <w:uiPriority w:val="0"/>
    <w:pPr>
      <w:spacing w:after="120"/>
      <w:ind w:left="420" w:leftChars="200"/>
    </w:pPr>
    <w:rPr>
      <w:sz w:val="16"/>
      <w:szCs w:val="16"/>
    </w:rPr>
  </w:style>
  <w:style w:type="paragraph" w:styleId="23">
    <w:name w:val="toc 2"/>
    <w:basedOn w:val="1"/>
    <w:next w:val="1"/>
    <w:uiPriority w:val="39"/>
    <w:pPr>
      <w:ind w:left="210"/>
      <w:jc w:val="left"/>
    </w:pPr>
    <w:rPr>
      <w:rFonts w:ascii="Calibri" w:hAnsi="Calibri" w:cs="Calibri"/>
      <w:smallCaps/>
      <w:sz w:val="20"/>
    </w:rPr>
  </w:style>
  <w:style w:type="paragraph" w:styleId="24">
    <w:name w:val="toc 9"/>
    <w:basedOn w:val="1"/>
    <w:next w:val="1"/>
    <w:uiPriority w:val="0"/>
    <w:pPr>
      <w:ind w:left="1680"/>
      <w:jc w:val="left"/>
    </w:pPr>
    <w:rPr>
      <w:rFonts w:ascii="Calibri" w:hAnsi="Calibri" w:cs="Calibri"/>
      <w:sz w:val="18"/>
      <w:szCs w:val="18"/>
    </w:rPr>
  </w:style>
  <w:style w:type="paragraph" w:styleId="25">
    <w:name w:val="HTML Preformatted"/>
    <w:basedOn w:val="1"/>
    <w:link w:val="41"/>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6">
    <w:name w:val="Normal (Web)"/>
    <w:basedOn w:val="1"/>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7"/>
    <w:next w:val="7"/>
    <w:semiHidden/>
    <w:uiPriority w:val="0"/>
    <w:rPr>
      <w:b/>
      <w:bCs/>
    </w:rPr>
  </w:style>
  <w:style w:type="table" w:styleId="29">
    <w:name w:val="Table Grid"/>
    <w:basedOn w:val="28"/>
    <w:unhideWhenUsed/>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rPr>
  </w:style>
  <w:style w:type="character" w:styleId="32">
    <w:name w:val="page number"/>
    <w:uiPriority w:val="0"/>
  </w:style>
  <w:style w:type="character" w:styleId="33">
    <w:name w:val="Emphasis"/>
    <w:qFormat/>
    <w:uiPriority w:val="0"/>
    <w:rPr>
      <w:color w:val="CC0000"/>
    </w:rPr>
  </w:style>
  <w:style w:type="character" w:styleId="34">
    <w:name w:val="Hyperlink"/>
    <w:uiPriority w:val="99"/>
    <w:rPr>
      <w:color w:val="0000FF"/>
      <w:u w:val="single"/>
    </w:rPr>
  </w:style>
  <w:style w:type="character" w:styleId="35">
    <w:name w:val="annotation reference"/>
    <w:semiHidden/>
    <w:uiPriority w:val="0"/>
    <w:rPr>
      <w:sz w:val="21"/>
      <w:szCs w:val="21"/>
    </w:rPr>
  </w:style>
  <w:style w:type="character" w:customStyle="1" w:styleId="36">
    <w:name w:val="标题 1 字符"/>
    <w:link w:val="2"/>
    <w:uiPriority w:val="0"/>
    <w:rPr>
      <w:b/>
      <w:bCs/>
      <w:kern w:val="44"/>
      <w:sz w:val="44"/>
      <w:szCs w:val="44"/>
    </w:rPr>
  </w:style>
  <w:style w:type="character" w:customStyle="1" w:styleId="37">
    <w:name w:val="文档结构图 字符"/>
    <w:link w:val="6"/>
    <w:uiPriority w:val="0"/>
    <w:rPr>
      <w:rFonts w:ascii="宋体"/>
      <w:kern w:val="2"/>
      <w:sz w:val="18"/>
      <w:szCs w:val="18"/>
    </w:rPr>
  </w:style>
  <w:style w:type="character" w:customStyle="1" w:styleId="38">
    <w:name w:val="正文文本 字符"/>
    <w:link w:val="8"/>
    <w:uiPriority w:val="0"/>
    <w:rPr>
      <w:kern w:val="2"/>
      <w:sz w:val="21"/>
    </w:rPr>
  </w:style>
  <w:style w:type="character" w:customStyle="1" w:styleId="39">
    <w:name w:val="页脚 字符"/>
    <w:link w:val="17"/>
    <w:uiPriority w:val="99"/>
    <w:rPr>
      <w:kern w:val="2"/>
      <w:sz w:val="18"/>
    </w:rPr>
  </w:style>
  <w:style w:type="character" w:customStyle="1" w:styleId="40">
    <w:name w:val="页眉 字符"/>
    <w:link w:val="18"/>
    <w:uiPriority w:val="99"/>
    <w:rPr>
      <w:kern w:val="2"/>
      <w:sz w:val="18"/>
    </w:rPr>
  </w:style>
  <w:style w:type="character" w:customStyle="1" w:styleId="41">
    <w:name w:val="HTML 预设格式 字符"/>
    <w:link w:val="25"/>
    <w:uiPriority w:val="99"/>
    <w:rPr>
      <w:rFonts w:ascii="宋体" w:hAnsi="宋体" w:cs="宋体"/>
      <w:sz w:val="24"/>
      <w:szCs w:val="24"/>
    </w:rPr>
  </w:style>
  <w:style w:type="character" w:customStyle="1" w:styleId="42">
    <w:name w:val="font31"/>
    <w:uiPriority w:val="0"/>
    <w:rPr>
      <w:rFonts w:hint="eastAsia" w:ascii="宋体" w:hAnsi="宋体" w:eastAsia="宋体" w:cs="宋体"/>
      <w:color w:val="000000"/>
      <w:sz w:val="24"/>
      <w:szCs w:val="24"/>
      <w:u w:val="none"/>
    </w:rPr>
  </w:style>
  <w:style w:type="character" w:customStyle="1" w:styleId="43">
    <w:name w:val="font11"/>
    <w:qFormat/>
    <w:uiPriority w:val="0"/>
    <w:rPr>
      <w:rFonts w:hint="eastAsia" w:ascii="宋体" w:hAnsi="宋体" w:eastAsia="宋体" w:cs="宋体"/>
      <w:color w:val="000000"/>
      <w:sz w:val="24"/>
      <w:szCs w:val="24"/>
      <w:u w:val="none"/>
    </w:rPr>
  </w:style>
  <w:style w:type="character" w:customStyle="1" w:styleId="44">
    <w:name w:val="hui141"/>
    <w:uiPriority w:val="0"/>
    <w:rPr>
      <w:color w:val="B3B2B2"/>
      <w:sz w:val="21"/>
      <w:szCs w:val="21"/>
    </w:rPr>
  </w:style>
  <w:style w:type="character" w:customStyle="1" w:styleId="45">
    <w:name w:val="apple-converted-space"/>
    <w:uiPriority w:val="0"/>
  </w:style>
  <w:style w:type="character" w:customStyle="1" w:styleId="46">
    <w:name w:val="font21"/>
    <w:uiPriority w:val="0"/>
    <w:rPr>
      <w:rFonts w:hint="eastAsia" w:ascii="宋体" w:hAnsi="宋体" w:eastAsia="宋体" w:cs="宋体"/>
      <w:color w:val="000000"/>
      <w:sz w:val="24"/>
      <w:szCs w:val="24"/>
      <w:u w:val="none"/>
    </w:rPr>
  </w:style>
  <w:style w:type="character" w:customStyle="1" w:styleId="47">
    <w:name w:val="font01"/>
    <w:uiPriority w:val="0"/>
    <w:rPr>
      <w:rFonts w:ascii="宋体" w:hAnsi="宋体" w:eastAsia="宋体" w:cs="宋体"/>
      <w:color w:val="000000"/>
      <w:sz w:val="24"/>
      <w:szCs w:val="24"/>
      <w:u w:val="none"/>
    </w:rPr>
  </w:style>
  <w:style w:type="paragraph" w:customStyle="1" w:styleId="48">
    <w:name w:val="默认段落字体 Para Char Char Char Char Char Char Char"/>
    <w:basedOn w:val="1"/>
    <w:uiPriority w:val="0"/>
    <w:rPr>
      <w:rFonts w:ascii="Tahoma" w:hAnsi="Tahoma" w:cs="Tahoma"/>
      <w:sz w:val="24"/>
      <w:szCs w:val="24"/>
    </w:rPr>
  </w:style>
  <w:style w:type="paragraph" w:customStyle="1" w:styleId="49">
    <w:name w:val="f_center"/>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0">
    <w:name w:val="text"/>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1">
    <w:name w:val="报告正文"/>
    <w:basedOn w:val="1"/>
    <w:qFormat/>
    <w:uiPriority w:val="0"/>
    <w:pPr>
      <w:spacing w:line="500" w:lineRule="atLeast"/>
      <w:ind w:firstLine="567"/>
    </w:pPr>
    <w:rPr>
      <w:rFonts w:hint="eastAsia" w:ascii="仿宋_GB2312" w:hAnsi="Courier New" w:eastAsia="仿宋_GB2312"/>
      <w:color w:val="000000"/>
      <w:kern w:val="0"/>
      <w:sz w:val="28"/>
    </w:rPr>
  </w:style>
  <w:style w:type="paragraph" w:styleId="52">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rPr>
  </w:style>
  <w:style w:type="paragraph" w:customStyle="1" w:styleId="53">
    <w:name w:val="表格文字"/>
    <w:basedOn w:val="1"/>
    <w:next w:val="8"/>
    <w:qFormat/>
    <w:uiPriority w:val="0"/>
    <w:rPr>
      <w:sz w:val="18"/>
      <w:szCs w:val="24"/>
    </w:rPr>
  </w:style>
</w:styl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3798</Words>
  <Characters>3963</Characters>
  <Lines>90</Lines>
  <Paragraphs>25</Paragraphs>
  <TotalTime>10</TotalTime>
  <ScaleCrop>false</ScaleCrop>
  <LinksUpToDate>false</LinksUpToDate>
  <CharactersWithSpaces>4032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2014-05-05T14:49:00Z</dcterms:created>
  <dc:creator>Administrator</dc:creator>
  <cp:lastModifiedBy>gresham</cp:lastModifiedBy>
  <cp:lastPrinted>2025-11-14T15:13:00Z</cp:lastPrinted>
  <dcterms:modified xsi:type="dcterms:W3CDTF">2026-07-15T15:25:36Z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KSOTemplateDocerSaveRecord">
    <vt:lpwstr>eyJoZGlkIjoiZTQ4NzZiOTkyNGIxZjE0MTc2MjJhMzA3N2RmYTlmMTMiLCJ1c2VySWQiOiIxNTkxMTE2NDU5In0=</vt:lpwstr>
  </property>
  <property fmtid="{D5CDD505-2E9C-101B-9397-08002B2CF9AE}" pid="4" name="ICV">
    <vt:lpwstr>5316F059AF9FA8EDF035576AA1017DCF_43</vt:lpwstr>
  </property>
</Properties>
</file>