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C4BFA">
      <w:pPr>
        <w:jc w:val="center"/>
        <w:rPr>
          <w:rFonts w:hint="eastAsia" w:ascii="楷体" w:hAnsi="楷体" w:eastAsia="楷体"/>
          <w:b/>
          <w:sz w:val="72"/>
          <w:szCs w:val="72"/>
        </w:rPr>
      </w:pPr>
      <w:bookmarkStart w:id="110" w:name="_GoBack"/>
      <w:bookmarkEnd w:id="110"/>
    </w:p>
    <w:p w14:paraId="384D2839">
      <w:pPr>
        <w:jc w:val="center"/>
        <w:rPr>
          <w:rFonts w:hint="eastAsia" w:ascii="楷体" w:hAnsi="楷体" w:eastAsia="楷体"/>
          <w:b/>
          <w:sz w:val="72"/>
          <w:szCs w:val="72"/>
        </w:rPr>
      </w:pPr>
    </w:p>
    <w:p w14:paraId="45BDB875">
      <w:pPr>
        <w:spacing w:line="600" w:lineRule="exact"/>
        <w:jc w:val="center"/>
      </w:pPr>
      <w:bookmarkStart w:id="0" w:name="OLE_LINK5_ai"/>
      <w:bookmarkStart w:id="1" w:name="OLE_LINK6"/>
      <w:r>
        <w:rPr>
          <w:rFonts w:hint="eastAsia" w:ascii="楷体" w:hAnsi="楷体" w:eastAsia="楷体"/>
          <w:kern w:val="2"/>
          <w:sz w:val="32"/>
          <w:szCs w:val="32"/>
          <w:lang w:val="en-US" w:eastAsia="zh-CN" w:bidi="ar-SA"/>
        </w:rPr>
        <w:t>{{ owner }}位于</w:t>
      </w:r>
      <w:bookmarkEnd w:id="0"/>
    </w:p>
    <w:bookmarkEnd w:id="1"/>
    <w:p w14:paraId="7B49D3EF">
      <w:pPr>
        <w:spacing w:line="600" w:lineRule="exact"/>
        <w:jc w:val="center"/>
      </w:pPr>
      <w:r>
        <w:rPr>
          <w:rFonts w:hint="eastAsia" w:ascii="楷体" w:hAnsi="楷体" w:eastAsia="楷体"/>
          <w:kern w:val="2"/>
          <w:sz w:val="32"/>
          <w:szCs w:val="32"/>
          <w:lang w:val="en-US" w:eastAsia="zh-CN" w:bidi="ar-SA"/>
        </w:rPr>
        <w:t>{{ address }}</w:t>
      </w:r>
      <w:bookmarkStart w:id="2" w:name="OLE_LINK6_ai"/>
      <w:bookmarkEnd w:id="2"/>
      <w:r>
        <w:rPr>
          <w:rFonts w:hint="eastAsia" w:ascii="楷体" w:hAnsi="楷体" w:eastAsia="楷体"/>
          <w:kern w:val="2"/>
          <w:sz w:val="32"/>
          <w:szCs w:val="32"/>
          <w:lang w:val="en-US" w:eastAsia="zh-CN" w:bidi="ar-SA"/>
        </w:rPr>
        <w:t/>
      </w:r>
    </w:p>
    <w:p w14:paraId="0BB8661F">
      <w:pPr>
        <w:spacing w:line="600" w:lineRule="exact"/>
        <w:jc w:val="center"/>
        <w:rPr>
          <w:rFonts w:hint="eastAsia" w:ascii="楷体" w:hAnsi="楷体" w:eastAsia="楷体" w:cs="宋体"/>
          <w:sz w:val="32"/>
          <w:szCs w:val="32"/>
        </w:rPr>
      </w:pPr>
      <w:r>
        <w:rPr>
          <w:rFonts w:hint="eastAsia" w:ascii="楷体" w:hAnsi="楷体" w:eastAsia="楷体" w:cs="宋体"/>
          <w:sz w:val="32"/>
          <w:szCs w:val="32"/>
        </w:rPr>
        <w:t>的</w:t>
      </w:r>
      <w:r>
        <w:rPr>
          <w:rFonts w:hint="eastAsia" w:ascii="楷体" w:hAnsi="楷体" w:eastAsia="楷体"/>
          <w:sz w:val="32"/>
          <w:szCs w:val="32"/>
        </w:rPr>
        <w:t>房地产租赁价值评估项目</w:t>
      </w:r>
    </w:p>
    <w:p w14:paraId="15C4DBCB">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65C3D502">
      <w:pPr>
        <w:spacing w:line="500" w:lineRule="exact"/>
        <w:jc w:val="center"/>
      </w:pPr>
      <w:r>
        <w:rPr>
          <w:rFonts w:hint="eastAsia" w:ascii="楷体" w:hAnsi="楷体" w:eastAsia="楷体"/>
          <w:b/>
          <w:kern w:val="2"/>
          <w:sz w:val="24"/>
          <w:szCs w:val="24"/>
          <w:lang w:val="en-US" w:eastAsia="zh-CN" w:bidi="ar-SA"/>
        </w:rPr>
        <w:t>{{ report_no }}</w:t>
      </w:r>
    </w:p>
    <w:p w14:paraId="274A8659">
      <w:pPr>
        <w:spacing w:line="500" w:lineRule="exact"/>
        <w:jc w:val="center"/>
        <w:rPr>
          <w:rFonts w:hint="eastAsia" w:ascii="楷体" w:hAnsi="楷体" w:eastAsia="楷体"/>
          <w:b/>
          <w:sz w:val="52"/>
          <w:szCs w:val="52"/>
        </w:rPr>
      </w:pPr>
    </w:p>
    <w:p w14:paraId="59FB0BDA">
      <w:pPr>
        <w:spacing w:line="500" w:lineRule="exact"/>
        <w:jc w:val="center"/>
        <w:rPr>
          <w:rFonts w:hint="eastAsia" w:ascii="楷体" w:hAnsi="楷体" w:eastAsia="楷体"/>
          <w:b/>
          <w:sz w:val="52"/>
          <w:szCs w:val="52"/>
        </w:rPr>
      </w:pPr>
    </w:p>
    <w:p w14:paraId="05950C46">
      <w:pPr>
        <w:tabs>
          <w:tab w:val="right" w:pos="9000"/>
        </w:tabs>
        <w:spacing w:line="1000" w:lineRule="exact"/>
        <w:rPr>
          <w:rFonts w:hint="eastAsia" w:ascii="楷体" w:hAnsi="楷体" w:eastAsia="楷体"/>
          <w:b/>
          <w:kern w:val="0"/>
          <w:sz w:val="32"/>
          <w:szCs w:val="32"/>
        </w:rPr>
      </w:pPr>
    </w:p>
    <w:p w14:paraId="5C1FA42E">
      <w:pPr>
        <w:spacing w:line="1000" w:lineRule="exact"/>
      </w:pPr>
      <w:r>
        <w:rPr>
          <w:rFonts w:hint="eastAsia" w:ascii="楷体" w:hAnsi="楷体" w:eastAsia="楷体"/>
          <w:b/>
          <w:kern w:val="2"/>
          <w:sz w:val="32"/>
          <w:szCs w:val="32"/>
          <w:lang w:val="en-US" w:eastAsia="zh-CN" w:bidi="ar-SA"/>
        </w:rPr>
        <w:t>估 价 委 托 人：{{ client }}</w:t>
      </w:r>
      <w:r>
        <w:rPr>
          <w:rFonts w:hint="eastAsia" w:ascii="楷体" w:hAnsi="楷体" w:eastAsia="楷体"/>
          <w:kern w:val="2"/>
          <w:sz w:val="32"/>
          <w:szCs w:val="32"/>
          <w:lang w:val="en-US" w:eastAsia="zh-CN" w:bidi="ar-SA"/>
        </w:rPr>
        <w:t/>
      </w:r>
    </w:p>
    <w:p w14:paraId="39D76BEA">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3E3DF567">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注册房地产估价师：韩  伟   注册号：3320130071</w:t>
      </w:r>
      <w:r>
        <w:rPr>
          <w:rFonts w:hint="eastAsia" w:ascii="楷体" w:hAnsi="楷体" w:eastAsia="楷体"/>
          <w:b/>
          <w:sz w:val="32"/>
          <w:szCs w:val="32"/>
        </w:rPr>
        <w:t/>
      </w:r>
      <w:r>
        <w:rPr>
          <w:rFonts w:hint="eastAsia" w:ascii="楷体" w:hAnsi="楷体" w:eastAsia="楷体"/>
          <w:sz w:val="32"/>
          <w:szCs w:val="32"/>
        </w:rPr>
        <w:t/>
      </w:r>
    </w:p>
    <w:p w14:paraId="4AF410D8">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注册号：3320190174</w:t>
      </w:r>
      <w:r>
        <w:rPr>
          <w:rFonts w:ascii="楷体" w:hAnsi="楷体" w:eastAsia="楷体"/>
          <w:sz w:val="32"/>
          <w:szCs w:val="32"/>
        </w:rPr>
        <w:t/>
      </w:r>
    </w:p>
    <w:p w14:paraId="0C746FF8">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56DEEE9D">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38EDD479">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306C9A48">
      <w:pPr>
        <w:spacing w:before="156" w:beforeLines="50" w:line="510" w:lineRule="exact"/>
        <w:jc w:val="left"/>
        <w:outlineLvl w:val="1"/>
      </w:pPr>
      <w:bookmarkStart w:id="3" w:name="_Toc221710846_ai"/>
      <w:bookmarkStart w:id="4" w:name="_Toc30128_ai"/>
      <w:bookmarkStart w:id="5" w:name="_Toc221711012_ai"/>
      <w:r>
        <w:rPr>
          <w:rFonts w:hint="eastAsia" w:ascii="楷体" w:hAnsi="楷体" w:eastAsia="楷体"/>
          <w:b/>
          <w:kern w:val="2"/>
          <w:sz w:val="28"/>
          <w:szCs w:val="28"/>
          <w:lang w:val="en-US" w:eastAsia="zh-CN" w:bidi="ar-SA"/>
        </w:rPr>
        <w:t>{{ client }}：</w:t>
      </w:r>
      <w:bookmarkEnd w:id="3"/>
      <w:bookmarkEnd w:id="4"/>
      <w:bookmarkEnd w:id="5"/>
    </w:p>
    <w:p w14:paraId="049F982D">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}}的房地产进行了租赁价值评估。现综述如下：</w:t>
      </w:r>
    </w:p>
    <w:p w14:paraId="1D86F8F9">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3E66A5D2">
      <w:pPr>
        <w:spacing w:line="500" w:lineRule="exact"/>
        <w:ind w:right="97" w:rightChars="46" w:firstLine="561" w:firstLineChars="200"/>
        <w:rPr>
          <w:rFonts w:hint="eastAsia" w:ascii="楷体" w:hAnsi="楷体" w:eastAsia="楷体" w:cs="仿宋"/>
          <w:kern w:val="2"/>
          <w:sz w:val="28"/>
          <w:szCs w:val="28"/>
          <w:lang w:val="en-US" w:eastAsia="zh-CN" w:bidi="ar-SA"/>
        </w:rPr>
      </w:pPr>
      <w:bookmarkStart w:id="6" w:name="OLE_LINK4"/>
      <w:r>
        <w:rPr>
          <w:rFonts w:hint="eastAsia" w:ascii="楷体" w:hAnsi="楷体" w:eastAsia="楷体"/>
          <w:b/>
          <w:kern w:val="2"/>
          <w:sz w:val="28"/>
          <w:szCs w:val="28"/>
          <w:lang w:val="en-US" w:eastAsia="zh-CN" w:bidi="ar-SA"/>
        </w:rPr>
        <w:t>估价对象：{{ owner }}位于{{ address }}的房地产。估价对象已取得《不动产权证》，根据《委托评估协议书》记载估价对象基本情况如下：</w:t>
      </w:r>
      <w:r>
        <w:rPr>
          <w:rFonts w:hint="eastAsia" w:ascii="楷体" w:hAnsi="楷体" w:eastAsia="楷体" w:cs="宋体"/>
          <w:kern w:val="2"/>
          <w:sz w:val="28"/>
          <w:szCs w:val="28"/>
          <w:lang w:val="en-US" w:eastAsia="zh-CN" w:bidi="ar-SA"/>
        </w:rPr>
        <w:t/>
      </w:r>
      <w:bookmarkStart w:id="7" w:name="OLE_LINK1_ai"/>
      <w:r>
        <w:rPr>
          <w:rFonts w:hint="eastAsia" w:ascii="楷体" w:hAnsi="楷体" w:eastAsia="楷体" w:cs="宋体"/>
          <w:kern w:val="2"/>
          <w:sz w:val="28"/>
          <w:szCs w:val="28"/>
          <w:lang w:val="en-US" w:eastAsia="zh-CN" w:bidi="ar-SA"/>
        </w:rPr>
        <w:t/>
      </w:r>
      <w:bookmarkEnd w:id="7"/>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579"/>
        <w:gridCol w:w="2464"/>
        <w:gridCol w:w="1520"/>
        <w:gridCol w:w="1987"/>
      </w:tblGrid>
      <w:tr w14:paraId="5F9B95F9">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D2BC35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D2CC59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CD2CEA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5CAC26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6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657A07E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7687239">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DA095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63E4A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E347A4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03B0C5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6F7A77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bl>
    <w:p w14:paraId="1CDF426D"/>
    <w:p w14:paraId="54930EFE">
      <w:pPr>
        <w:spacing w:line="500" w:lineRule="exact"/>
        <w:ind w:right="97" w:rightChars="46" w:firstLine="560" w:firstLineChars="200"/>
        <w:rPr>
          <w:rFonts w:hint="eastAsia" w:ascii="楷体" w:hAnsi="楷体" w:eastAsia="楷体" w:cs="仿宋"/>
          <w:sz w:val="28"/>
          <w:szCs w:val="28"/>
        </w:rPr>
      </w:pPr>
      <w:r>
        <w:rPr>
          <w:rFonts w:hint="eastAsia" w:ascii="楷体" w:hAnsi="楷体" w:eastAsia="楷体" w:cs="仿宋"/>
          <w:sz w:val="28"/>
          <w:szCs w:val="28"/>
        </w:rPr>
        <w:t>本次估价范围包含房屋及其分摊建设用地使用权，不包含套内的装饰装修、水电费、网费、物业费、债权债务、特许经营权等其他权利。</w:t>
      </w:r>
      <w:bookmarkEnd w:id="6"/>
    </w:p>
    <w:p w14:paraId="28158C08">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w:t>
      </w:r>
      <w:r>
        <w:rPr>
          <w:rFonts w:hint="eastAsia" w:ascii="楷体" w:hAnsi="楷体" w:eastAsia="楷体" w:cs="宋体"/>
          <w:kern w:val="2"/>
          <w:sz w:val="28"/>
          <w:szCs w:val="28"/>
          <w:lang w:val="en-US" w:eastAsia="zh-CN" w:bidi="ar-SA"/>
        </w:rPr>
        <w:t>：2026年3月26日（实地查勘之日）。</w:t>
      </w:r>
    </w:p>
    <w:p w14:paraId="7F90D575">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35EC65F6">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2A4F934E">
      <w:pPr>
        <w:snapToGrid w:val="0"/>
        <w:spacing w:line="500" w:lineRule="exact"/>
        <w:ind w:left="71" w:leftChars="0" w:firstLine="493" w:firstLineChars="176"/>
        <w:jc w:val="left"/>
        <w:rPr>
          <w:rFonts w:hint="eastAsia" w:ascii="楷体" w:hAnsi="楷体" w:eastAsia="楷体" w:cs="仿宋"/>
          <w:b/>
          <w:bCs/>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bookmarkStart w:id="8" w:name="OLE_LINK9_ai"/>
      <w:r>
        <w:rPr>
          <w:rFonts w:hint="eastAsia" w:ascii="楷体" w:hAnsi="楷体" w:eastAsia="楷体"/>
          <w:b/>
          <w:kern w:val="2"/>
          <w:sz w:val="28"/>
          <w:szCs w:val="28"/>
          <w:lang w:val="en-US" w:eastAsia="zh-CN" w:bidi="ar-SA"/>
        </w:rPr>
        <w:t/>
      </w:r>
      <w:bookmarkEnd w:id="8"/>
      <w:r>
        <w:rPr>
          <w:rFonts w:hint="eastAsia" w:ascii="楷体" w:hAnsi="楷体" w:eastAsia="楷体"/>
          <w:b/>
          <w:kern w:val="2"/>
          <w:sz w:val="28"/>
          <w:szCs w:val="28"/>
          <w:lang w:val="en-US" w:eastAsia="zh-CN" w:bidi="ar-SA"/>
        </w:rPr>
        <w:t/>
      </w:r>
    </w:p>
    <w:p w14:paraId="580CC03F">
      <w:pPr>
        <w:snapToGrid w:val="0"/>
        <w:spacing w:line="500" w:lineRule="exact"/>
        <w:ind w:left="71" w:firstLine="493" w:firstLineChars="176"/>
        <w:jc w:val="left"/>
        <w:rPr>
          <w:rFonts w:hint="eastAsia" w:ascii="楷体" w:hAnsi="楷体" w:eastAsia="楷体" w:cs="仿宋"/>
          <w:b/>
          <w:bCs/>
          <w:sz w:val="28"/>
          <w:szCs w:val="28"/>
        </w:rPr>
      </w:pPr>
    </w:p>
    <w:p w14:paraId="0C81115F">
      <w:pPr>
        <w:snapToGrid w:val="0"/>
        <w:spacing w:line="500" w:lineRule="exact"/>
        <w:ind w:left="71" w:firstLine="493" w:firstLineChars="176"/>
        <w:jc w:val="left"/>
        <w:rPr>
          <w:rFonts w:hint="eastAsia" w:ascii="楷体" w:hAnsi="楷体" w:eastAsia="楷体" w:cs="仿宋"/>
          <w:b/>
          <w:bCs/>
          <w:sz w:val="28"/>
          <w:szCs w:val="28"/>
        </w:rPr>
      </w:pPr>
    </w:p>
    <w:p w14:paraId="1C6D9E4B">
      <w:pPr>
        <w:snapToGrid w:val="0"/>
        <w:spacing w:line="500" w:lineRule="exact"/>
        <w:ind w:left="71" w:firstLine="493" w:firstLineChars="176"/>
        <w:jc w:val="left"/>
        <w:rPr>
          <w:rFonts w:hint="eastAsia" w:ascii="楷体" w:hAnsi="楷体" w:eastAsia="楷体" w:cs="仿宋"/>
          <w:b/>
          <w:bCs/>
          <w:sz w:val="28"/>
          <w:szCs w:val="28"/>
        </w:rPr>
      </w:pPr>
    </w:p>
    <w:tbl>
      <w:tblPr>
        <w:tblStyle w:val="28"/>
        <w:tblW w:w="51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361"/>
        <w:gridCol w:w="1775"/>
        <w:gridCol w:w="1084"/>
        <w:gridCol w:w="1334"/>
        <w:gridCol w:w="1361"/>
        <w:gridCol w:w="1266"/>
      </w:tblGrid>
      <w:tr w14:paraId="4DCB4895">
        <w:trPr>
          <w:trHeight w:val="720" w:hRule="atLeast"/>
          <w:jc w:val="center"/>
        </w:trPr>
        <w:tc>
          <w:tcPr>
            <w:tcW w:w="183"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A2EB9F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23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5D4937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93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C7D9A2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56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31DD05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99"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10CB722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c>
          <w:tcPr>
            <w:tcW w:w="71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E5024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单价       （元/㎡/天）</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4869DC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年租赁价值（元）</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萧山区北干街道萧山科创中心3幢1208室</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356.29</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2.83</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368030</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s.unit_price }}</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s.annual_value }}</w:t>
            </w:r>
          </w:p>
        </w:tc>
      </w:tr>
      <w:tr w14:paraId="09376D61">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94AF0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F901BA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631879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萧山区北干街道萧山科创中心3幢1208室</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531D9C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65AEB18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356.29</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35EDC8C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2.83</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7B062E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368030</w:t>
            </w:r>
          </w:p>
        </w:tc>
      </w:tr>
      <w:tr w14:paraId="06E7F5EB">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2DCAC51F"/>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C5CF95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合计</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29695320"/>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51BAEDC"/>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5CE313B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5F545EE7"/>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4EAA98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total_value }}</w:t>
            </w:r>
          </w:p>
        </w:tc>
      </w:tr>
    </w:tbl>
    <w:p w14:paraId="2CF6AEEE"/>
    <w:p w14:paraId="6C5F6B5A">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677C39F2">
      <w:pPr>
        <w:spacing w:line="500" w:lineRule="exact"/>
        <w:ind w:firstLine="560" w:firstLineChars="200"/>
        <w:rPr>
          <w:rFonts w:hint="eastAsia" w:ascii="楷体" w:hAnsi="楷体" w:eastAsia="楷体" w:cs="仿宋"/>
          <w:kern w:val="2"/>
          <w:sz w:val="28"/>
          <w:szCs w:val="28"/>
          <w:lang w:val="en-US" w:eastAsia="zh-CN" w:bidi="ar-SA"/>
        </w:rPr>
      </w:pPr>
      <w:bookmarkStart w:id="9" w:name="_Toc787"/>
      <w:bookmarkStart w:id="10" w:name="_Toc221711013"/>
      <w:bookmarkStart w:id="11" w:name="_Toc221710847"/>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p>
    <w:p w14:paraId="38E09914">
      <w:pPr>
        <w:autoSpaceDE w:val="0"/>
        <w:autoSpaceDN w:val="0"/>
        <w:adjustRightInd w:val="0"/>
        <w:spacing w:line="500" w:lineRule="exact"/>
        <w:ind w:firstLine="560" w:firstLineChars="200"/>
        <w:jc w:val="left"/>
        <w:outlineLvl w:val="0"/>
        <w:rPr>
          <w:rFonts w:hint="eastAsia" w:ascii="楷体" w:hAnsi="楷体" w:eastAsia="楷体"/>
          <w:sz w:val="28"/>
        </w:rPr>
      </w:pPr>
      <w:r>
        <w:rPr>
          <w:rFonts w:hint="eastAsia" w:ascii="楷体" w:hAnsi="楷体" w:eastAsia="楷体" w:cs="仿宋"/>
          <w:sz w:val="28"/>
          <w:szCs w:val="28"/>
        </w:rPr>
        <w:t>（2）本次估价结果为整体租赁下的价值。</w:t>
      </w:r>
      <w:bookmarkEnd w:id="9"/>
      <w:bookmarkEnd w:id="10"/>
      <w:bookmarkEnd w:id="11"/>
    </w:p>
    <w:p w14:paraId="7481A4FD">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（3）年租赁价值按一年365天计。</w:t>
      </w:r>
    </w:p>
    <w:p w14:paraId="66A25A02">
      <w:pPr>
        <w:spacing w:line="500" w:lineRule="exact"/>
        <w:ind w:firstLine="560" w:firstLineChars="200"/>
        <w:jc w:val="left"/>
        <w:rPr>
          <w:rFonts w:hint="eastAsia" w:ascii="楷体" w:hAnsi="楷体" w:eastAsia="楷体" w:cs="仿宋"/>
          <w:sz w:val="28"/>
          <w:szCs w:val="28"/>
        </w:rPr>
      </w:pPr>
      <w:r>
        <w:rPr>
          <w:rFonts w:hint="eastAsia" w:ascii="楷体" w:hAnsi="楷体" w:eastAsia="楷体"/>
          <w:sz w:val="28"/>
        </w:rPr>
        <w:t>（</w:t>
      </w:r>
      <w:r>
        <w:rPr>
          <w:rFonts w:ascii="楷体" w:hAnsi="楷体" w:eastAsia="楷体"/>
          <w:sz w:val="28"/>
        </w:rPr>
        <w:t>5</w:t>
      </w:r>
      <w:r>
        <w:rPr>
          <w:rFonts w:hint="eastAsia" w:ascii="楷体" w:hAnsi="楷体" w:eastAsia="楷体"/>
          <w:sz w:val="28"/>
        </w:rPr>
        <w:t>）本函仅为估价报告的内容摘要，请估价委托人和估价报告使用者全面仔细地阅读估价报告全文。</w:t>
      </w:r>
    </w:p>
    <w:p w14:paraId="20561600">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3BFFD4D0">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4B6BAE5D">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151B04D8">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506B42E8">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55070319">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_Toc25605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_Toc25605 \h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41FDB7DB">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_Toc9611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_Toc9611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7677640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_Toc29912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一、一般性假设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_Toc29912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D995DE3">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_Toc18567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二、未定事项假设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_Toc18567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F476698">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_Toc20772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三、背离事实假设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_Toc20772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1DDE6B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_Toc4865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四、不相一致假设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_Toc4865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7E4E0E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_Toc17987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五、依据不足假设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_Toc17987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319331A">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_Toc24096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六、报告使用限制条件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_Toc24096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37CF565">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_Toc27918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_Toc27918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604FA85F">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_Toc14953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一、估价委托人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_Toc14953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7A55E4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_Toc10968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二、房地产估价机构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_Toc10968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3A4CDB2">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_Toc15159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_Toc15159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1DBA8E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_Toc25476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_Toc25476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B955D9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_Toc8975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_Toc8975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BCCDFD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_Toc11524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_Toc11524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C108B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_Toc8087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_Toc8087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D0E98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_Toc6137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八、估价依据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_Toc6137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5140A6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_Toc31282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_Toc31282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684093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_Toc32348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_Toc32348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F6C149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_Toc2703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十一、注册房地产估价师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_Toc2703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38D6FA01">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_Toc4175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_Toc4175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8089DC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_Toc25269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十三、估价作业期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_Toc25269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7601FCE">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_Toc22660 </w:instrText>
      </w:r>
      <w:r>
        <w:rPr>
          <w:rFonts w:hint="eastAsia" w:ascii="楷体" w:hAnsi="楷体" w:eastAsia="楷体" w:cs="楷体"/>
          <w:bCs w:val="0"/>
          <w:sz w:val="28"/>
          <w:szCs w:val="28"/>
          <w:lang w:val="zh-CN"/>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_Toc22660 \h </w:instrText>
      </w:r>
      <w:r>
        <w:rPr>
          <w:rFonts w:hint="eastAsia" w:ascii="楷体" w:hAnsi="楷体" w:eastAsia="楷体" w:cs="楷体"/>
          <w:sz w:val="28"/>
          <w:szCs w:val="28"/>
        </w:rPr>
        <w:fldChar w:fldCharType="separate"/>
      </w:r>
      <w:r>
        <w:rPr>
          <w:rFonts w:hint="eastAsia" w:ascii="楷体" w:hAnsi="楷体" w:eastAsia="楷体" w:cs="楷体"/>
          <w:sz w:val="28"/>
          <w:szCs w:val="28"/>
        </w:rPr>
        <w:t>12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41BFB420">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楷体" w:hAnsi="楷体" w:eastAsia="楷体" w:cs="楷体"/>
          <w:bCs/>
          <w:sz w:val="28"/>
          <w:szCs w:val="28"/>
          <w:lang w:val="zh-CN"/>
        </w:rPr>
        <w:fldChar w:fldCharType="end"/>
      </w:r>
    </w:p>
    <w:p w14:paraId="76EA76BF">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2E62E6FC">
      <w:pPr>
        <w:spacing w:before="312" w:beforeLines="100" w:after="156" w:afterLines="50" w:line="360" w:lineRule="auto"/>
        <w:jc w:val="center"/>
        <w:outlineLvl w:val="0"/>
        <w:rPr>
          <w:rFonts w:hint="eastAsia" w:ascii="楷体" w:hAnsi="楷体" w:eastAsia="楷体"/>
          <w:bCs/>
          <w:sz w:val="28"/>
          <w:szCs w:val="28"/>
        </w:rPr>
      </w:pPr>
      <w:bookmarkStart w:id="12" w:name="_Toc505087745"/>
      <w:bookmarkStart w:id="13" w:name="_Toc221710848"/>
      <w:bookmarkStart w:id="14" w:name="_Toc484941653"/>
      <w:bookmarkStart w:id="15" w:name="_Toc25605"/>
      <w:r>
        <w:rPr>
          <w:rFonts w:hint="eastAsia" w:ascii="楷体" w:hAnsi="楷体" w:eastAsia="楷体"/>
          <w:b/>
          <w:bCs/>
          <w:sz w:val="48"/>
          <w:szCs w:val="48"/>
        </w:rPr>
        <w:t>估价师声明</w:t>
      </w:r>
      <w:bookmarkEnd w:id="12"/>
      <w:bookmarkEnd w:id="13"/>
      <w:bookmarkEnd w:id="14"/>
      <w:bookmarkEnd w:id="15"/>
    </w:p>
    <w:p w14:paraId="37CA6C53">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02369D0C">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1.注册房地产估价师在本估价报告中陈述的事实是真实和准确的，没有虚假记载、误导性陈述和重大遗漏。</w:t>
      </w:r>
    </w:p>
    <w:p w14:paraId="32EE0AA7">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2.本估价报告中的分析、意见和结论是注册房地产估价师独立、客观、公正的专业分析、意见和结论，在估价中做到勤勉尽责，但受到本估价报告中已说明的估价假设和限制条件的限制。</w:t>
      </w:r>
    </w:p>
    <w:p w14:paraId="01934094">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3.注册房地产估价师与估价报告中的估价委托人没有利害关系，与估价报告中的估价对象及有关当事人也没有个人利害关系或偏见。</w:t>
      </w:r>
    </w:p>
    <w:p w14:paraId="0542D91F">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rPr>
        <w:t>4.注册房地产估价师依照中华人民共和国国家标准《房地产估价规范》（GB/T50291-2015）、《房地产估价基本术语标准》（GB/T50899-2013）进行分析，形成意见和结论，撰写本估价报告。</w:t>
      </w:r>
    </w:p>
    <w:p w14:paraId="29FF9FE0">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5.注册房地产估价师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68077F4">
        <w:trPr>
          <w:wBefore w:w="0" w:type="auto"/>
          <w:wAfter w:w="0" w:type="auto"/>
          <w:trHeight w:val="611" w:hRule="exact"/>
        </w:trPr>
        <w:tc>
          <w:tcPr>
            <w:tcW w:w="1640" w:type="dxa"/>
            <w:noWrap w:val="0"/>
            <w:vAlign w:val="center"/>
          </w:tcPr>
          <w:p w14:paraId="68CA82F2">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79503417">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42A70923">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4EF122A2">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4637EDD1">
        <w:trPr>
          <w:wBefore w:w="0" w:type="auto"/>
          <w:wAfter w:w="0" w:type="auto"/>
          <w:trHeight w:val="1259" w:hRule="exact"/>
        </w:trPr>
        <w:tc>
          <w:tcPr>
            <w:tcW w:w="1640" w:type="dxa"/>
            <w:noWrap w:val="0"/>
            <w:vAlign w:val="center"/>
          </w:tcPr>
          <w:p w14:paraId="4095F6E7">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3EF05FB5">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37C51EB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A3FA6B7">
            <w:pPr>
              <w:tabs>
                <w:tab w:val="left" w:pos="8931"/>
                <w:tab w:val="left" w:pos="9214"/>
                <w:tab w:val="left" w:pos="9240"/>
              </w:tabs>
              <w:spacing w:line="440" w:lineRule="exact"/>
              <w:ind w:left="105" w:leftChars="50" w:right="168" w:rightChars="80"/>
              <w:rPr>
                <w:rFonts w:ascii="楷体" w:hAnsi="楷体" w:eastAsia="楷体"/>
                <w:sz w:val="28"/>
              </w:rPr>
            </w:pPr>
          </w:p>
        </w:tc>
      </w:tr>
      <w:tr w14:paraId="4D6DC466">
        <w:trPr>
          <w:wBefore w:w="0" w:type="auto"/>
          <w:wAfter w:w="0" w:type="auto"/>
          <w:trHeight w:val="1406" w:hRule="exact"/>
        </w:trPr>
        <w:tc>
          <w:tcPr>
            <w:tcW w:w="1640" w:type="dxa"/>
            <w:noWrap w:val="0"/>
            <w:vAlign w:val="center"/>
          </w:tcPr>
          <w:p w14:paraId="76F24511">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067FD5D">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4200401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26C7127">
            <w:pPr>
              <w:tabs>
                <w:tab w:val="left" w:pos="8931"/>
                <w:tab w:val="left" w:pos="9214"/>
                <w:tab w:val="left" w:pos="9240"/>
              </w:tabs>
              <w:spacing w:line="440" w:lineRule="exact"/>
              <w:ind w:left="105" w:leftChars="50" w:right="168" w:rightChars="80"/>
              <w:rPr>
                <w:rFonts w:ascii="楷体" w:hAnsi="楷体" w:eastAsia="楷体"/>
                <w:sz w:val="28"/>
              </w:rPr>
            </w:pPr>
          </w:p>
        </w:tc>
      </w:tr>
    </w:tbl>
    <w:p w14:paraId="14B915CC">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4FF00CFD">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5C3C43E4">
      <w:pPr>
        <w:spacing w:before="468" w:beforeLines="150" w:line="480" w:lineRule="auto"/>
        <w:ind w:firstLine="2402" w:firstLineChars="500"/>
        <w:outlineLvl w:val="0"/>
        <w:rPr>
          <w:rFonts w:hint="eastAsia" w:ascii="楷体" w:hAnsi="楷体" w:eastAsia="楷体"/>
          <w:b/>
          <w:bCs/>
          <w:sz w:val="48"/>
          <w:szCs w:val="48"/>
        </w:rPr>
      </w:pPr>
      <w:bookmarkStart w:id="18" w:name="_Toc221710849"/>
      <w:bookmarkStart w:id="19" w:name="_Toc9611"/>
      <w:r>
        <w:rPr>
          <w:rFonts w:hint="eastAsia" w:ascii="楷体" w:hAnsi="楷体" w:eastAsia="楷体"/>
          <w:b/>
          <w:bCs/>
          <w:sz w:val="48"/>
          <w:szCs w:val="48"/>
        </w:rPr>
        <w:t>估价假设和限制条件</w:t>
      </w:r>
      <w:bookmarkEnd w:id="16"/>
      <w:bookmarkEnd w:id="17"/>
      <w:bookmarkEnd w:id="18"/>
      <w:bookmarkEnd w:id="19"/>
    </w:p>
    <w:p w14:paraId="491674BD">
      <w:pPr>
        <w:spacing w:before="156" w:beforeLines="50" w:line="510" w:lineRule="exact"/>
        <w:jc w:val="left"/>
        <w:outlineLvl w:val="1"/>
        <w:rPr>
          <w:rFonts w:hint="eastAsia" w:ascii="楷体" w:hAnsi="楷体" w:eastAsia="楷体"/>
          <w:b/>
          <w:bCs/>
          <w:sz w:val="28"/>
          <w:szCs w:val="28"/>
        </w:rPr>
      </w:pPr>
      <w:bookmarkStart w:id="20" w:name="_Toc484941655"/>
      <w:bookmarkStart w:id="21" w:name="_Toc505087747"/>
      <w:bookmarkStart w:id="22" w:name="_Toc221710850"/>
      <w:bookmarkStart w:id="23" w:name="_Toc29912"/>
      <w:r>
        <w:rPr>
          <w:rFonts w:hint="eastAsia" w:ascii="楷体" w:hAnsi="楷体" w:eastAsia="楷体"/>
          <w:b/>
          <w:bCs/>
          <w:sz w:val="28"/>
          <w:szCs w:val="28"/>
        </w:rPr>
        <w:t>一、一般性假设</w:t>
      </w:r>
      <w:bookmarkEnd w:id="20"/>
      <w:bookmarkEnd w:id="21"/>
      <w:bookmarkEnd w:id="22"/>
      <w:bookmarkEnd w:id="23"/>
    </w:p>
    <w:p w14:paraId="4E1549C1">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不动产权证》及其有关资料，我们在无理由怀疑其合法性、真实性、准确性和完整性的情况下，假定估价委托人提供的资料合法、真实、准确、完整，因不实造成的影响本公司不承担任何责任。</w:t>
      </w:r>
    </w:p>
    <w:p w14:paraId="1CAD08C8">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2.注册房地产估价师已对房屋安全、环境污染等影响估价对象价值的重大因素给予了关注，在无理由怀疑估价对象存在安全隐患且无相应的专业机构进行鉴定、检测的情况下，假定估价对象能正常安全使用。</w:t>
      </w:r>
    </w:p>
    <w:p w14:paraId="4B07D9F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0461F4C6">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2FF735F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5548084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9248E15">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531F74CE">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5.估价时未考虑估价对象抵押、租赁、债务等对估价结果的影响。</w:t>
      </w:r>
      <w:bookmarkStart w:id="24" w:name="_Toc484941656"/>
      <w:bookmarkStart w:id="25" w:name="_Toc505087748"/>
    </w:p>
    <w:p w14:paraId="4EEC8C0B">
      <w:pPr>
        <w:spacing w:line="510" w:lineRule="exact"/>
        <w:ind w:firstLine="560" w:firstLineChars="200"/>
        <w:jc w:val="left"/>
        <w:rPr>
          <w:rFonts w:ascii="楷体" w:hAnsi="楷体" w:eastAsia="楷体"/>
          <w:sz w:val="28"/>
          <w:szCs w:val="24"/>
        </w:rPr>
      </w:pPr>
      <w:r>
        <w:rPr>
          <w:rFonts w:hint="eastAsia" w:ascii="楷体" w:hAnsi="楷体" w:eastAsia="楷体"/>
          <w:sz w:val="28"/>
          <w:szCs w:val="24"/>
        </w:rPr>
        <w:t>6.本估价报告中估价对象在价值时点状况与完成实地勘查之日一致。</w:t>
      </w:r>
    </w:p>
    <w:p w14:paraId="2D00D3FA">
      <w:pPr>
        <w:spacing w:before="156" w:beforeLines="50" w:line="510" w:lineRule="exact"/>
        <w:jc w:val="left"/>
        <w:outlineLvl w:val="1"/>
        <w:rPr>
          <w:rFonts w:hint="eastAsia" w:ascii="楷体" w:hAnsi="楷体" w:eastAsia="楷体"/>
          <w:b/>
          <w:bCs/>
          <w:sz w:val="28"/>
          <w:szCs w:val="28"/>
        </w:rPr>
      </w:pPr>
      <w:bookmarkStart w:id="26" w:name="_Toc221710851"/>
      <w:bookmarkStart w:id="27" w:name="_Toc18567"/>
      <w:r>
        <w:rPr>
          <w:rFonts w:hint="eastAsia" w:ascii="楷体" w:hAnsi="楷体" w:eastAsia="楷体"/>
          <w:b/>
          <w:bCs/>
          <w:sz w:val="28"/>
          <w:szCs w:val="28"/>
        </w:rPr>
        <w:t>二、未定事项假设</w:t>
      </w:r>
      <w:bookmarkEnd w:id="24"/>
      <w:bookmarkEnd w:id="25"/>
      <w:bookmarkEnd w:id="26"/>
      <w:bookmarkEnd w:id="27"/>
    </w:p>
    <w:p w14:paraId="14CC339F">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75C5B808">
      <w:pPr>
        <w:spacing w:before="156" w:beforeLines="50" w:line="510" w:lineRule="exact"/>
        <w:jc w:val="left"/>
        <w:outlineLvl w:val="1"/>
        <w:rPr>
          <w:rFonts w:hint="eastAsia" w:ascii="楷体" w:hAnsi="楷体" w:eastAsia="楷体"/>
          <w:b/>
          <w:bCs/>
          <w:sz w:val="28"/>
          <w:szCs w:val="28"/>
        </w:rPr>
      </w:pPr>
      <w:bookmarkStart w:id="28" w:name="_Toc221710852"/>
      <w:bookmarkStart w:id="29" w:name="_Toc484941657"/>
      <w:bookmarkStart w:id="30" w:name="_Toc505087749"/>
      <w:bookmarkStart w:id="31" w:name="_Toc20772"/>
      <w:r>
        <w:rPr>
          <w:rFonts w:hint="eastAsia" w:ascii="楷体" w:hAnsi="楷体" w:eastAsia="楷体"/>
          <w:b/>
          <w:bCs/>
          <w:sz w:val="28"/>
          <w:szCs w:val="28"/>
        </w:rPr>
        <w:t>三、背离事实假设</w:t>
      </w:r>
      <w:bookmarkEnd w:id="28"/>
      <w:bookmarkEnd w:id="29"/>
      <w:bookmarkEnd w:id="30"/>
      <w:bookmarkEnd w:id="31"/>
    </w:p>
    <w:p w14:paraId="7F078B2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背离事实假设是指因估价目的的特殊需要、交易条件设定或约定，对估价对象状况所做的与估价对象在价值时点的状况不一致的合理假定。</w:t>
      </w:r>
      <w:r>
        <w:rPr>
          <w:rFonts w:hint="eastAsia" w:ascii="楷体" w:hAnsi="楷体" w:eastAsia="楷体"/>
          <w:bCs/>
          <w:sz w:val="28"/>
          <w:szCs w:val="28"/>
        </w:rPr>
        <w:t>本次估价无背离事实假设</w:t>
      </w:r>
      <w:r>
        <w:rPr>
          <w:rFonts w:hint="eastAsia" w:ascii="楷体" w:hAnsi="楷体" w:eastAsia="楷体"/>
          <w:bCs/>
          <w:sz w:val="28"/>
          <w:szCs w:val="28"/>
        </w:rPr>
        <w:t>。</w:t>
      </w:r>
    </w:p>
    <w:p w14:paraId="20700505">
      <w:pPr>
        <w:spacing w:before="156" w:beforeLines="50" w:line="510" w:lineRule="exact"/>
        <w:jc w:val="left"/>
        <w:outlineLvl w:val="1"/>
        <w:rPr>
          <w:rFonts w:hint="eastAsia" w:ascii="楷体" w:hAnsi="楷体" w:eastAsia="楷体"/>
          <w:b/>
          <w:bCs/>
          <w:sz w:val="28"/>
          <w:szCs w:val="28"/>
        </w:rPr>
      </w:pPr>
      <w:bookmarkStart w:id="32" w:name="_Toc505087750"/>
      <w:bookmarkStart w:id="33" w:name="_Toc221710853"/>
      <w:bookmarkStart w:id="34" w:name="_Toc4865"/>
      <w:bookmarkStart w:id="35" w:name="_Toc484941658"/>
      <w:r>
        <w:rPr>
          <w:rFonts w:hint="eastAsia" w:ascii="楷体" w:hAnsi="楷体" w:eastAsia="楷体"/>
          <w:b/>
          <w:bCs/>
          <w:sz w:val="28"/>
          <w:szCs w:val="28"/>
        </w:rPr>
        <w:t>四、不相一致假设</w:t>
      </w:r>
      <w:bookmarkEnd w:id="32"/>
      <w:bookmarkEnd w:id="33"/>
      <w:bookmarkEnd w:id="34"/>
      <w:bookmarkEnd w:id="35"/>
    </w:p>
    <w:p w14:paraId="79BD679B">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本次估价对象已取得《不动产权证》，且为浙（2020）萧山区不动产权第0038943号《不动产权证》中的一部分，现场实际门牌号为{{ address }}，与证载坐落萧山区北干街道萧山科创中心3幢1201室不相一致，本次估计根据现场实际门牌号为准。</w:t>
      </w:r>
      <w:bookmarkStart w:id="36" w:name="OLE_LINK11"/>
      <w:r>
        <w:rPr>
          <w:rFonts w:hint="eastAsia" w:ascii="楷体" w:hAnsi="楷体" w:eastAsia="楷体"/>
          <w:bCs/>
          <w:sz w:val="28"/>
          <w:szCs w:val="28"/>
        </w:rPr>
        <w:t/>
      </w:r>
      <w:bookmarkEnd w:id="36"/>
      <w:r>
        <w:rPr>
          <w:rFonts w:hint="eastAsia" w:ascii="楷体" w:hAnsi="楷体" w:eastAsia="楷体" w:cs="宋体"/>
          <w:kern w:val="2"/>
          <w:sz w:val="28"/>
          <w:szCs w:val="28"/>
          <w:lang w:val="en-US" w:eastAsia="zh-CN" w:bidi="ar-SA"/>
        </w:rPr>
        <w:t/>
      </w:r>
      <w:r>
        <w:rPr>
          <w:rFonts w:hint="eastAsia" w:ascii="楷体" w:hAnsi="楷体" w:eastAsia="楷体"/>
          <w:bCs/>
          <w:sz w:val="28"/>
          <w:szCs w:val="28"/>
        </w:rPr>
        <w:t/>
      </w:r>
    </w:p>
    <w:p w14:paraId="03850B5E">
      <w:pPr>
        <w:spacing w:before="156" w:beforeLines="50" w:line="510" w:lineRule="exact"/>
        <w:jc w:val="left"/>
        <w:outlineLvl w:val="1"/>
        <w:rPr>
          <w:rFonts w:hint="eastAsia" w:ascii="楷体" w:hAnsi="楷体" w:eastAsia="楷体"/>
          <w:b/>
          <w:bCs/>
          <w:sz w:val="28"/>
          <w:szCs w:val="28"/>
        </w:rPr>
      </w:pPr>
      <w:bookmarkStart w:id="37" w:name="_Toc17987"/>
      <w:bookmarkStart w:id="38" w:name="_Toc484941659"/>
      <w:bookmarkStart w:id="39" w:name="_Toc221710854"/>
      <w:bookmarkStart w:id="40" w:name="_Toc505087751"/>
      <w:r>
        <w:rPr>
          <w:rFonts w:hint="eastAsia" w:ascii="楷体" w:hAnsi="楷体" w:eastAsia="楷体"/>
          <w:b/>
          <w:bCs/>
          <w:sz w:val="28"/>
          <w:szCs w:val="28"/>
        </w:rPr>
        <w:t>五、依据不足假设</w:t>
      </w:r>
      <w:bookmarkEnd w:id="37"/>
      <w:bookmarkEnd w:id="38"/>
      <w:bookmarkEnd w:id="39"/>
      <w:bookmarkEnd w:id="40"/>
    </w:p>
    <w:p w14:paraId="70FFCECC">
      <w:pPr>
        <w:spacing w:line="510" w:lineRule="exact"/>
        <w:ind w:firstLine="560" w:firstLineChars="200"/>
        <w:jc w:val="left"/>
        <w:rPr>
          <w:rFonts w:hint="eastAsia" w:ascii="楷体" w:hAnsi="楷体" w:eastAsia="楷体"/>
          <w:bCs/>
          <w:kern w:val="2"/>
          <w:sz w:val="28"/>
          <w:szCs w:val="28"/>
          <w:lang w:val="en-US" w:eastAsia="zh-CN" w:bidi="ar-SA"/>
        </w:rPr>
      </w:pPr>
      <w:bookmarkStart w:id="41" w:name="_Toc505087752"/>
      <w:bookmarkStart w:id="42" w:name="_Toc24096"/>
      <w:bookmarkStart w:id="43" w:name="_Toc221710855"/>
      <w:bookmarkStart w:id="44" w:name="_Toc484941660"/>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估价对象已取得《不动产权证》，且为浙（2020）萧山区不动产权第0038943号《不动产权证》中的一部分，根据《委托评估协议书》设定：{{ owner }}位于{{ address }}的房地产，估价对象范围为{{ scale }}，设定出租用途为{{ usage }}。若离开上述前提，本次估价结果应做相应调整乃至重新评估。</w:t>
      </w:r>
    </w:p>
    <w:p w14:paraId="4B39DA55">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1DF9F93F">
      <w:pPr>
        <w:spacing w:line="510" w:lineRule="exact"/>
        <w:ind w:firstLine="560" w:firstLineChars="200"/>
        <w:jc w:val="left"/>
        <w:rPr>
          <w:rFonts w:ascii="楷体" w:hAnsi="楷体" w:eastAsia="楷体"/>
          <w:b/>
          <w:bCs/>
          <w:kern w:val="2"/>
          <w:sz w:val="28"/>
          <w:szCs w:val="28"/>
          <w:lang w:val="en-US" w:eastAsia="zh-CN" w:bidi="ar-SA"/>
        </w:rPr>
      </w:pPr>
      <w:r>
        <w:rPr>
          <w:rFonts w:hint="eastAsia" w:ascii="楷体" w:hAnsi="楷体" w:eastAsia="楷体" w:cs="宋体"/>
          <w:kern w:val="2"/>
          <w:sz w:val="28"/>
          <w:szCs w:val="28"/>
          <w:lang w:val="en-US" w:eastAsia="zh-CN" w:bidi="ar-SA"/>
        </w:rPr>
        <w:t>1.本估价机构的估价范围由委托人指认，并由现场查勘记录人员记录，如与实际需估价范围有出入，应以书面告知，估价结果也做相应调整。</w:t>
      </w:r>
    </w:p>
    <w:p w14:paraId="27DFDAC8">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5E5AA67B">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465E3F64">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4D39EE38">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18546373">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272BE843">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2B1B56E4">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见诸任何公开的媒体。若本估价报告被用于其他场合，本公司不负任何法律责任。</w:t>
      </w:r>
    </w:p>
    <w:p w14:paraId="00643C37">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68FB4CFF">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70309F7C">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393DA24D">
      <w:pPr>
        <w:spacing w:before="468" w:beforeLines="150" w:after="156" w:afterLines="50" w:line="480" w:lineRule="auto"/>
        <w:jc w:val="center"/>
        <w:outlineLvl w:val="0"/>
        <w:rPr>
          <w:rFonts w:hint="eastAsia" w:ascii="楷体" w:hAnsi="楷体" w:eastAsia="楷体"/>
          <w:b/>
          <w:sz w:val="48"/>
          <w:szCs w:val="48"/>
        </w:rPr>
      </w:pPr>
      <w:bookmarkStart w:id="47" w:name="_Toc27918"/>
      <w:bookmarkStart w:id="48" w:name="_Toc221710856"/>
      <w:r>
        <w:rPr>
          <w:rFonts w:hint="eastAsia" w:ascii="楷体" w:hAnsi="楷体" w:eastAsia="楷体"/>
          <w:b/>
          <w:bCs/>
          <w:sz w:val="48"/>
          <w:szCs w:val="48"/>
        </w:rPr>
        <w:t>估价结果报告</w:t>
      </w:r>
      <w:bookmarkEnd w:id="45"/>
      <w:bookmarkEnd w:id="46"/>
      <w:bookmarkEnd w:id="47"/>
      <w:bookmarkEnd w:id="48"/>
    </w:p>
    <w:p w14:paraId="71AC4069">
      <w:pPr>
        <w:spacing w:before="156" w:beforeLines="50" w:line="560" w:lineRule="exact"/>
        <w:jc w:val="left"/>
        <w:outlineLvl w:val="1"/>
        <w:rPr>
          <w:rFonts w:hint="eastAsia" w:ascii="楷体" w:hAnsi="楷体" w:eastAsia="楷体"/>
          <w:b/>
          <w:bCs/>
          <w:sz w:val="28"/>
          <w:szCs w:val="28"/>
        </w:rPr>
      </w:pPr>
      <w:bookmarkStart w:id="49" w:name="_Toc221710857"/>
      <w:bookmarkStart w:id="50" w:name="_Toc505087754"/>
      <w:bookmarkStart w:id="51" w:name="_Toc484941662"/>
      <w:bookmarkStart w:id="52" w:name="_Toc14953"/>
      <w:r>
        <w:rPr>
          <w:rFonts w:hint="eastAsia" w:ascii="楷体" w:hAnsi="楷体" w:eastAsia="楷体"/>
          <w:b/>
          <w:bCs/>
          <w:sz w:val="28"/>
          <w:szCs w:val="28"/>
        </w:rPr>
        <w:t>一、估价委托人</w:t>
      </w:r>
      <w:bookmarkEnd w:id="49"/>
      <w:bookmarkEnd w:id="50"/>
      <w:bookmarkEnd w:id="51"/>
      <w:bookmarkEnd w:id="52"/>
    </w:p>
    <w:p w14:paraId="1BB35DF6">
      <w:pPr>
        <w:spacing w:line="560" w:lineRule="exact"/>
        <w:ind w:firstLine="560" w:firstLineChars="200"/>
        <w:jc w:val="left"/>
      </w:pPr>
      <w:bookmarkStart w:id="53" w:name="_Toc505087755"/>
      <w:bookmarkStart w:id="54" w:name="_Toc484941663"/>
      <w:r>
        <w:rPr>
          <w:rFonts w:hint="eastAsia" w:ascii="楷体" w:hAnsi="楷体" w:eastAsia="楷体" w:cs="宋体"/>
          <w:kern w:val="2"/>
          <w:sz w:val="28"/>
          <w:szCs w:val="28"/>
          <w:lang w:val="en-US" w:eastAsia="zh-CN" w:bidi="ar-SA"/>
        </w:rPr>
        <w:t>委托人名称：{{ client }}</w:t>
      </w:r>
    </w:p>
    <w:p w14:paraId="515DAF24">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住      址：浙江省杭州市萧山区金城路685号综合楼三楼</w:t>
      </w:r>
    </w:p>
    <w:p w14:paraId="2F016FAD">
      <w:pPr>
        <w:spacing w:line="560" w:lineRule="exact"/>
        <w:ind w:firstLine="560" w:firstLineChars="200"/>
        <w:jc w:val="left"/>
        <w:rPr>
          <w:rFonts w:hint="eastAsia" w:ascii="楷体" w:hAnsi="楷体" w:eastAsia="楷体"/>
          <w:bCs/>
          <w:kern w:val="2"/>
          <w:sz w:val="28"/>
          <w:szCs w:val="28"/>
          <w:lang w:val="en-US" w:eastAsia="zh-CN" w:bidi="ar-SA"/>
        </w:rPr>
      </w:pPr>
      <w:bookmarkStart w:id="55" w:name="_Toc10968"/>
      <w:bookmarkStart w:id="56" w:name="_Toc221710858"/>
      <w:r>
        <w:rPr>
          <w:rFonts w:hint="eastAsia" w:ascii="楷体" w:hAnsi="楷体" w:eastAsia="楷体" w:cs="宋体"/>
          <w:kern w:val="2"/>
          <w:sz w:val="28"/>
          <w:szCs w:val="28"/>
          <w:lang w:val="en-US" w:eastAsia="zh-CN" w:bidi="ar-SA"/>
        </w:rPr>
        <w:t>法定代表人或负责人：余峰</w:t>
      </w:r>
    </w:p>
    <w:p w14:paraId="5E5A4E97">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4054E20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1E7F049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4B045210">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0B9CFBE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6ED24A8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3AAAE144">
      <w:pPr>
        <w:spacing w:before="156" w:beforeLines="50" w:line="560" w:lineRule="exact"/>
        <w:jc w:val="left"/>
        <w:outlineLvl w:val="1"/>
        <w:rPr>
          <w:rFonts w:hint="eastAsia" w:ascii="楷体" w:hAnsi="楷体" w:eastAsia="楷体"/>
          <w:b/>
          <w:bCs/>
          <w:sz w:val="28"/>
          <w:szCs w:val="28"/>
        </w:rPr>
      </w:pPr>
      <w:bookmarkStart w:id="57" w:name="_Toc484941664"/>
      <w:bookmarkStart w:id="58" w:name="_Toc505087756"/>
      <w:bookmarkStart w:id="59" w:name="_Toc221710859"/>
      <w:bookmarkStart w:id="60" w:name="_Toc15159"/>
      <w:r>
        <w:rPr>
          <w:rFonts w:hint="eastAsia" w:ascii="楷体" w:hAnsi="楷体" w:eastAsia="楷体"/>
          <w:b/>
          <w:bCs/>
          <w:sz w:val="28"/>
          <w:szCs w:val="28"/>
        </w:rPr>
        <w:t>三、估价目的</w:t>
      </w:r>
      <w:bookmarkEnd w:id="57"/>
      <w:bookmarkEnd w:id="58"/>
      <w:bookmarkEnd w:id="59"/>
      <w:bookmarkEnd w:id="60"/>
    </w:p>
    <w:p w14:paraId="02C6F5F8">
      <w:pPr>
        <w:spacing w:line="360" w:lineRule="auto"/>
        <w:ind w:firstLine="560" w:firstLineChars="200"/>
        <w:jc w:val="left"/>
        <w:rPr>
          <w:rFonts w:hint="eastAsia" w:ascii="楷体" w:hAnsi="楷体" w:eastAsia="楷体"/>
          <w:bCs/>
          <w:sz w:val="28"/>
          <w:szCs w:val="28"/>
        </w:rPr>
      </w:pPr>
      <w:bookmarkStart w:id="61" w:name="_Toc484941665"/>
      <w:bookmarkStart w:id="62" w:name="_Toc505087757"/>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37E1387C">
      <w:pPr>
        <w:spacing w:before="156" w:beforeLines="50" w:line="560" w:lineRule="exact"/>
        <w:jc w:val="left"/>
        <w:outlineLvl w:val="1"/>
        <w:rPr>
          <w:rFonts w:hint="eastAsia" w:ascii="楷体" w:hAnsi="楷体" w:eastAsia="楷体"/>
          <w:b/>
          <w:bCs/>
          <w:sz w:val="28"/>
          <w:szCs w:val="28"/>
        </w:rPr>
      </w:pPr>
      <w:bookmarkStart w:id="63" w:name="_Toc221710860"/>
      <w:bookmarkStart w:id="64" w:name="_Toc25476"/>
      <w:r>
        <w:rPr>
          <w:rFonts w:hint="eastAsia" w:ascii="楷体" w:hAnsi="楷体" w:eastAsia="楷体"/>
          <w:b/>
          <w:bCs/>
          <w:sz w:val="28"/>
          <w:szCs w:val="28"/>
        </w:rPr>
        <w:t>四、估价对象</w:t>
      </w:r>
      <w:bookmarkEnd w:id="61"/>
      <w:bookmarkEnd w:id="62"/>
      <w:bookmarkEnd w:id="63"/>
      <w:bookmarkEnd w:id="64"/>
    </w:p>
    <w:p w14:paraId="6AAA4B4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(一)估价对象范围</w:t>
      </w:r>
    </w:p>
    <w:p w14:paraId="1762AA07">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}}的房地产。本次估价范围包含房屋及其分摊建设用地使用权，不包含水电费、网费、物业费、债权债务、特许经营权等其他权利。</w:t>
      </w:r>
    </w:p>
    <w:p w14:paraId="2CC78415">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(二)估价对象基本状况</w:t>
      </w:r>
    </w:p>
    <w:p w14:paraId="2BB1D7F0">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}}的房地产。估价对象已取得《不动产权证》。根据《委托评估协议书》记载估价对象基本情况如下：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28FD038D">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7C9F5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59343E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DD443E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DA30CB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FCA3AE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房屋建筑面积（㎡）</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7AF50CB6">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634E251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23F7ED6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D0F5C5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萧山区北干街道萧山科创中心3幢1206室</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7917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3D6C678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367.4</w:t>
            </w:r>
          </w:p>
        </w:tc>
      </w:tr>
    </w:tbl>
    <w:p w14:paraId="1ABC4841"/>
    <w:p w14:paraId="1D79C1BF">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(三)</w:t>
      </w:r>
      <w:r>
        <w:rPr>
          <w:rFonts w:hint="eastAsia" w:ascii="楷体" w:hAnsi="楷体" w:eastAsia="楷体" w:cs="楷体"/>
          <w:bCs/>
          <w:sz w:val="28"/>
          <w:szCs w:val="28"/>
        </w:rPr>
        <w:t>估价对象资产状况</w:t>
      </w:r>
    </w:p>
    <w:p w14:paraId="09487D4F">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53"/>
        <w:gridCol w:w="6625"/>
      </w:tblGrid>
      <w:tr w14:paraId="27A8C792">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7A5DD41">
            <w:pPr>
              <w:keepNext w:val="0"/>
              <w:keepLines w:val="0"/>
              <w:widowControl/>
              <w:suppressLineNumbers w:val="0"/>
              <w:jc w:val="center"/>
              <w:textAlignment w:val="center"/>
            </w:pPr>
            <w:bookmarkStart w:id="65" w:name="_Toc505087758"/>
            <w:bookmarkStart w:id="66" w:name="_Toc484941666"/>
            <w:r>
              <w:rPr>
                <w:rFonts w:hint="eastAsia" w:ascii="楷体" w:hAnsi="楷体" w:eastAsia="楷体" w:cs="楷体"/>
                <w:color w:val="000000"/>
                <w:kern w:val="0"/>
                <w:sz w:val="20"/>
                <w:lang w:val="en-US" w:eastAsia="zh-CN" w:bidi="ar"/>
              </w:rPr>
              <w:t>区位状况</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8E56B6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重要场所距离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544AC8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距离北干街道直线距离约1.5公里，萧山区政府直线距离约0.3公里</w:t>
            </w:r>
          </w:p>
        </w:tc>
      </w:tr>
      <w:tr w14:paraId="739F35E0">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72CDFD2A"/>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24F261E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临街状况</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C23684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估价对象所在宗地东至市心路，南至金惠路，西至无名路，北至博学路</w:t>
            </w:r>
          </w:p>
        </w:tc>
      </w:tr>
      <w:tr w14:paraId="335ADBA5">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A53E075"/>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134E574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办公聚集度</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63A9F4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周边1公里范围内有5幢以上办公场所</w:t>
            </w:r>
          </w:p>
        </w:tc>
      </w:tr>
      <w:tr w14:paraId="7421E387">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092BB367"/>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5AB8968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楼层</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471CBEEB">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所在层数为第十二层和第十五层</w:t>
            </w:r>
          </w:p>
        </w:tc>
      </w:tr>
      <w:tr w14:paraId="7C936AAB">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E811A57"/>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A29B7D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朝向</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14FD78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朝北</w:t>
            </w:r>
          </w:p>
        </w:tc>
      </w:tr>
      <w:tr w14:paraId="688E813F">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1EA4B005"/>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BE79F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离地铁距离</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232A582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距离地铁口直线距离约800米</w:t>
            </w:r>
          </w:p>
        </w:tc>
      </w:tr>
      <w:tr w14:paraId="604921A1">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78760D3"/>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171841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200米内公交线路数</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1FE9660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705路 ; 732B路 ; 732路 ; 753路 ; 761路 ; 763路 ; 772路 ; 7736路公交车</w:t>
            </w:r>
          </w:p>
        </w:tc>
      </w:tr>
      <w:tr w14:paraId="630E5998">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CDB107F"/>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C71EA2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停车便利度</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87E3B1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停车位基本满足</w:t>
            </w:r>
          </w:p>
        </w:tc>
      </w:tr>
      <w:tr w14:paraId="3ECDB9B7">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72FBF97B"/>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192E0B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基础设施</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3C066F92">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该宗地红线内外基础设施达到“五通一平”即通给水、通排水、通电、通路、通讯、场地平整</w:t>
            </w:r>
          </w:p>
        </w:tc>
      </w:tr>
      <w:tr w14:paraId="17012056">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19E02F1"/>
        </w:tc>
        <w:tc>
          <w:tcPr>
            <w:tcW w:w="1953"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DFB617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公共服务设施</w:t>
            </w:r>
          </w:p>
        </w:tc>
        <w:tc>
          <w:tcPr>
            <w:tcW w:w="6625" w:type="dxa"/>
            <w:tcBorders>
              <w:top w:val="nil"/>
              <w:left w:val="nil"/>
              <w:bottom w:val="single" w:color="auto" w:sz="4" w:space="0"/>
              <w:right w:val="single" w:color="auto" w:sz="4" w:space="0"/>
            </w:tcBorders>
            <w:noWrap w:val="0"/>
            <w:tcMar>
              <w:left w:w="108" w:type="dxa"/>
              <w:right w:w="108" w:type="dxa"/>
            </w:tcMar>
            <w:vAlign w:val="center"/>
          </w:tcPr>
          <w:p w14:paraId="5FA3FE13">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附近学校有杭州市萧山区第一中等职业学校、杭州市萧山第五高级中学；医院有社区卫生院、萧山医院；银行有中国工商银行、萧山农商银行；商场有萧山万象汇、加州阳光</w:t>
            </w:r>
          </w:p>
        </w:tc>
      </w:tr>
      <w:tr w14:paraId="5FBADD5D">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10AA170C"/>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C91AD3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景观</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65D775CE">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景观较好</w:t>
            </w:r>
          </w:p>
        </w:tc>
      </w:tr>
    </w:tbl>
    <w:p w14:paraId="288811AC"/>
    <w:p w14:paraId="567A28CE">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50"/>
        <w:gridCol w:w="6611"/>
      </w:tblGrid>
      <w:tr w14:paraId="5C82BEAD">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BABF21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实物状况</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3C97AF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建筑规模</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478D5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subjects_narrative }}</w:t>
            </w:r>
          </w:p>
        </w:tc>
      </w:tr>
      <w:tr w14:paraId="38973C7B">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9FAACE5"/>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86B9CC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建筑外观</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608D5D5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外墙是玻璃幕墙，造型比较方正，简洁利落，门面是无框玻璃门</w:t>
            </w:r>
          </w:p>
        </w:tc>
      </w:tr>
      <w:tr w14:paraId="53101B68">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646F4DB7"/>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EE02D8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建筑结构</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5197C147">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钢混结构，地上23层，地下3层</w:t>
            </w:r>
          </w:p>
        </w:tc>
      </w:tr>
      <w:tr w14:paraId="0602A951">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374105F"/>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86E82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设备设施</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7F8D6D2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套内无卫生间，设施完善，且具有新风机组、防火排烟、中央空调、消防监控等设施设备，配有垂直客梯10部、货梯2部</w:t>
            </w:r>
          </w:p>
        </w:tc>
      </w:tr>
      <w:tr w14:paraId="743FAA01">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F59FD5B"/>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F4F87B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平均层高</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60A2DA6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估价对象平均内净高2.7m-2.8m</w:t>
            </w:r>
          </w:p>
        </w:tc>
      </w:tr>
      <w:tr w14:paraId="6AAB9E9A">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4F27A42"/>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56BB3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新旧程度</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04659E3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建成于2019年，目前未发现不均匀沉降，地面、墙面、门窗保养维护较好，设备设施也维护较好</w:t>
            </w:r>
          </w:p>
        </w:tc>
      </w:tr>
      <w:tr w14:paraId="1CB93002">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D96E2A9"/>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F9AD9B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装饰装修</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2673DB0E">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地面：地毯；墙面：乳胶漆、玻璃隔断；顶面：集成吊顶、石膏板吊顶</w:t>
            </w:r>
          </w:p>
        </w:tc>
      </w:tr>
      <w:tr w14:paraId="0309573D">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FC9E6FA"/>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3E8427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智能化程度</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79EF0E6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有基本的楼宇门禁、监控系统，电器、空调、照明等自动化控制</w:t>
            </w:r>
          </w:p>
        </w:tc>
      </w:tr>
    </w:tbl>
    <w:p w14:paraId="4FF7B2A8"/>
    <w:p w14:paraId="4E558DB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w:t>
      </w:r>
      <w:r>
        <w:rPr>
          <w:rFonts w:ascii="楷体" w:hAnsi="楷体" w:eastAsia="楷体"/>
          <w:bCs/>
          <w:sz w:val="28"/>
          <w:szCs w:val="28"/>
        </w:rPr>
        <w:t>.</w:t>
      </w:r>
      <w:r>
        <w:rPr>
          <w:rFonts w:hint="eastAsia" w:ascii="楷体" w:hAnsi="楷体" w:eastAsia="楷体"/>
          <w:bCs/>
          <w:sz w:val="28"/>
          <w:szCs w:val="28"/>
        </w:rPr>
        <w:t>权益状况</w:t>
      </w:r>
    </w:p>
    <w:tbl>
      <w:tblPr>
        <w:tblStyle w:val="28"/>
        <w:tblW w:w="93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1"/>
        <w:gridCol w:w="1967"/>
        <w:gridCol w:w="6616"/>
      </w:tblGrid>
      <w:tr w14:paraId="3EF6458D">
        <w:trPr>
          <w:trHeight w:val="499" w:hRule="atLeast"/>
        </w:trPr>
        <w:tc>
          <w:tcPr>
            <w:tcW w:w="721" w:type="dxa"/>
            <w:vMerge w:val="restart"/>
            <w:tcBorders>
              <w:top w:val="single" w:color="auto" w:sz="4" w:space="0"/>
              <w:left w:val="single" w:color="auto" w:sz="4" w:space="0"/>
              <w:bottom w:val="single" w:color="auto" w:sz="4" w:space="0"/>
              <w:right w:val="single" w:color="auto" w:sz="4" w:space="0"/>
            </w:tcBorders>
            <w:noWrap w:val="0"/>
            <w:vAlign w:val="center"/>
          </w:tcPr>
          <w:p w14:paraId="5551EB2D">
            <w:pPr>
              <w:keepNext w:val="0"/>
              <w:keepLines w:val="0"/>
              <w:widowControl/>
              <w:suppressLineNumbers w:val="0"/>
              <w:jc w:val="center"/>
              <w:textAlignment w:val="center"/>
              <w:rPr>
                <w:rFonts w:ascii="楷体" w:hAnsi="楷体" w:eastAsia="楷体" w:cs="楷体"/>
                <w:i w:val="0"/>
                <w:iCs w:val="0"/>
                <w:color w:val="auto"/>
                <w:sz w:val="20"/>
                <w:szCs w:val="20"/>
                <w:u w:val="none"/>
              </w:rPr>
            </w:pPr>
            <w:r>
              <w:rPr>
                <w:rFonts w:hint="eastAsia" w:ascii="楷体" w:hAnsi="楷体" w:eastAsia="楷体" w:cs="楷体"/>
                <w:i w:val="0"/>
                <w:iCs w:val="0"/>
                <w:color w:val="auto"/>
                <w:kern w:val="0"/>
                <w:sz w:val="20"/>
                <w:szCs w:val="20"/>
                <w:u w:val="none"/>
                <w:lang w:val="en-US" w:eastAsia="zh-CN" w:bidi="ar"/>
              </w:rPr>
              <w:t>基本情况</w:t>
            </w:r>
          </w:p>
        </w:tc>
        <w:tc>
          <w:tcPr>
            <w:tcW w:w="1967" w:type="dxa"/>
            <w:tcBorders>
              <w:top w:val="single" w:color="auto" w:sz="4" w:space="0"/>
              <w:left w:val="nil"/>
              <w:bottom w:val="single" w:color="auto" w:sz="4" w:space="0"/>
              <w:right w:val="single" w:color="auto" w:sz="4" w:space="0"/>
            </w:tcBorders>
            <w:noWrap w:val="0"/>
            <w:vAlign w:val="center"/>
          </w:tcPr>
          <w:p w14:paraId="08888728">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是否取得产权证书</w:t>
            </w:r>
          </w:p>
        </w:tc>
        <w:tc>
          <w:tcPr>
            <w:tcW w:w="6616" w:type="dxa"/>
            <w:tcBorders>
              <w:top w:val="single" w:color="auto" w:sz="4" w:space="0"/>
              <w:left w:val="nil"/>
              <w:bottom w:val="single" w:color="auto" w:sz="4" w:space="0"/>
              <w:right w:val="single" w:color="auto" w:sz="4" w:space="0"/>
            </w:tcBorders>
            <w:noWrap w:val="0"/>
            <w:vAlign w:val="center"/>
          </w:tcPr>
          <w:p w14:paraId="60E4DD01">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估价对象已取得《不动产权证》</w:t>
            </w:r>
          </w:p>
        </w:tc>
      </w:tr>
      <w:tr w14:paraId="480CA18C">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68F7A312">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3487DFBC">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权利人</w:t>
            </w:r>
          </w:p>
        </w:tc>
        <w:tc>
          <w:tcPr>
            <w:tcW w:w="6616" w:type="dxa"/>
            <w:tcBorders>
              <w:top w:val="single" w:color="auto" w:sz="4" w:space="0"/>
              <w:left w:val="nil"/>
              <w:bottom w:val="single" w:color="auto" w:sz="4" w:space="0"/>
              <w:right w:val="single" w:color="auto" w:sz="4" w:space="0"/>
            </w:tcBorders>
            <w:noWrap w:val="0"/>
            <w:vAlign w:val="center"/>
          </w:tcPr>
          <w:p w14:paraId="580CF5B2">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owner }}</w:t>
            </w:r>
          </w:p>
        </w:tc>
      </w:tr>
      <w:tr w14:paraId="38BAFB20">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4F8034FE">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49016259">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设定出租用途</w:t>
            </w:r>
          </w:p>
        </w:tc>
        <w:tc>
          <w:tcPr>
            <w:tcW w:w="6616" w:type="dxa"/>
            <w:tcBorders>
              <w:top w:val="single" w:color="auto" w:sz="4" w:space="0"/>
              <w:left w:val="nil"/>
              <w:bottom w:val="single" w:color="auto" w:sz="4" w:space="0"/>
              <w:right w:val="single" w:color="auto" w:sz="4" w:space="0"/>
            </w:tcBorders>
            <w:noWrap w:val="0"/>
            <w:vAlign w:val="center"/>
          </w:tcPr>
          <w:p w14:paraId="494E88E1">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办公</w:t>
            </w:r>
          </w:p>
        </w:tc>
      </w:tr>
      <w:tr w14:paraId="15FFF7A3">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51CCF191">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0D2605A6">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估价对象规模</w:t>
            </w:r>
          </w:p>
        </w:tc>
        <w:tc>
          <w:tcPr>
            <w:tcW w:w="6616" w:type="dxa"/>
            <w:tcBorders>
              <w:top w:val="single" w:color="auto" w:sz="4" w:space="0"/>
              <w:left w:val="nil"/>
              <w:bottom w:val="single" w:color="auto" w:sz="4" w:space="0"/>
              <w:right w:val="single" w:color="auto" w:sz="4" w:space="0"/>
            </w:tcBorders>
            <w:noWrap w:val="0"/>
            <w:vAlign w:val="center"/>
          </w:tcPr>
          <w:p w14:paraId="560A0E19">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 scale }}</w:t>
            </w:r>
          </w:p>
        </w:tc>
      </w:tr>
      <w:tr w14:paraId="3A6106DA">
        <w:trPr>
          <w:trHeight w:val="499" w:hRule="atLeast"/>
        </w:trPr>
        <w:tc>
          <w:tcPr>
            <w:tcW w:w="721" w:type="dxa"/>
            <w:vMerge w:val="continue"/>
            <w:tcBorders>
              <w:top w:val="single" w:color="auto" w:sz="4" w:space="0"/>
              <w:left w:val="single" w:color="auto" w:sz="4" w:space="0"/>
              <w:bottom w:val="single" w:color="auto" w:sz="4" w:space="0"/>
              <w:right w:val="single" w:color="auto" w:sz="4" w:space="0"/>
            </w:tcBorders>
            <w:noWrap w:val="0"/>
            <w:vAlign w:val="center"/>
          </w:tcPr>
          <w:p w14:paraId="3067DB80">
            <w:pPr>
              <w:jc w:val="center"/>
              <w:rPr>
                <w:rFonts w:hint="eastAsia" w:ascii="楷体" w:hAnsi="楷体" w:eastAsia="楷体" w:cs="楷体"/>
                <w:i w:val="0"/>
                <w:iCs w:val="0"/>
                <w:color w:val="auto"/>
                <w:sz w:val="20"/>
                <w:szCs w:val="20"/>
                <w:u w:val="none"/>
              </w:rPr>
            </w:pPr>
          </w:p>
        </w:tc>
        <w:tc>
          <w:tcPr>
            <w:tcW w:w="1967" w:type="dxa"/>
            <w:tcBorders>
              <w:top w:val="nil"/>
              <w:left w:val="nil"/>
              <w:bottom w:val="single" w:color="auto" w:sz="4" w:space="0"/>
              <w:right w:val="single" w:color="auto" w:sz="4" w:space="0"/>
            </w:tcBorders>
            <w:noWrap w:val="0"/>
            <w:vAlign w:val="center"/>
          </w:tcPr>
          <w:p w14:paraId="15F3F954">
            <w:pPr>
              <w:keepNext w:val="0"/>
              <w:keepLines w:val="0"/>
              <w:widowControl/>
              <w:suppressLineNumbers w:val="0"/>
              <w:jc w:val="center"/>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现使用状况</w:t>
            </w:r>
          </w:p>
        </w:tc>
        <w:tc>
          <w:tcPr>
            <w:tcW w:w="6616" w:type="dxa"/>
            <w:tcBorders>
              <w:top w:val="single" w:color="auto" w:sz="4" w:space="0"/>
              <w:left w:val="nil"/>
              <w:bottom w:val="single" w:color="auto" w:sz="4" w:space="0"/>
              <w:right w:val="single" w:color="auto" w:sz="4" w:space="0"/>
            </w:tcBorders>
            <w:noWrap w:val="0"/>
            <w:vAlign w:val="center"/>
          </w:tcPr>
          <w:p w14:paraId="5A7186C0">
            <w:pPr>
              <w:keepNext w:val="0"/>
              <w:keepLines w:val="0"/>
              <w:widowControl/>
              <w:suppressLineNumbers w:val="0"/>
              <w:jc w:val="left"/>
              <w:textAlignment w:val="center"/>
              <w:rPr>
                <w:rFonts w:hint="eastAsia" w:ascii="楷体" w:hAnsi="楷体" w:eastAsia="楷体" w:cs="楷体"/>
                <w:i w:val="0"/>
                <w:iCs w:val="0"/>
                <w:color w:val="000000"/>
                <w:sz w:val="20"/>
                <w:szCs w:val="20"/>
                <w:u w:val="none"/>
              </w:rPr>
            </w:pPr>
            <w:r>
              <w:rPr>
                <w:rFonts w:hint="eastAsia" w:ascii="楷体" w:hAnsi="楷体" w:eastAsia="楷体" w:cs="楷体"/>
                <w:i w:val="0"/>
                <w:iCs w:val="0"/>
                <w:color w:val="000000"/>
                <w:kern w:val="0"/>
                <w:sz w:val="20"/>
                <w:szCs w:val="20"/>
                <w:u w:val="none"/>
                <w:lang w:val="en-US" w:eastAsia="zh-CN" w:bidi="ar"/>
              </w:rPr>
              <w:t>至价值时点，估价对象处于空置状态。</w:t>
            </w:r>
          </w:p>
        </w:tc>
      </w:tr>
    </w:tbl>
    <w:p w14:paraId="5EB7AE88">
      <w:pPr>
        <w:keepNext w:val="0"/>
        <w:keepLines w:val="0"/>
        <w:pageBreakBefore w:val="0"/>
        <w:widowControl w:val="0"/>
        <w:kinsoku/>
        <w:wordWrap/>
        <w:overflowPunct/>
        <w:topLinePunct w:val="0"/>
        <w:autoSpaceDE/>
        <w:autoSpaceDN/>
        <w:bidi w:val="0"/>
        <w:adjustRightInd/>
        <w:snapToGrid/>
        <w:spacing w:before="156" w:beforeLines="50" w:line="40" w:lineRule="exact"/>
        <w:jc w:val="left"/>
        <w:textAlignment w:val="auto"/>
        <w:outlineLvl w:val="1"/>
        <w:rPr>
          <w:rFonts w:hint="eastAsia" w:ascii="楷体" w:hAnsi="楷体" w:eastAsia="楷体"/>
          <w:b/>
          <w:bCs/>
          <w:sz w:val="28"/>
          <w:szCs w:val="28"/>
        </w:rPr>
      </w:pPr>
      <w:bookmarkStart w:id="67" w:name="_Toc89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4AEC3E9B">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4ECC5E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权证登记情况</w:t>
            </w:r>
          </w:p>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F77BED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不动产权证号</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78F07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浙（2020）萧山区不动产权第0038943号</w:t>
            </w:r>
          </w:p>
        </w:tc>
      </w:tr>
      <w:tr w14:paraId="73CAB046">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066243A"/>
        </w:tc>
        <w:tc>
          <w:tcPr>
            <w:tcW w:w="1944" w:type="dxa"/>
            <w:tcBorders>
              <w:top w:val="nil"/>
              <w:left w:val="nil"/>
              <w:bottom w:val="single" w:color="auto" w:sz="4" w:space="0"/>
              <w:right w:val="single" w:color="auto" w:sz="4" w:space="0"/>
            </w:tcBorders>
            <w:noWrap w:val="0"/>
            <w:tcMar>
              <w:left w:w="108" w:type="dxa"/>
              <w:right w:w="108" w:type="dxa"/>
            </w:tcMar>
            <w:vAlign w:val="center"/>
          </w:tcPr>
          <w:p w14:paraId="380F8B8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C45E1C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r>
      <w:tr w14:paraId="3FD5C1D8">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B783B81"/>
        </w:tc>
        <w:tc>
          <w:tcPr>
            <w:tcW w:w="1944" w:type="dxa"/>
            <w:tcBorders>
              <w:top w:val="nil"/>
              <w:left w:val="nil"/>
              <w:bottom w:val="single" w:color="auto" w:sz="4" w:space="0"/>
              <w:right w:val="single" w:color="auto" w:sz="4" w:space="0"/>
            </w:tcBorders>
            <w:noWrap w:val="0"/>
            <w:tcMar>
              <w:left w:w="108" w:type="dxa"/>
              <w:right w:w="108" w:type="dxa"/>
            </w:tcMar>
            <w:vAlign w:val="center"/>
          </w:tcPr>
          <w:p w14:paraId="0513D9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共有情况</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C78FE8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单独所有</w:t>
            </w:r>
          </w:p>
        </w:tc>
      </w:tr>
      <w:tr w14:paraId="486EA95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FFFAE61"/>
        </w:tc>
        <w:tc>
          <w:tcPr>
            <w:tcW w:w="1944" w:type="dxa"/>
            <w:tcBorders>
              <w:top w:val="nil"/>
              <w:left w:val="nil"/>
              <w:bottom w:val="single" w:color="auto" w:sz="4" w:space="0"/>
              <w:right w:val="single" w:color="auto" w:sz="4" w:space="0"/>
            </w:tcBorders>
            <w:noWrap w:val="0"/>
            <w:tcMar>
              <w:left w:w="108" w:type="dxa"/>
              <w:right w:w="108" w:type="dxa"/>
            </w:tcMar>
            <w:vAlign w:val="center"/>
          </w:tcPr>
          <w:p w14:paraId="66BFE1C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坐落</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2DADE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萧山区北干街道萧山科创中心3幢1201室</w:t>
            </w:r>
          </w:p>
        </w:tc>
      </w:tr>
      <w:tr w14:paraId="12CE9115">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D5D516C"/>
        </w:tc>
        <w:tc>
          <w:tcPr>
            <w:tcW w:w="1944" w:type="dxa"/>
            <w:tcBorders>
              <w:top w:val="nil"/>
              <w:left w:val="nil"/>
              <w:bottom w:val="single" w:color="auto" w:sz="4" w:space="0"/>
              <w:right w:val="single" w:color="auto" w:sz="4" w:space="0"/>
            </w:tcBorders>
            <w:noWrap w:val="0"/>
            <w:tcMar>
              <w:left w:w="108" w:type="dxa"/>
              <w:right w:w="108" w:type="dxa"/>
            </w:tcMar>
            <w:vAlign w:val="center"/>
          </w:tcPr>
          <w:p w14:paraId="5E7EAA6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权利类型</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0DB6CD6">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国有建设用地使用权/房屋（构筑物）所有权</w:t>
            </w:r>
          </w:p>
        </w:tc>
      </w:tr>
      <w:tr w14:paraId="4F19F26B">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FBCBB3A"/>
        </w:tc>
        <w:tc>
          <w:tcPr>
            <w:tcW w:w="1944" w:type="dxa"/>
            <w:tcBorders>
              <w:top w:val="nil"/>
              <w:left w:val="nil"/>
              <w:bottom w:val="single" w:color="auto" w:sz="4" w:space="0"/>
              <w:right w:val="single" w:color="auto" w:sz="4" w:space="0"/>
            </w:tcBorders>
            <w:noWrap w:val="0"/>
            <w:tcMar>
              <w:left w:w="108" w:type="dxa"/>
              <w:right w:w="108" w:type="dxa"/>
            </w:tcMar>
            <w:vAlign w:val="center"/>
          </w:tcPr>
          <w:p w14:paraId="2A39D6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权利性质</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C56A6D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出让/自建房</w:t>
            </w:r>
          </w:p>
        </w:tc>
      </w:tr>
      <w:tr w14:paraId="5D735291">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462143E"/>
        </w:tc>
        <w:tc>
          <w:tcPr>
            <w:tcW w:w="1944" w:type="dxa"/>
            <w:tcBorders>
              <w:top w:val="nil"/>
              <w:left w:val="nil"/>
              <w:bottom w:val="single" w:color="auto" w:sz="4" w:space="0"/>
              <w:right w:val="single" w:color="auto" w:sz="4" w:space="0"/>
            </w:tcBorders>
            <w:noWrap w:val="0"/>
            <w:tcMar>
              <w:left w:w="108" w:type="dxa"/>
              <w:right w:w="108" w:type="dxa"/>
            </w:tcMar>
            <w:vAlign w:val="center"/>
          </w:tcPr>
          <w:p w14:paraId="739F3B1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登记用途</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3D6BF9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商服用地/经营</w:t>
            </w:r>
          </w:p>
        </w:tc>
      </w:tr>
      <w:tr w14:paraId="6E231529">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B35DE76"/>
        </w:tc>
        <w:tc>
          <w:tcPr>
            <w:tcW w:w="1944" w:type="dxa"/>
            <w:tcBorders>
              <w:top w:val="nil"/>
              <w:left w:val="nil"/>
              <w:bottom w:val="single" w:color="auto" w:sz="4" w:space="0"/>
              <w:right w:val="single" w:color="auto" w:sz="4" w:space="0"/>
            </w:tcBorders>
            <w:noWrap w:val="0"/>
            <w:tcMar>
              <w:left w:w="108" w:type="dxa"/>
              <w:right w:w="108" w:type="dxa"/>
            </w:tcMar>
            <w:vAlign w:val="center"/>
          </w:tcPr>
          <w:p w14:paraId="58E9B7D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证载面积</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F7FC44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土地使用权面积145.6㎡/房屋建筑面积1311.57㎡</w:t>
            </w:r>
          </w:p>
        </w:tc>
      </w:tr>
      <w:tr w14:paraId="6637BD5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0321147"/>
        </w:tc>
        <w:tc>
          <w:tcPr>
            <w:tcW w:w="1944" w:type="dxa"/>
            <w:tcBorders>
              <w:top w:val="nil"/>
              <w:left w:val="nil"/>
              <w:bottom w:val="single" w:color="auto" w:sz="4" w:space="0"/>
              <w:right w:val="single" w:color="auto" w:sz="4" w:space="0"/>
            </w:tcBorders>
            <w:noWrap w:val="0"/>
            <w:tcMar>
              <w:left w:w="108" w:type="dxa"/>
              <w:right w:w="108" w:type="dxa"/>
            </w:tcMar>
            <w:vAlign w:val="center"/>
          </w:tcPr>
          <w:p w14:paraId="5D9546A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使用期限</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886884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国有建设用地使用权2054年06月27日止</w:t>
            </w:r>
          </w:p>
        </w:tc>
      </w:tr>
    </w:tbl>
    <w:p w14:paraId="5B4E6ACC">
      <w:pPr>
        <w:keepNext w:val="0"/>
        <w:keepLines w:val="0"/>
        <w:pageBreakBefore w:val="0"/>
        <w:widowControl w:val="0"/>
        <w:kinsoku/>
        <w:wordWrap/>
        <w:overflowPunct/>
        <w:topLinePunct w:val="0"/>
        <w:autoSpaceDE/>
        <w:autoSpaceDN/>
        <w:bidi w:val="0"/>
        <w:adjustRightInd/>
        <w:snapToGrid/>
        <w:spacing w:before="156" w:beforeLines="50" w:line="40" w:lineRule="exact"/>
        <w:jc w:val="left"/>
        <w:textAlignment w:val="auto"/>
        <w:outlineLvl w:val="1"/>
        <w:rPr>
          <w:rFonts w:hint="eastAsia" w:ascii="楷体" w:hAnsi="楷体" w:eastAsia="楷体"/>
          <w:b/>
          <w:bCs/>
          <w:sz w:val="28"/>
          <w:szCs w:val="28"/>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249DE3D9">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2EBAD2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权益状况</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5ED43D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使用限制</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578C887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r w14:paraId="42065342">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910CFA7"/>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BEEF4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物业服务水平</w:t>
            </w:r>
          </w:p>
        </w:tc>
        <w:tc>
          <w:tcPr>
            <w:tcW w:w="6615" w:type="dxa"/>
            <w:tcBorders>
              <w:top w:val="nil"/>
              <w:left w:val="nil"/>
              <w:bottom w:val="single" w:color="auto" w:sz="4" w:space="0"/>
              <w:right w:val="single" w:color="auto" w:sz="4" w:space="0"/>
            </w:tcBorders>
            <w:noWrap w:val="0"/>
            <w:tcMar>
              <w:left w:w="108" w:type="dxa"/>
              <w:right w:w="108" w:type="dxa"/>
            </w:tcMar>
            <w:vAlign w:val="center"/>
          </w:tcPr>
          <w:p w14:paraId="42BBD764">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卫生、安全管理到位，人员服务态度较好。</w:t>
            </w:r>
          </w:p>
        </w:tc>
      </w:tr>
      <w:tr w14:paraId="6C8A4982">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9367333"/>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611B0C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相邻关系限制</w:t>
            </w:r>
          </w:p>
        </w:tc>
        <w:tc>
          <w:tcPr>
            <w:tcW w:w="6615" w:type="dxa"/>
            <w:tcBorders>
              <w:top w:val="nil"/>
              <w:left w:val="nil"/>
              <w:bottom w:val="single" w:color="auto" w:sz="4" w:space="0"/>
              <w:right w:val="single" w:color="auto" w:sz="4" w:space="0"/>
            </w:tcBorders>
            <w:noWrap w:val="0"/>
            <w:tcMar>
              <w:left w:w="108" w:type="dxa"/>
              <w:right w:w="108" w:type="dxa"/>
            </w:tcMar>
            <w:vAlign w:val="center"/>
          </w:tcPr>
          <w:p w14:paraId="05F415FE">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无地役权，没有相邻权受限或纠纷。</w:t>
            </w:r>
          </w:p>
        </w:tc>
      </w:tr>
    </w:tbl>
    <w:p w14:paraId="411AA617"/>
    <w:p w14:paraId="715DAE1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65AA50E2">
      <w:pPr>
        <w:spacing w:line="560" w:lineRule="exact"/>
        <w:ind w:firstLine="560" w:firstLineChars="200"/>
        <w:jc w:val="left"/>
      </w:pPr>
      <w:bookmarkStart w:id="68" w:name="_Toc221710861_ai"/>
      <w:r>
        <w:rPr>
          <w:rFonts w:hint="eastAsia" w:ascii="楷体" w:hAnsi="楷体" w:eastAsia="楷体" w:cs="宋体"/>
          <w:kern w:val="2"/>
          <w:sz w:val="28"/>
          <w:szCs w:val="28"/>
          <w:lang w:val="en-US" w:eastAsia="zh-CN" w:bidi="ar-SA"/>
        </w:rPr>
        <w:t>2026年3月26日。</w:t>
      </w:r>
      <w:bookmarkEnd w:id="68"/>
    </w:p>
    <w:p w14:paraId="6E31E31A">
      <w:pPr>
        <w:spacing w:line="560" w:lineRule="exact"/>
        <w:ind w:firstLine="560" w:firstLineChars="200"/>
        <w:jc w:val="left"/>
        <w:rPr>
          <w:rFonts w:hint="eastAsia" w:ascii="楷体" w:hAnsi="楷体" w:eastAsia="楷体"/>
          <w:bCs/>
          <w:kern w:val="2"/>
          <w:sz w:val="28"/>
          <w:szCs w:val="28"/>
          <w:lang w:val="en-US" w:eastAsia="zh-CN" w:bidi="ar-SA"/>
        </w:rPr>
      </w:pPr>
      <w:bookmarkStart w:id="69" w:name="_Toc11524"/>
      <w:bookmarkStart w:id="70" w:name="_Toc221710862"/>
      <w:bookmarkStart w:id="71" w:name="_Toc484941667"/>
      <w:bookmarkStart w:id="72" w:name="_Toc505087759"/>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因本次估价目的为确定房地产租赁价值提供参考依据。经与估价委托人协商，价值时点为完成估价对象查勘之日，故本次估价以实地查勘之日2026年3月26日作为价值时点。</w:t>
      </w:r>
    </w:p>
    <w:p w14:paraId="08A424E6">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0F56AA93">
      <w:pPr>
        <w:spacing w:line="560" w:lineRule="exact"/>
        <w:ind w:firstLine="600"/>
        <w:rPr>
          <w:rFonts w:hint="eastAsia" w:ascii="楷体" w:hAnsi="楷体" w:eastAsia="楷体"/>
          <w:sz w:val="28"/>
          <w:szCs w:val="28"/>
        </w:rPr>
      </w:pPr>
      <w:r>
        <w:rPr>
          <w:rFonts w:hint="eastAsia" w:ascii="楷体" w:hAnsi="楷体" w:eastAsia="楷体"/>
          <w:sz w:val="28"/>
          <w:szCs w:val="28"/>
        </w:rPr>
        <w:t>1.价值名称：市场租赁价值。</w:t>
      </w:r>
    </w:p>
    <w:p w14:paraId="30FEF898">
      <w:pPr>
        <w:spacing w:line="560" w:lineRule="exact"/>
        <w:ind w:firstLine="600"/>
        <w:rPr>
          <w:rFonts w:hint="eastAsia" w:ascii="楷体" w:hAnsi="楷体" w:eastAsia="楷体"/>
          <w:sz w:val="28"/>
          <w:szCs w:val="28"/>
        </w:rPr>
      </w:pPr>
      <w:r>
        <w:rPr>
          <w:rFonts w:hint="eastAsia" w:ascii="楷体" w:hAnsi="楷体" w:eastAsia="楷体"/>
          <w:sz w:val="28"/>
          <w:szCs w:val="28"/>
        </w:rPr>
        <w:t>2.价值内涵：是指在公开市场上由熟悉情况且不受强迫的租赁双方，在租赁条件下自愿达成的在价值时点的最可能的租赁金额。</w:t>
      </w:r>
    </w:p>
    <w:p w14:paraId="7B6D9312">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本次估价范围包含房屋及其分摊建设用地使用权，不包含水电费、网费、物业费、债权债务、特许经营权等其他权利。</w:t>
      </w:r>
    </w:p>
    <w:p w14:paraId="276FB248">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27787B76">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3C4D7043">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7D8276F1">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310E0E9">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1FE81ABA">
      <w:pPr>
        <w:spacing w:before="156" w:beforeLines="50" w:line="560" w:lineRule="exact"/>
        <w:jc w:val="left"/>
        <w:outlineLvl w:val="1"/>
        <w:rPr>
          <w:rFonts w:hint="eastAsia" w:ascii="楷体" w:hAnsi="楷体" w:eastAsia="楷体"/>
          <w:b/>
          <w:bCs/>
          <w:sz w:val="28"/>
          <w:szCs w:val="28"/>
        </w:rPr>
      </w:pPr>
      <w:bookmarkStart w:id="73" w:name="_Toc221710863"/>
      <w:bookmarkStart w:id="74" w:name="_Toc484941668"/>
      <w:bookmarkStart w:id="75" w:name="_Toc505087760"/>
      <w:bookmarkStart w:id="76" w:name="_Toc8087"/>
      <w:r>
        <w:rPr>
          <w:rFonts w:hint="eastAsia" w:ascii="楷体" w:hAnsi="楷体" w:eastAsia="楷体"/>
          <w:b/>
          <w:bCs/>
          <w:sz w:val="28"/>
          <w:szCs w:val="28"/>
        </w:rPr>
        <w:t>七、估价原则</w:t>
      </w:r>
      <w:bookmarkEnd w:id="73"/>
      <w:bookmarkEnd w:id="74"/>
      <w:bookmarkEnd w:id="75"/>
      <w:bookmarkEnd w:id="76"/>
    </w:p>
    <w:p w14:paraId="247E6E56">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4C47EFF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1.遵循独立、客观、公正原则，评估价值应为对各方估价利害关系人均是公平合理的价值或价格；</w:t>
      </w:r>
    </w:p>
    <w:p w14:paraId="18AD707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2.遵循合法原则，评估价值应为在依法判定的估价对象状况下的价值或价格；</w:t>
      </w:r>
    </w:p>
    <w:p w14:paraId="164079E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3.遵循价值时点原则，评估价值应为在根据估价目的确定的某一特定时间的价值或价格；</w:t>
      </w:r>
    </w:p>
    <w:p w14:paraId="46F9C42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4.遵循替代原则，评估价值与估价对象的类似房地产在同等条件下的价值或价格偏差应在合理范围内；</w:t>
      </w:r>
    </w:p>
    <w:p w14:paraId="75F865F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1DE7D110">
      <w:pPr>
        <w:spacing w:before="156" w:beforeLines="50" w:line="560" w:lineRule="exact"/>
        <w:jc w:val="left"/>
        <w:outlineLvl w:val="1"/>
        <w:rPr>
          <w:rFonts w:hint="eastAsia" w:ascii="楷体" w:hAnsi="楷体" w:eastAsia="楷体"/>
          <w:b/>
          <w:bCs/>
          <w:sz w:val="28"/>
          <w:szCs w:val="28"/>
        </w:rPr>
      </w:pPr>
      <w:bookmarkStart w:id="77" w:name="_Toc484941669"/>
      <w:bookmarkStart w:id="78" w:name="_Toc505087761"/>
      <w:bookmarkStart w:id="79" w:name="_Toc6137"/>
      <w:bookmarkStart w:id="80" w:name="_Toc221710864"/>
      <w:r>
        <w:rPr>
          <w:rFonts w:hint="eastAsia" w:ascii="楷体" w:hAnsi="楷体" w:eastAsia="楷体"/>
          <w:b/>
          <w:bCs/>
          <w:sz w:val="28"/>
          <w:szCs w:val="28"/>
        </w:rPr>
        <w:t>八、估价依据</w:t>
      </w:r>
      <w:bookmarkEnd w:id="77"/>
      <w:bookmarkEnd w:id="78"/>
      <w:bookmarkEnd w:id="79"/>
      <w:bookmarkEnd w:id="80"/>
    </w:p>
    <w:p w14:paraId="1C33478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1.本次估价所依据的有关法律、法规、司法解释和部门规章</w:t>
      </w:r>
    </w:p>
    <w:p w14:paraId="6A2B4F7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5BE2E7B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1DD88FD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6630150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36DEA58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27BAD2D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2.本次估价采用的技术规程</w:t>
      </w:r>
    </w:p>
    <w:p w14:paraId="6B6ADF9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68DA8BE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3AA53512">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0930A58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3.估价委托人提供的有关资料</w:t>
      </w:r>
    </w:p>
    <w:p w14:paraId="06963EC3">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（1）《委托评估协议书》、《不动产权证》复印件；</w:t>
      </w:r>
    </w:p>
    <w:p w14:paraId="5DDE5DD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w:t>
      </w:r>
      <w:r>
        <w:rPr>
          <w:rFonts w:hint="eastAsia" w:ascii="楷体" w:hAnsi="楷体" w:eastAsia="楷体"/>
          <w:bCs/>
          <w:sz w:val="28"/>
          <w:szCs w:val="28"/>
          <w:lang w:val="en-US" w:eastAsia="zh-CN"/>
        </w:rPr>
        <w:t>2</w:t>
      </w:r>
      <w:r>
        <w:rPr>
          <w:rFonts w:hint="eastAsia" w:ascii="楷体" w:hAnsi="楷体" w:eastAsia="楷体"/>
          <w:bCs/>
          <w:sz w:val="28"/>
          <w:szCs w:val="28"/>
        </w:rPr>
        <w:t>）其他有关资料。</w:t>
      </w:r>
    </w:p>
    <w:p w14:paraId="639953D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 xml:space="preserve">4.注册房地产估价师现场勘察资料与估价机构所搜集掌握的有关资料。  </w:t>
      </w:r>
      <w:bookmarkStart w:id="81" w:name="_Toc484941670"/>
      <w:bookmarkStart w:id="82" w:name="_Toc505087762"/>
    </w:p>
    <w:p w14:paraId="02CC43DF">
      <w:pPr>
        <w:spacing w:before="156" w:beforeLines="50" w:line="560" w:lineRule="exact"/>
        <w:jc w:val="left"/>
        <w:outlineLvl w:val="1"/>
        <w:rPr>
          <w:rFonts w:hint="eastAsia" w:ascii="楷体" w:hAnsi="楷体" w:eastAsia="楷体"/>
          <w:b/>
          <w:bCs/>
          <w:sz w:val="28"/>
          <w:szCs w:val="28"/>
        </w:rPr>
      </w:pPr>
      <w:bookmarkStart w:id="83" w:name="_Toc221710865"/>
      <w:bookmarkStart w:id="84" w:name="_Toc31282"/>
      <w:r>
        <w:rPr>
          <w:rFonts w:hint="eastAsia" w:ascii="楷体" w:hAnsi="楷体" w:eastAsia="楷体"/>
          <w:b/>
          <w:bCs/>
          <w:sz w:val="28"/>
          <w:szCs w:val="28"/>
        </w:rPr>
        <w:t>九、估价方法</w:t>
      </w:r>
      <w:bookmarkEnd w:id="81"/>
      <w:bookmarkEnd w:id="82"/>
      <w:bookmarkEnd w:id="83"/>
      <w:bookmarkEnd w:id="84"/>
    </w:p>
    <w:p w14:paraId="5C9A0EDA">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0AFD3219">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28A1D40C">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02FA2450">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价值折算法是选取适宜方法求得估价对象房地产市场价值或价格，然后确定估价对象报酬率或资本化率，选用适当的数学公式求取折算系数，计算房地产净收益，加上运营费、相关税费等得出房地产租金的方法。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14A0F77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剩余法是根据房地产经营产生的经营收入，扣除经营成本和经营利润，或根据改造完成后的房地产租赁收入，扣除需投入的改造成本，求取房地产租金的方法。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76626C44">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0470EE5C">
      <w:pPr>
        <w:spacing w:before="156" w:beforeLines="50" w:line="560" w:lineRule="exact"/>
        <w:jc w:val="left"/>
        <w:outlineLvl w:val="1"/>
        <w:rPr>
          <w:rFonts w:hint="eastAsia" w:ascii="楷体" w:hAnsi="楷体" w:eastAsia="楷体"/>
          <w:b/>
          <w:bCs/>
          <w:sz w:val="28"/>
          <w:szCs w:val="28"/>
        </w:rPr>
      </w:pPr>
      <w:bookmarkStart w:id="88" w:name="_Toc221710866"/>
      <w:bookmarkStart w:id="89" w:name="_Toc32348"/>
      <w:r>
        <w:rPr>
          <w:rFonts w:hint="eastAsia" w:ascii="楷体" w:hAnsi="楷体" w:eastAsia="楷体"/>
          <w:b/>
          <w:bCs/>
          <w:sz w:val="28"/>
          <w:szCs w:val="28"/>
        </w:rPr>
        <w:t>十、估价结果</w:t>
      </w:r>
      <w:bookmarkEnd w:id="86"/>
      <w:bookmarkEnd w:id="87"/>
      <w:bookmarkEnd w:id="88"/>
      <w:bookmarkEnd w:id="89"/>
    </w:p>
    <w:p w14:paraId="682AA50F">
      <w:pPr>
        <w:snapToGrid w:val="0"/>
        <w:spacing w:line="540" w:lineRule="exact"/>
        <w:ind w:left="71" w:leftChars="0" w:firstLine="560" w:firstLineChars="200"/>
        <w:jc w:val="left"/>
      </w:pPr>
      <w:bookmarkStart w:id="90" w:name="_Toc221710867"/>
      <w:bookmarkStart w:id="91" w:name="_Toc484941672"/>
      <w:bookmarkStart w:id="92" w:name="_Toc2703"/>
      <w:bookmarkStart w:id="93" w:name="_Toc505087764"/>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04AEBC48">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54B37DFC">
        <w:trPr>
          <w:trHeight w:val="611" w:hRule="exact"/>
        </w:trPr>
        <w:tc>
          <w:tcPr>
            <w:tcW w:w="1640" w:type="dxa"/>
            <w:noWrap w:val="0"/>
            <w:vAlign w:val="center"/>
          </w:tcPr>
          <w:p w14:paraId="00E770C7">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50B73F91">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758CD5D9">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0BD63A98">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38EF1403">
        <w:trPr>
          <w:trHeight w:val="1259" w:hRule="exact"/>
        </w:trPr>
        <w:tc>
          <w:tcPr>
            <w:tcW w:w="1640" w:type="dxa"/>
            <w:noWrap w:val="0"/>
            <w:vAlign w:val="center"/>
          </w:tcPr>
          <w:p w14:paraId="653EEAED">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50AA3126">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0E6E017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A5DB0EF">
            <w:pPr>
              <w:tabs>
                <w:tab w:val="left" w:pos="8931"/>
                <w:tab w:val="left" w:pos="9214"/>
                <w:tab w:val="left" w:pos="9240"/>
              </w:tabs>
              <w:spacing w:line="440" w:lineRule="exact"/>
              <w:ind w:left="105" w:leftChars="50" w:right="168" w:rightChars="80"/>
              <w:rPr>
                <w:rFonts w:ascii="楷体" w:hAnsi="楷体" w:eastAsia="楷体"/>
                <w:sz w:val="28"/>
              </w:rPr>
            </w:pPr>
          </w:p>
        </w:tc>
      </w:tr>
      <w:tr w14:paraId="0AFDDAD6">
        <w:trPr>
          <w:trHeight w:val="1406" w:hRule="exact"/>
        </w:trPr>
        <w:tc>
          <w:tcPr>
            <w:tcW w:w="1640" w:type="dxa"/>
            <w:noWrap w:val="0"/>
            <w:vAlign w:val="center"/>
          </w:tcPr>
          <w:p w14:paraId="5D052ECB">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6C81C618">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116B2FFD">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244D20D9">
            <w:pPr>
              <w:tabs>
                <w:tab w:val="left" w:pos="8931"/>
                <w:tab w:val="left" w:pos="9214"/>
                <w:tab w:val="left" w:pos="9240"/>
              </w:tabs>
              <w:spacing w:line="440" w:lineRule="exact"/>
              <w:ind w:left="105" w:leftChars="50" w:right="168" w:rightChars="80"/>
              <w:rPr>
                <w:rFonts w:ascii="楷体" w:hAnsi="楷体" w:eastAsia="楷体"/>
                <w:sz w:val="28"/>
              </w:rPr>
            </w:pPr>
          </w:p>
        </w:tc>
      </w:tr>
      <w:bookmarkEnd w:id="94"/>
    </w:tbl>
    <w:p w14:paraId="521DF880">
      <w:bookmarkStart w:id="96" w:name="_Toc484941673"/>
      <w:bookmarkStart w:id="97" w:name="_Toc505087765"/>
      <w:bookmarkStart w:id="98" w:name="_Toc221710869"/>
      <w:bookmarkStart w:id="99" w:name="_Toc4175"/>
    </w:p>
    <w:p w14:paraId="3647E2D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6"/>
      <w:bookmarkEnd w:id="97"/>
      <w:bookmarkEnd w:id="98"/>
      <w:bookmarkEnd w:id="99"/>
    </w:p>
    <w:p w14:paraId="5C6E5C9B">
      <w:pPr>
        <w:spacing w:line="560" w:lineRule="exact"/>
        <w:ind w:firstLine="560" w:firstLineChars="200"/>
        <w:jc w:val="left"/>
        <w:rPr>
          <w:rFonts w:hint="eastAsia" w:ascii="楷体" w:hAnsi="楷体" w:eastAsia="楷体"/>
          <w:bCs/>
          <w:kern w:val="2"/>
          <w:sz w:val="28"/>
          <w:szCs w:val="28"/>
          <w:lang w:val="en-US" w:eastAsia="zh-CN" w:bidi="ar-SA"/>
        </w:rPr>
      </w:pPr>
      <w:bookmarkStart w:id="100" w:name="_Toc484941674"/>
      <w:bookmarkStart w:id="101" w:name="_Toc505087766"/>
      <w:bookmarkStart w:id="102" w:name="_Toc25269"/>
      <w:bookmarkStart w:id="103" w:name="_Toc221710870"/>
      <w:r>
        <w:rPr>
          <w:rFonts w:hint="eastAsia" w:ascii="楷体" w:hAnsi="楷体" w:eastAsia="楷体" w:cs="宋体"/>
          <w:kern w:val="2"/>
          <w:sz w:val="28"/>
          <w:szCs w:val="28"/>
          <w:lang w:val="en-US" w:eastAsia="zh-CN" w:bidi="ar-SA"/>
        </w:rPr>
        <w:t>2026年3月26日。</w:t>
      </w:r>
    </w:p>
    <w:p w14:paraId="21A60D78">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0"/>
      <w:bookmarkEnd w:id="101"/>
      <w:bookmarkEnd w:id="102"/>
      <w:bookmarkEnd w:id="103"/>
    </w:p>
    <w:p w14:paraId="247A4458">
      <w:pPr>
        <w:spacing w:line="560" w:lineRule="exact"/>
        <w:ind w:firstLine="560" w:firstLineChars="200"/>
        <w:jc w:val="left"/>
        <w:rPr>
          <w:rFonts w:hint="eastAsia" w:ascii="楷体" w:hAnsi="楷体" w:eastAsia="楷体"/>
          <w:bCs/>
          <w:kern w:val="2"/>
          <w:sz w:val="28"/>
          <w:szCs w:val="28"/>
          <w:lang w:val="en-US" w:eastAsia="zh-CN" w:bidi="ar-SA"/>
        </w:rPr>
      </w:pPr>
      <w:bookmarkStart w:id="104" w:name="_Toc221710871"/>
      <w:bookmarkStart w:id="105" w:name="_Toc505087769"/>
      <w:bookmarkStart w:id="106" w:name="_Toc484941677"/>
      <w:r>
        <w:rPr>
          <w:rFonts w:hint="eastAsia" w:ascii="楷体" w:hAnsi="楷体" w:eastAsia="楷体" w:cs="宋体"/>
          <w:kern w:val="2"/>
          <w:sz w:val="28"/>
          <w:szCs w:val="28"/>
          <w:lang w:val="en-US" w:eastAsia="zh-CN" w:bidi="ar-SA"/>
        </w:rPr>
        <w:t>{{ work_period }}。</w:t>
      </w:r>
    </w:p>
    <w:p w14:paraId="4FB68E86">
      <w:pPr>
        <w:spacing w:before="156" w:beforeLines="50" w:after="156" w:afterLines="50" w:line="360" w:lineRule="auto"/>
        <w:jc w:val="center"/>
        <w:outlineLvl w:val="0"/>
        <w:rPr>
          <w:rFonts w:hint="eastAsia" w:ascii="楷体" w:hAnsi="楷体" w:eastAsia="楷体"/>
          <w:b/>
          <w:sz w:val="48"/>
          <w:szCs w:val="48"/>
        </w:rPr>
      </w:pPr>
    </w:p>
    <w:p w14:paraId="23C03DD7">
      <w:pPr>
        <w:spacing w:before="156" w:beforeLines="50" w:after="156" w:afterLines="50" w:line="360" w:lineRule="auto"/>
        <w:jc w:val="center"/>
        <w:outlineLvl w:val="0"/>
        <w:rPr>
          <w:rFonts w:hint="eastAsia" w:ascii="楷体" w:hAnsi="楷体" w:eastAsia="楷体"/>
          <w:b/>
          <w:sz w:val="48"/>
          <w:szCs w:val="48"/>
        </w:rPr>
      </w:pPr>
    </w:p>
    <w:p w14:paraId="7AD6A8F4">
      <w:pPr>
        <w:spacing w:before="156" w:beforeLines="50" w:after="156" w:afterLines="50" w:line="360" w:lineRule="auto"/>
        <w:jc w:val="center"/>
        <w:outlineLvl w:val="0"/>
        <w:rPr>
          <w:rFonts w:hint="eastAsia" w:ascii="楷体" w:hAnsi="楷体" w:eastAsia="楷体"/>
          <w:b/>
          <w:sz w:val="48"/>
          <w:szCs w:val="48"/>
        </w:rPr>
      </w:pPr>
    </w:p>
    <w:p w14:paraId="184B065A">
      <w:pPr>
        <w:spacing w:before="156" w:beforeLines="50" w:after="156" w:afterLines="50" w:line="360" w:lineRule="auto"/>
        <w:jc w:val="center"/>
        <w:outlineLvl w:val="0"/>
        <w:rPr>
          <w:rFonts w:hint="eastAsia" w:ascii="楷体" w:hAnsi="楷体" w:eastAsia="楷体"/>
          <w:b/>
          <w:sz w:val="48"/>
          <w:szCs w:val="48"/>
        </w:rPr>
      </w:pPr>
    </w:p>
    <w:p w14:paraId="4FE8AE86">
      <w:pPr>
        <w:spacing w:before="156" w:beforeLines="50" w:after="156" w:afterLines="50" w:line="360" w:lineRule="auto"/>
        <w:jc w:val="center"/>
        <w:outlineLvl w:val="0"/>
        <w:rPr>
          <w:rFonts w:hint="eastAsia" w:ascii="楷体" w:hAnsi="楷体" w:eastAsia="楷体"/>
          <w:b/>
          <w:sz w:val="48"/>
          <w:szCs w:val="48"/>
        </w:rPr>
      </w:pPr>
    </w:p>
    <w:p w14:paraId="35C50C25">
      <w:pPr>
        <w:spacing w:before="156" w:beforeLines="50" w:after="156" w:afterLines="50" w:line="360" w:lineRule="auto"/>
        <w:jc w:val="center"/>
        <w:outlineLvl w:val="0"/>
        <w:rPr>
          <w:rFonts w:hint="eastAsia" w:ascii="楷体" w:hAnsi="楷体" w:eastAsia="楷体"/>
          <w:b/>
          <w:sz w:val="48"/>
          <w:szCs w:val="48"/>
        </w:rPr>
      </w:pPr>
    </w:p>
    <w:p w14:paraId="18A90656">
      <w:pPr>
        <w:spacing w:before="156" w:beforeLines="50" w:after="156" w:afterLines="50" w:line="360" w:lineRule="auto"/>
        <w:jc w:val="center"/>
        <w:outlineLvl w:val="0"/>
        <w:rPr>
          <w:rFonts w:hint="eastAsia" w:ascii="楷体" w:hAnsi="楷体" w:eastAsia="楷体"/>
          <w:b/>
          <w:sz w:val="48"/>
          <w:szCs w:val="48"/>
        </w:rPr>
      </w:pPr>
    </w:p>
    <w:p w14:paraId="36EC52E7">
      <w:pPr>
        <w:spacing w:before="156" w:beforeLines="50" w:after="156" w:afterLines="50" w:line="360" w:lineRule="auto"/>
        <w:jc w:val="center"/>
        <w:outlineLvl w:val="0"/>
        <w:rPr>
          <w:rFonts w:hint="eastAsia" w:ascii="楷体" w:hAnsi="楷体" w:eastAsia="楷体"/>
          <w:b/>
          <w:sz w:val="48"/>
          <w:szCs w:val="48"/>
        </w:rPr>
      </w:pPr>
    </w:p>
    <w:p w14:paraId="3569FBF2">
      <w:pPr>
        <w:spacing w:before="156" w:beforeLines="50" w:after="156" w:afterLines="50" w:line="360" w:lineRule="auto"/>
        <w:jc w:val="center"/>
        <w:outlineLvl w:val="0"/>
        <w:rPr>
          <w:rFonts w:hint="eastAsia" w:ascii="楷体" w:hAnsi="楷体" w:eastAsia="楷体"/>
          <w:b/>
          <w:sz w:val="48"/>
          <w:szCs w:val="48"/>
        </w:rPr>
      </w:pPr>
    </w:p>
    <w:p w14:paraId="15394991">
      <w:pPr>
        <w:spacing w:before="156" w:beforeLines="50" w:after="156" w:afterLines="50" w:line="360" w:lineRule="auto"/>
        <w:jc w:val="center"/>
        <w:outlineLvl w:val="0"/>
        <w:rPr>
          <w:rFonts w:hint="eastAsia" w:ascii="楷体" w:hAnsi="楷体" w:eastAsia="楷体"/>
          <w:b/>
          <w:sz w:val="48"/>
          <w:szCs w:val="48"/>
        </w:rPr>
      </w:pPr>
    </w:p>
    <w:p w14:paraId="391B673A">
      <w:pPr>
        <w:spacing w:before="156" w:beforeLines="50" w:after="156" w:afterLines="50" w:line="360" w:lineRule="auto"/>
        <w:jc w:val="center"/>
        <w:outlineLvl w:val="0"/>
        <w:rPr>
          <w:rFonts w:hint="eastAsia" w:ascii="楷体" w:hAnsi="楷体" w:eastAsia="楷体"/>
          <w:b/>
          <w:sz w:val="48"/>
          <w:szCs w:val="48"/>
        </w:rPr>
      </w:pPr>
    </w:p>
    <w:p w14:paraId="439E242F">
      <w:pPr>
        <w:spacing w:before="156" w:beforeLines="50" w:after="156" w:afterLines="50" w:line="360" w:lineRule="auto"/>
        <w:jc w:val="center"/>
        <w:outlineLvl w:val="0"/>
        <w:rPr>
          <w:rFonts w:hint="eastAsia" w:ascii="楷体" w:hAnsi="楷体" w:eastAsia="楷体"/>
          <w:b/>
          <w:sz w:val="48"/>
          <w:szCs w:val="48"/>
        </w:rPr>
      </w:pPr>
    </w:p>
    <w:p w14:paraId="6D235354">
      <w:pPr>
        <w:spacing w:before="156" w:beforeLines="50" w:after="156" w:afterLines="50" w:line="360" w:lineRule="auto"/>
        <w:jc w:val="center"/>
        <w:outlineLvl w:val="0"/>
        <w:rPr>
          <w:rFonts w:hint="eastAsia" w:ascii="楷体" w:hAnsi="楷体" w:eastAsia="楷体"/>
          <w:b/>
          <w:sz w:val="48"/>
          <w:szCs w:val="48"/>
        </w:rPr>
      </w:pPr>
      <w:bookmarkStart w:id="107" w:name="_Toc22660"/>
      <w:r>
        <w:rPr>
          <w:rFonts w:hint="eastAsia" w:ascii="楷体" w:hAnsi="楷体" w:eastAsia="楷体"/>
          <w:b/>
          <w:sz w:val="48"/>
          <w:szCs w:val="48"/>
        </w:rPr>
        <w:t>附 件</w:t>
      </w:r>
      <w:bookmarkEnd w:id="104"/>
      <w:bookmarkEnd w:id="107"/>
    </w:p>
    <w:bookmarkEnd w:id="105"/>
    <w:bookmarkEnd w:id="106"/>
    <w:p w14:paraId="2647646A">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0201B762">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54E75A7E">
      <w:pPr>
        <w:spacing w:line="500" w:lineRule="exact"/>
        <w:ind w:left="-174" w:leftChars="-83" w:right="-71" w:rightChars="-34" w:firstLine="599" w:firstLineChars="214"/>
        <w:rPr>
          <w:rFonts w:hint="eastAsia" w:ascii="楷体" w:hAnsi="楷体" w:eastAsia="楷体" w:cs="宋体"/>
          <w:kern w:val="2"/>
          <w:sz w:val="28"/>
          <w:szCs w:val="28"/>
          <w:lang w:val="en-US" w:eastAsia="zh-CN" w:bidi="ar-SA"/>
        </w:rPr>
      </w:pPr>
      <w:r>
        <w:rPr>
          <w:rFonts w:hint="eastAsia" w:ascii="楷体" w:hAnsi="楷体" w:eastAsia="楷体" w:cs="宋体"/>
          <w:kern w:val="2"/>
          <w:sz w:val="28"/>
          <w:szCs w:val="28"/>
          <w:lang w:val="en-US" w:eastAsia="zh-CN" w:bidi="ar-SA"/>
        </w:rPr>
        <w:t>三、《委托评估协议书》、《不动产权证》复印件</w:t>
      </w:r>
    </w:p>
    <w:p w14:paraId="34EE2CC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四</w:t>
      </w:r>
      <w:r>
        <w:rPr>
          <w:rFonts w:hint="eastAsia" w:ascii="楷体" w:hAnsi="楷体" w:eastAsia="楷体" w:cs="宋体"/>
          <w:sz w:val="28"/>
          <w:szCs w:val="28"/>
        </w:rPr>
        <w:t>、估价人员资质证书复印件</w:t>
      </w:r>
    </w:p>
    <w:p w14:paraId="4936D0E8">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155C79C6">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0B1B6D28">
      <w:pPr>
        <w:rPr>
          <w:rFonts w:hint="eastAsia" w:ascii="楷体" w:hAnsi="楷体" w:eastAsia="楷体" w:cs="仿宋"/>
          <w:bCs/>
          <w:sz w:val="28"/>
          <w:szCs w:val="28"/>
        </w:rPr>
      </w:pPr>
    </w:p>
    <w:p w14:paraId="1A75FC4A">
      <w:pPr>
        <w:rPr>
          <w:rFonts w:hint="eastAsia" w:ascii="楷体" w:hAnsi="楷体" w:eastAsia="楷体" w:cs="仿宋"/>
          <w:bCs/>
          <w:sz w:val="28"/>
          <w:szCs w:val="28"/>
        </w:rPr>
      </w:pPr>
    </w:p>
    <w:p w14:paraId="349F9A36">
      <w:pPr>
        <w:rPr>
          <w:rFonts w:hint="eastAsia" w:ascii="楷体" w:hAnsi="楷体" w:eastAsia="楷体" w:cs="仿宋"/>
          <w:bCs/>
          <w:sz w:val="28"/>
          <w:szCs w:val="28"/>
        </w:rPr>
      </w:pPr>
    </w:p>
    <w:p w14:paraId="47B2B764">
      <w:pPr>
        <w:rPr>
          <w:rFonts w:hint="eastAsia" w:ascii="楷体" w:hAnsi="楷体" w:eastAsia="楷体" w:cs="仿宋"/>
          <w:bCs/>
          <w:sz w:val="28"/>
          <w:szCs w:val="28"/>
        </w:rPr>
      </w:pPr>
    </w:p>
    <w:p w14:paraId="30563A88">
      <w:pPr>
        <w:rPr>
          <w:rFonts w:hint="eastAsia" w:ascii="楷体" w:hAnsi="楷体" w:eastAsia="楷体" w:cs="仿宋"/>
          <w:bCs/>
          <w:sz w:val="28"/>
          <w:szCs w:val="28"/>
        </w:rPr>
      </w:pPr>
    </w:p>
    <w:p w14:paraId="1F376C02">
      <w:pPr>
        <w:rPr>
          <w:rFonts w:hint="eastAsia" w:ascii="楷体" w:hAnsi="楷体" w:eastAsia="楷体" w:cs="仿宋"/>
          <w:bCs/>
          <w:sz w:val="28"/>
          <w:szCs w:val="28"/>
        </w:rPr>
      </w:pPr>
    </w:p>
    <w:p w14:paraId="4CF1F497">
      <w:pPr>
        <w:rPr>
          <w:rFonts w:hint="eastAsia" w:ascii="楷体" w:hAnsi="楷体" w:eastAsia="楷体" w:cs="仿宋"/>
          <w:bCs/>
          <w:sz w:val="28"/>
          <w:szCs w:val="28"/>
        </w:rPr>
      </w:pPr>
    </w:p>
    <w:p w14:paraId="5AC8EAEE">
      <w:pPr>
        <w:rPr>
          <w:rFonts w:hint="eastAsia" w:ascii="楷体" w:hAnsi="楷体" w:eastAsia="楷体" w:cs="仿宋"/>
          <w:bCs/>
          <w:sz w:val="28"/>
          <w:szCs w:val="28"/>
        </w:rPr>
      </w:pPr>
    </w:p>
    <w:p w14:paraId="680F74E3">
      <w:pPr>
        <w:rPr>
          <w:rFonts w:hint="eastAsia" w:ascii="楷体" w:hAnsi="楷体" w:eastAsia="楷体" w:cs="仿宋"/>
          <w:bCs/>
          <w:sz w:val="28"/>
          <w:szCs w:val="28"/>
        </w:rPr>
      </w:pPr>
    </w:p>
    <w:p w14:paraId="01D6C6E9">
      <w:pPr>
        <w:rPr>
          <w:rFonts w:hint="eastAsia" w:ascii="楷体" w:hAnsi="楷体" w:eastAsia="楷体" w:cs="仿宋"/>
          <w:bCs/>
          <w:sz w:val="28"/>
          <w:szCs w:val="28"/>
        </w:rPr>
      </w:pPr>
    </w:p>
    <w:p w14:paraId="092CBCC9">
      <w:pPr>
        <w:jc w:val="center"/>
        <w:rPr>
          <w:rFonts w:ascii="楷体" w:hAnsi="楷体" w:eastAsia="楷体" w:cs="仿宋"/>
          <w:bCs/>
          <w:sz w:val="28"/>
          <w:szCs w:val="28"/>
        </w:rPr>
      </w:pPr>
    </w:p>
    <w:p w14:paraId="20B88BE1">
      <w:pPr>
        <w:jc w:val="center"/>
        <w:rPr>
          <w:rFonts w:hint="eastAsia" w:ascii="楷体" w:hAnsi="楷体" w:eastAsia="楷体" w:cs="仿宋"/>
          <w:bCs/>
          <w:sz w:val="28"/>
          <w:szCs w:val="28"/>
        </w:rPr>
      </w:pPr>
    </w:p>
    <w:p w14:paraId="076FFFC0">
      <w:pPr>
        <w:jc w:val="center"/>
        <w:rPr>
          <w:rFonts w:hint="eastAsia" w:ascii="楷体" w:hAnsi="楷体" w:eastAsia="楷体" w:cs="仿宋"/>
          <w:bCs/>
          <w:sz w:val="28"/>
          <w:szCs w:val="28"/>
        </w:rPr>
      </w:pPr>
    </w:p>
    <w:p w14:paraId="7BA4D4E5">
      <w:pPr>
        <w:jc w:val="center"/>
        <w:rPr>
          <w:rFonts w:ascii="楷体" w:hAnsi="楷体" w:eastAsia="楷体" w:cs="仿宋"/>
          <w:bCs/>
          <w:sz w:val="28"/>
          <w:szCs w:val="28"/>
        </w:rPr>
      </w:pPr>
    </w:p>
    <w:p w14:paraId="2020CC8A">
      <w:pPr>
        <w:jc w:val="center"/>
        <w:rPr>
          <w:rFonts w:hint="eastAsia" w:ascii="楷体" w:hAnsi="楷体" w:eastAsia="楷体" w:cs="仿宋"/>
          <w:bCs/>
          <w:sz w:val="28"/>
          <w:szCs w:val="28"/>
        </w:rPr>
      </w:pPr>
    </w:p>
    <w:p w14:paraId="2716E330">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0D3B7014">
        <w:trPr>
          <w:wBefore w:w="0" w:type="dxa"/>
          <w:wAfter w:w="0" w:type="dxa"/>
          <w:trHeight w:val="12242" w:hRule="atLeast"/>
        </w:trPr>
        <w:tc>
          <w:tcPr>
            <w:tcW w:w="9476" w:type="dxa"/>
            <w:noWrap w:val="0"/>
            <w:vAlign w:val="top"/>
          </w:tcPr>
          <w:p w14:paraId="015E6093">
            <w:pPr>
              <w:rPr>
                <w:rFonts w:hint="eastAsia" w:ascii="楷体" w:hAnsi="楷体" w:eastAsia="楷体" w:cs="宋体"/>
                <w:sz w:val="44"/>
                <w:szCs w:val="44"/>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2522855</wp:posOffset>
                      </wp:positionH>
                      <wp:positionV relativeFrom="paragraph">
                        <wp:posOffset>3858260</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55F205B1">
                                  <w:pPr>
                                    <w:jc w:val="left"/>
                                  </w:pPr>
                                </w:p>
                              </w:txbxContent>
                            </wps:txbx>
                            <wps:bodyPr wrap="square" upright="1"/>
                          </wps:wsp>
                        </a:graphicData>
                      </a:graphic>
                    </wp:anchor>
                  </w:drawing>
                </mc:Choice>
                <mc:Fallback>
                  <w:pict>
                    <v:shape id="自选图形 5" o:spid="_x0000_s1026" style="position:absolute;left:0pt;margin-left:198.65pt;margin-top:303.8pt;height:31.8pt;width:33.5pt;z-index:251659264;mso-width-relative:page;mso-height-relative:page;" fillcolor="#D99594" filled="t" stroked="t" coordsize="425450,403860" o:gfxdata="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H34GD9kAAAALAQAADwAAAAAAAAABACAAAAAiAAAAZHJzL2Rvd25yZXYueG1s&#10;UEsBAhQAFAAAAAgAh07iQF15FBCiAgAAjgUAAA4AAAAAAAAAAQAgAAAAKAEAAGRycy9lMm9Eb2Mu&#10;eG1sUEsFBgAAAAAGAAYAWQEAADwGA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55F205B1">
                            <w:pPr>
                              <w:jc w:val="left"/>
                            </w:pPr>
                          </w:p>
                        </w:txbxContent>
                      </v:textbox>
                    </v:shape>
                  </w:pict>
                </mc:Fallback>
              </mc:AlternateContent>
            </w:r>
            <w:r>
              <w:rPr>
                <w:lang/>
              </w:rPr>
              <w:t xml:space="preserve"> </w:t>
            </w:r>
            <w:r/>
          </w:p>
        </w:tc>
      </w:tr>
    </w:tbl>
    <w:p w14:paraId="01DE87DD">
      <w:pPr>
        <w:spacing w:line="720" w:lineRule="auto"/>
        <w:jc w:val="center"/>
        <w:rPr>
          <w:rFonts w:hint="eastAsia" w:ascii="楷体" w:hAnsi="楷体" w:eastAsia="楷体"/>
          <w:sz w:val="36"/>
          <w:szCs w:val="36"/>
        </w:rPr>
      </w:pPr>
      <w:r>
        <w:rPr>
          <w:rFonts w:hint="eastAsia" w:ascii="楷体" w:hAnsi="楷体" w:eastAsia="楷体"/>
          <w:sz w:val="36"/>
          <w:szCs w:val="36"/>
        </w:rPr>
        <w:t>估价对象照片</w:t>
      </w:r>
    </w:p>
    <w:tbl>
      <w:tblPr>
        <w:tblStyle w:val="28"/>
        <w:tblW w:w="9132"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4707"/>
        <w:gridCol w:w="4425"/>
      </w:tblGrid>
      <w:tr w14:paraId="40E7681F">
        <w:trPr>
          <w:wBefore w:w="0" w:type="dxa"/>
          <w:wAfter w:w="0" w:type="dxa"/>
          <w:trHeight w:val="2552" w:hRule="exact"/>
          <w:tblCellSpacing w:w="20" w:type="dxa"/>
          <w:jc w:val="center"/>
        </w:trPr>
        <w:tc>
          <w:tcPr>
            <w:tcW w:w="4647" w:type="dxa"/>
            <w:noWrap w:val="0"/>
            <w:vAlign w:val="top"/>
          </w:tcPr>
          <w:p w14:paraId="01337C29">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20E8E12C">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2C4419E9">
        <w:trPr>
          <w:wBefore w:w="0" w:type="dxa"/>
          <w:wAfter w:w="0" w:type="dxa"/>
          <w:trHeight w:val="512" w:hRule="exact"/>
          <w:tblCellSpacing w:w="20" w:type="dxa"/>
          <w:jc w:val="center"/>
        </w:trPr>
        <w:tc>
          <w:tcPr>
            <w:tcW w:w="4647" w:type="dxa"/>
            <w:noWrap w:val="0"/>
            <w:vAlign w:val="top"/>
          </w:tcPr>
          <w:p w14:paraId="5BC158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外观</w:t>
            </w:r>
            <w:r>
              <w:rPr>
                <w:rFonts w:hint="eastAsia" w:ascii="楷体" w:hAnsi="楷体" w:eastAsia="楷体"/>
                <w:b/>
                <w:sz w:val="28"/>
                <w:szCs w:val="28"/>
              </w:rPr>
              <w:t>)</w:t>
            </w:r>
          </w:p>
        </w:tc>
        <w:tc>
          <w:tcPr>
            <w:tcW w:w="4365" w:type="dxa"/>
            <w:noWrap w:val="0"/>
            <w:vAlign w:val="top"/>
          </w:tcPr>
          <w:p w14:paraId="5B1390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外观</w:t>
            </w:r>
            <w:r>
              <w:rPr>
                <w:rFonts w:hint="eastAsia" w:ascii="楷体" w:hAnsi="楷体" w:eastAsia="楷体"/>
                <w:b/>
                <w:sz w:val="28"/>
                <w:szCs w:val="28"/>
              </w:rPr>
              <w:t>)</w:t>
            </w:r>
          </w:p>
        </w:tc>
      </w:tr>
      <w:tr w14:paraId="23D1F1D8">
        <w:trPr>
          <w:wBefore w:w="0" w:type="dxa"/>
          <w:wAfter w:w="0" w:type="dxa"/>
          <w:trHeight w:val="2552" w:hRule="exact"/>
          <w:tblCellSpacing w:w="20" w:type="dxa"/>
          <w:jc w:val="center"/>
        </w:trPr>
        <w:tc>
          <w:tcPr>
            <w:tcW w:w="4647" w:type="dxa"/>
            <w:noWrap w:val="0"/>
            <w:vAlign w:val="top"/>
          </w:tcPr>
          <w:p w14:paraId="11FBA4B0">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4365" w:type="dxa"/>
            <w:noWrap w:val="0"/>
            <w:vAlign w:val="top"/>
          </w:tcPr>
          <w:p w14:paraId="7801A128">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7498CE80">
        <w:trPr>
          <w:wBefore w:w="0" w:type="dxa"/>
          <w:wAfter w:w="0" w:type="dxa"/>
          <w:trHeight w:val="494" w:hRule="exact"/>
          <w:tblCellSpacing w:w="20" w:type="dxa"/>
          <w:jc w:val="center"/>
        </w:trPr>
        <w:tc>
          <w:tcPr>
            <w:tcW w:w="4647" w:type="dxa"/>
            <w:noWrap w:val="0"/>
            <w:vAlign w:val="top"/>
          </w:tcPr>
          <w:p w14:paraId="64CB35A0">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1</w:t>
            </w:r>
            <w:r>
              <w:rPr>
                <w:rFonts w:hint="eastAsia" w:ascii="楷体" w:hAnsi="楷体" w:eastAsia="楷体"/>
                <w:b/>
                <w:sz w:val="28"/>
                <w:szCs w:val="28"/>
                <w:lang w:val="en-US" w:eastAsia="zh-CN"/>
              </w:rPr>
              <w:t>206</w:t>
            </w:r>
            <w:r>
              <w:rPr>
                <w:rFonts w:hint="eastAsia" w:ascii="楷体" w:hAnsi="楷体" w:eastAsia="楷体"/>
                <w:b/>
                <w:sz w:val="28"/>
                <w:szCs w:val="28"/>
              </w:rPr>
              <w:t>)</w:t>
            </w:r>
          </w:p>
        </w:tc>
        <w:tc>
          <w:tcPr>
            <w:tcW w:w="4365" w:type="dxa"/>
            <w:noWrap w:val="0"/>
            <w:vAlign w:val="top"/>
          </w:tcPr>
          <w:p w14:paraId="42664A12">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1</w:t>
            </w:r>
            <w:r>
              <w:rPr>
                <w:rFonts w:hint="eastAsia" w:ascii="楷体" w:hAnsi="楷体" w:eastAsia="楷体"/>
                <w:b/>
                <w:sz w:val="28"/>
                <w:szCs w:val="28"/>
                <w:lang w:val="en-US" w:eastAsia="zh-CN"/>
              </w:rPr>
              <w:t>206</w:t>
            </w:r>
            <w:r>
              <w:rPr>
                <w:rFonts w:hint="eastAsia" w:ascii="楷体" w:hAnsi="楷体" w:eastAsia="楷体"/>
                <w:b/>
                <w:sz w:val="28"/>
                <w:szCs w:val="28"/>
              </w:rPr>
              <w:t>)</w:t>
            </w:r>
          </w:p>
        </w:tc>
      </w:tr>
      <w:tr w14:paraId="1BE29B79">
        <w:trPr>
          <w:wBefore w:w="0" w:type="dxa"/>
          <w:wAfter w:w="0" w:type="dxa"/>
          <w:trHeight w:val="2552" w:hRule="exact"/>
          <w:tblCellSpacing w:w="20" w:type="dxa"/>
          <w:jc w:val="center"/>
        </w:trPr>
        <w:tc>
          <w:tcPr>
            <w:tcW w:w="4647" w:type="dxa"/>
            <w:noWrap w:val="0"/>
            <w:vAlign w:val="top"/>
          </w:tcPr>
          <w:p w14:paraId="6B2F2D75">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noWrap w:val="0"/>
            <w:vAlign w:val="top"/>
          </w:tcPr>
          <w:p w14:paraId="68A6D5D2">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79506492">
        <w:trPr>
          <w:wBefore w:w="0" w:type="dxa"/>
          <w:wAfter w:w="0" w:type="dxa"/>
          <w:trHeight w:val="494" w:hRule="exact"/>
          <w:tblCellSpacing w:w="20" w:type="dxa"/>
          <w:jc w:val="center"/>
        </w:trPr>
        <w:tc>
          <w:tcPr>
            <w:tcW w:w="4647" w:type="dxa"/>
            <w:noWrap w:val="0"/>
            <w:vAlign w:val="top"/>
          </w:tcPr>
          <w:p w14:paraId="751C4EEB">
            <w:pPr>
              <w:jc w:val="center"/>
              <w:rPr>
                <w:rFonts w:ascii="楷体" w:hAnsi="楷体" w:eastAsia="楷体"/>
                <w:b/>
                <w:sz w:val="28"/>
                <w:szCs w:val="28"/>
              </w:rPr>
            </w:pPr>
            <w:bookmarkStart w:id="108" w:name="OLE_LINK15"/>
            <w:r>
              <w:rPr>
                <w:rFonts w:hint="eastAsia" w:ascii="楷体" w:hAnsi="楷体" w:eastAsia="楷体"/>
                <w:b/>
                <w:sz w:val="28"/>
                <w:szCs w:val="28"/>
              </w:rPr>
              <w:t>（1206）</w:t>
            </w:r>
            <w:r>
              <w:rPr>
                <w:rFonts w:hint="eastAsia" w:ascii="楷体" w:hAnsi="楷体" w:eastAsia="楷体"/>
                <w:b/>
                <w:sz w:val="28"/>
                <w:szCs w:val="28"/>
                <w:lang w:val="en-US" w:eastAsia="zh-CN"/>
              </w:rPr>
              <w:t/>
            </w:r>
            <w:r>
              <w:rPr>
                <w:rFonts w:hint="eastAsia" w:ascii="楷体" w:hAnsi="楷体" w:eastAsia="楷体"/>
                <w:b/>
                <w:sz w:val="28"/>
                <w:szCs w:val="28"/>
                <w:lang w:val="en-US" w:eastAsia="zh-CN"/>
              </w:rPr>
              <w:t/>
            </w:r>
            <w:r>
              <w:rPr>
                <w:rFonts w:hint="eastAsia" w:ascii="楷体" w:hAnsi="楷体" w:eastAsia="楷体"/>
                <w:b/>
                <w:sz w:val="28"/>
                <w:szCs w:val="28"/>
              </w:rPr>
              <w:t/>
            </w:r>
            <w:bookmarkEnd w:id="108"/>
          </w:p>
        </w:tc>
        <w:tc>
          <w:tcPr>
            <w:tcW w:w="4365" w:type="dxa"/>
            <w:noWrap w:val="0"/>
            <w:vAlign w:val="top"/>
          </w:tcPr>
          <w:p w14:paraId="7DA5E864">
            <w:pPr>
              <w:jc w:val="center"/>
              <w:rPr>
                <w:rFonts w:ascii="楷体" w:hAnsi="楷体" w:eastAsia="楷体"/>
                <w:b/>
                <w:sz w:val="28"/>
                <w:szCs w:val="28"/>
              </w:rPr>
            </w:pPr>
            <w:r>
              <w:rPr>
                <w:rFonts w:hint="eastAsia" w:ascii="楷体" w:hAnsi="楷体" w:eastAsia="楷体"/>
                <w:b/>
                <w:sz w:val="28"/>
                <w:szCs w:val="28"/>
              </w:rPr>
              <w:t>（1208）</w:t>
            </w:r>
            <w:r>
              <w:rPr>
                <w:rFonts w:hint="eastAsia" w:ascii="楷体" w:hAnsi="楷体" w:eastAsia="楷体"/>
                <w:b/>
                <w:sz w:val="28"/>
                <w:szCs w:val="28"/>
                <w:lang w:val="en-US" w:eastAsia="zh-CN"/>
              </w:rPr>
              <w:t/>
            </w:r>
            <w:r>
              <w:rPr>
                <w:rFonts w:hint="eastAsia" w:ascii="楷体" w:hAnsi="楷体" w:eastAsia="楷体"/>
                <w:b/>
                <w:sz w:val="28"/>
                <w:szCs w:val="28"/>
                <w:lang w:val="en-US" w:eastAsia="zh-CN"/>
              </w:rPr>
              <w:t/>
            </w:r>
            <w:r>
              <w:rPr>
                <w:rFonts w:hint="eastAsia" w:ascii="楷体" w:hAnsi="楷体" w:eastAsia="楷体"/>
                <w:b/>
                <w:sz w:val="28"/>
                <w:szCs w:val="28"/>
              </w:rPr>
              <w:t/>
            </w:r>
          </w:p>
        </w:tc>
      </w:tr>
      <w:tr w14:paraId="6F7FC0F5">
        <w:trPr>
          <w:wBefore w:w="0" w:type="dxa"/>
          <w:wAfter w:w="0" w:type="dxa"/>
          <w:trHeight w:val="2552" w:hRule="exact"/>
          <w:tblCellSpacing w:w="20" w:type="dxa"/>
          <w:jc w:val="center"/>
        </w:trPr>
        <w:tc>
          <w:tcPr>
            <w:tcW w:w="4647" w:type="dxa"/>
            <w:tcBorders>
              <w:top w:val="inset" w:color="auto" w:sz="6" w:space="0"/>
              <w:left w:val="inset" w:color="auto" w:sz="6" w:space="0"/>
              <w:bottom w:val="inset" w:color="auto" w:sz="6" w:space="0"/>
              <w:right w:val="inset" w:color="auto" w:sz="6" w:space="0"/>
            </w:tcBorders>
            <w:noWrap w:val="0"/>
            <w:vAlign w:val="top"/>
          </w:tcPr>
          <w:p w14:paraId="15DB0FFE">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4365" w:type="dxa"/>
            <w:tcBorders>
              <w:top w:val="inset" w:color="auto" w:sz="6" w:space="0"/>
              <w:left w:val="inset" w:color="auto" w:sz="6" w:space="0"/>
              <w:bottom w:val="inset" w:color="auto" w:sz="6" w:space="0"/>
              <w:right w:val="inset" w:color="auto" w:sz="6" w:space="0"/>
            </w:tcBorders>
            <w:noWrap w:val="0"/>
            <w:vAlign w:val="top"/>
          </w:tcPr>
          <w:p w14:paraId="076F1EA6">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3B6D8BD9">
        <w:trPr>
          <w:wBefore w:w="0" w:type="dxa"/>
          <w:wAfter w:w="0" w:type="dxa"/>
          <w:trHeight w:val="494" w:hRule="exact"/>
          <w:tblCellSpacing w:w="20" w:type="dxa"/>
          <w:jc w:val="center"/>
        </w:trPr>
        <w:tc>
          <w:tcPr>
            <w:tcW w:w="4647" w:type="dxa"/>
            <w:tcBorders>
              <w:top w:val="inset" w:color="auto" w:sz="6" w:space="0"/>
              <w:left w:val="inset" w:color="auto" w:sz="6" w:space="0"/>
              <w:bottom w:val="inset" w:color="auto" w:sz="6" w:space="0"/>
              <w:right w:val="inset" w:color="auto" w:sz="6" w:space="0"/>
            </w:tcBorders>
            <w:noWrap w:val="0"/>
            <w:vAlign w:val="top"/>
          </w:tcPr>
          <w:p w14:paraId="6E389AE7">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大厅</w:t>
            </w:r>
            <w:r>
              <w:rPr>
                <w:rFonts w:hint="eastAsia" w:ascii="楷体" w:hAnsi="楷体" w:eastAsia="楷体"/>
                <w:b/>
                <w:sz w:val="28"/>
                <w:szCs w:val="28"/>
              </w:rPr>
              <w:t>)</w:t>
            </w:r>
          </w:p>
        </w:tc>
        <w:tc>
          <w:tcPr>
            <w:tcW w:w="4365" w:type="dxa"/>
            <w:tcBorders>
              <w:top w:val="inset" w:color="auto" w:sz="6" w:space="0"/>
              <w:left w:val="inset" w:color="auto" w:sz="6" w:space="0"/>
              <w:bottom w:val="inset" w:color="auto" w:sz="6" w:space="0"/>
              <w:right w:val="inset" w:color="auto" w:sz="6" w:space="0"/>
            </w:tcBorders>
            <w:noWrap w:val="0"/>
            <w:vAlign w:val="top"/>
          </w:tcPr>
          <w:p w14:paraId="725475FE">
            <w:pPr>
              <w:jc w:val="center"/>
              <w:rPr>
                <w:rFonts w:ascii="楷体" w:hAnsi="楷体" w:eastAsia="楷体"/>
                <w:b/>
                <w:sz w:val="28"/>
                <w:szCs w:val="28"/>
              </w:rPr>
            </w:pPr>
            <w:r>
              <w:rPr>
                <w:rFonts w:hint="eastAsia" w:ascii="楷体" w:hAnsi="楷体" w:eastAsia="楷体"/>
                <w:b/>
                <w:sz w:val="28"/>
                <w:szCs w:val="28"/>
              </w:rPr>
              <w:t>(</w:t>
            </w:r>
            <w:r>
              <w:rPr>
                <w:rFonts w:hint="eastAsia" w:ascii="楷体" w:hAnsi="楷体" w:eastAsia="楷体"/>
                <w:b/>
                <w:sz w:val="28"/>
                <w:szCs w:val="28"/>
                <w:lang w:val="en-US" w:eastAsia="zh-CN"/>
              </w:rPr>
              <w:t>大厅</w:t>
            </w:r>
            <w:r>
              <w:rPr>
                <w:rFonts w:hint="eastAsia" w:ascii="楷体" w:hAnsi="楷体" w:eastAsia="楷体"/>
                <w:b/>
                <w:sz w:val="28"/>
                <w:szCs w:val="28"/>
              </w:rPr>
              <w:t>)</w:t>
            </w:r>
          </w:p>
        </w:tc>
      </w:tr>
    </w:tbl>
    <w:p w14:paraId="3557D113">
      <w:pPr>
        <w:jc w:val="center"/>
        <w:rPr>
          <w:rFonts w:hint="eastAsia" w:ascii="楷体" w:hAnsi="楷体" w:eastAsia="楷体" w:cs="仿宋"/>
          <w:bCs/>
          <w:sz w:val="28"/>
          <w:szCs w:val="28"/>
        </w:rPr>
      </w:pPr>
    </w:p>
    <w:p w14:paraId="27A4AD4B">
      <w:pPr>
        <w:spacing w:line="720" w:lineRule="auto"/>
        <w:jc w:val="center"/>
        <w:rPr>
          <w:rFonts w:hint="eastAsia" w:ascii="楷体" w:hAnsi="楷体" w:eastAsia="楷体"/>
          <w:kern w:val="2"/>
          <w:sz w:val="36"/>
          <w:szCs w:val="36"/>
          <w:lang w:val="en-US" w:eastAsia="zh-CN" w:bidi="ar-SA"/>
        </w:rPr>
      </w:pPr>
      <w:r>
        <w:rPr>
          <w:rFonts w:hint="eastAsia" w:ascii="楷体" w:hAnsi="楷体" w:eastAsia="楷体"/>
          <w:sz w:val="36"/>
          <w:szCs w:val="36"/>
        </w:rPr>
        <w:br w:type="page"/>
      </w:r>
      <w:r>
        <w:rPr>
          <w:rFonts w:hint="eastAsia" w:ascii="楷体" w:hAnsi="楷体" w:eastAsia="楷体"/>
          <w:kern w:val="2"/>
          <w:sz w:val="36"/>
          <w:szCs w:val="36"/>
          <w:lang w:val="en-US" w:eastAsia="zh-CN" w:bidi="ar-SA"/>
        </w:rPr>
        <w:t>《委托评估协议书》、《不动产权证》复印件</w:t>
      </w:r>
    </w:p>
    <w:p w14:paraId="6639493A">
      <w:pPr>
        <w:spacing w:line="720" w:lineRule="auto"/>
        <w:jc w:val="center"/>
        <w:rPr>
          <w:rFonts w:hint="eastAsia" w:ascii="楷体" w:hAnsi="楷体" w:eastAsia="楷体"/>
          <w:kern w:val="2"/>
          <w:sz w:val="36"/>
          <w:szCs w:val="36"/>
          <w:lang w:val="en-US" w:eastAsia="zh-CN" w:bidi="ar-SA"/>
        </w:rPr>
      </w:pPr>
      <w:r>
        <w:rPr>
          <w:rFonts w:hint="eastAsia" w:ascii="楷体" w:hAnsi="楷体" w:eastAsia="楷体"/>
          <w:kern w:val="2"/>
          <w:sz w:val="36"/>
          <w:szCs w:val="36"/>
          <w:lang w:val="en-US" w:eastAsia="zh-CN" w:bidi="ar-SA"/>
        </w:rPr>
      </w:r>
      <w:r>
        <w:rPr>
          <w:rFonts w:hint="eastAsia" w:ascii="楷体" w:hAnsi="楷体" w:eastAsia="楷体"/>
          <w:kern w:val="2"/>
          <w:sz w:val="36"/>
          <w:szCs w:val="36"/>
          <w:lang w:val="en-US" w:eastAsia="zh-CN" w:bidi="ar-SA"/>
        </w:rPr>
      </w:r>
      <w:r>
        <w:rPr>
          <w:rFonts w:hint="eastAsia" w:ascii="楷体" w:hAnsi="楷体" w:eastAsia="楷体"/>
          <w:kern w:val="2"/>
          <w:sz w:val="36"/>
          <w:szCs w:val="36"/>
          <w:lang w:val="en-US" w:eastAsia="zh-CN" w:bidi="ar-SA"/>
        </w:rPr>
      </w:r>
    </w:p>
    <w:p w14:paraId="2565E5CC">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r>
        <w:rPr>
          <w:rFonts w:hint="eastAsia" w:ascii="楷体" w:hAnsi="楷体" w:eastAsia="楷体"/>
          <w:sz w:val="36"/>
          <w:szCs w:val="36"/>
          <w:lang w:eastAsia="zh-CN"/>
        </w:rPr>
      </w:r>
      <w:r>
        <w:rPr>
          <w:rFonts w:hint="eastAsia" w:ascii="楷体" w:hAnsi="楷体" w:eastAsia="楷体"/>
          <w:sz w:val="36"/>
          <w:szCs w:val="36"/>
          <w:lang w:eastAsia="zh-CN"/>
        </w:rPr>
      </w:r>
    </w:p>
    <w:p w14:paraId="458091A1">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p>
    <w:p w14:paraId="0BD156D3">
      <w:pPr>
        <w:spacing w:line="720" w:lineRule="auto"/>
        <w:jc w:val="center"/>
        <w:rPr>
          <w:rFonts w:hint="eastAsia" w:ascii="楷体" w:hAnsi="楷体" w:eastAsia="楷体"/>
          <w:sz w:val="36"/>
          <w:szCs w:val="36"/>
        </w:rPr>
      </w:pPr>
    </w:p>
    <w:p w14:paraId="1E677069">
      <w:pPr>
        <w:spacing w:line="720" w:lineRule="auto"/>
        <w:jc w:val="center"/>
        <w:rPr>
          <w:rFonts w:hint="eastAsia" w:ascii="楷体" w:hAnsi="楷体" w:eastAsia="楷体"/>
          <w:sz w:val="36"/>
          <w:szCs w:val="36"/>
        </w:rPr>
      </w:pPr>
    </w:p>
    <w:p w14:paraId="236B5757">
      <w:pPr>
        <w:spacing w:line="720" w:lineRule="auto"/>
        <w:jc w:val="center"/>
        <w:rPr>
          <w:rFonts w:hint="eastAsia" w:ascii="楷体" w:hAnsi="楷体" w:eastAsia="楷体"/>
          <w:sz w:val="36"/>
          <w:szCs w:val="36"/>
        </w:rPr>
      </w:pPr>
    </w:p>
    <w:p w14:paraId="7C5DC38F">
      <w:pPr>
        <w:spacing w:line="720" w:lineRule="auto"/>
        <w:jc w:val="center"/>
        <w:rPr>
          <w:rFonts w:hint="eastAsia" w:ascii="楷体" w:hAnsi="楷体" w:eastAsia="楷体"/>
          <w:sz w:val="36"/>
          <w:szCs w:val="36"/>
        </w:rPr>
      </w:pPr>
    </w:p>
    <w:p w14:paraId="74C23B8D">
      <w:pPr>
        <w:spacing w:line="720" w:lineRule="auto"/>
        <w:jc w:val="center"/>
        <w:rPr>
          <w:rFonts w:hint="eastAsia" w:ascii="楷体" w:hAnsi="楷体" w:eastAsia="楷体"/>
          <w:sz w:val="36"/>
          <w:szCs w:val="36"/>
        </w:rPr>
      </w:pPr>
    </w:p>
    <w:p w14:paraId="262C6E41">
      <w:pPr>
        <w:spacing w:line="720" w:lineRule="auto"/>
        <w:jc w:val="center"/>
        <w:rPr>
          <w:rFonts w:hint="eastAsia" w:ascii="楷体" w:hAnsi="楷体" w:eastAsia="楷体"/>
          <w:sz w:val="36"/>
          <w:szCs w:val="36"/>
        </w:rPr>
      </w:pPr>
    </w:p>
    <w:p w14:paraId="464A7F24">
      <w:pPr>
        <w:spacing w:line="720" w:lineRule="auto"/>
        <w:jc w:val="center"/>
        <w:rPr>
          <w:rFonts w:hint="eastAsia" w:ascii="楷体" w:hAnsi="楷体" w:eastAsia="楷体"/>
          <w:sz w:val="36"/>
          <w:szCs w:val="36"/>
        </w:rPr>
      </w:pPr>
    </w:p>
    <w:p w14:paraId="16408DDD">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26E46B7D">
        <w:trPr>
          <w:wBefore w:w="0" w:type="dxa"/>
          <w:wAfter w:w="0" w:type="dxa"/>
          <w:trHeight w:val="6486" w:hRule="exact"/>
          <w:tblCellSpacing w:w="20" w:type="dxa"/>
          <w:jc w:val="center"/>
        </w:trPr>
        <w:tc>
          <w:tcPr>
            <w:tcW w:w="9153" w:type="dxa"/>
            <w:noWrap w:val="0"/>
            <w:vAlign w:val="top"/>
          </w:tcPr>
          <w:p w14:paraId="46DA9ABD">
            <w:pPr>
              <w:jc w:val="center"/>
              <w:rPr>
                <w:rFonts w:ascii="楷体" w:hAnsi="楷体" w:eastAsia="楷体"/>
                <w:b/>
                <w:sz w:val="32"/>
                <w:szCs w:val="32"/>
              </w:rPr>
            </w:pPr>
            <w:r>
              <w:rPr>
                <w:rFonts w:ascii="楷体" w:hAnsi="楷体" w:eastAsia="楷体"/>
                <w:b/>
                <w:sz w:val="32"/>
                <w:szCs w:val="32"/>
                <w:lang/>
              </w:rPr>
            </w:r>
          </w:p>
        </w:tc>
      </w:tr>
      <w:tr w14:paraId="3DB2528F">
        <w:trPr>
          <w:wBefore w:w="0" w:type="dxa"/>
          <w:wAfter w:w="0" w:type="dxa"/>
          <w:trHeight w:val="6329" w:hRule="exact"/>
          <w:tblCellSpacing w:w="20" w:type="dxa"/>
          <w:jc w:val="center"/>
        </w:trPr>
        <w:tc>
          <w:tcPr>
            <w:tcW w:w="9153" w:type="dxa"/>
            <w:noWrap w:val="0"/>
            <w:vAlign w:val="top"/>
          </w:tcPr>
          <w:p w14:paraId="1C06924B">
            <w:pPr>
              <w:jc w:val="center"/>
              <w:rPr>
                <w:rFonts w:ascii="楷体" w:hAnsi="楷体" w:eastAsia="楷体"/>
                <w:b/>
                <w:sz w:val="32"/>
                <w:szCs w:val="32"/>
              </w:rPr>
            </w:pPr>
            <w:r>
              <w:rPr>
                <w:rFonts w:ascii="楷体" w:hAnsi="楷体" w:eastAsia="楷体"/>
                <w:b/>
                <w:sz w:val="32"/>
                <w:szCs w:val="32"/>
                <w:lang/>
              </w:rPr>
            </w:r>
          </w:p>
        </w:tc>
      </w:tr>
    </w:tbl>
    <w:p w14:paraId="16ECF54F">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1C8B53E0">
      <w:pPr>
        <w:jc w:val="center"/>
        <w:rPr>
          <w:rFonts w:hint="eastAsia" w:ascii="楷体" w:hAnsi="楷体" w:eastAsia="楷体" w:cs="仿宋"/>
          <w:bCs/>
          <w:sz w:val="28"/>
          <w:szCs w:val="28"/>
        </w:rPr>
      </w:pPr>
      <w:bookmarkStart w:id="109" w:name="_Hlk207891678"/>
      <w:r>
        <w:rPr>
          <w:rFonts w:ascii="楷体" w:hAnsi="楷体" w:eastAsia="楷体" w:cs="仿宋"/>
          <w:bCs/>
          <w:sz w:val="28"/>
          <w:szCs w:val="28"/>
        </w:rPr>
      </w:r>
      <w:bookmarkEnd w:id="109"/>
    </w:p>
    <w:p w14:paraId="798367DE">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4D1C1E5B">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7BA5F">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A6632">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A0C64">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ADF25">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36FE2">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23"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D5A"/>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4E1D37"/>
    <w:rsid w:val="04AF0F37"/>
    <w:rsid w:val="050B20AC"/>
    <w:rsid w:val="05411A66"/>
    <w:rsid w:val="057B4A35"/>
    <w:rsid w:val="05A2371D"/>
    <w:rsid w:val="05A97C32"/>
    <w:rsid w:val="060A6B11"/>
    <w:rsid w:val="06192E70"/>
    <w:rsid w:val="0666542D"/>
    <w:rsid w:val="066C0609"/>
    <w:rsid w:val="06F44FA6"/>
    <w:rsid w:val="06FB6627"/>
    <w:rsid w:val="073C1C37"/>
    <w:rsid w:val="07631CF3"/>
    <w:rsid w:val="07995400"/>
    <w:rsid w:val="083352BC"/>
    <w:rsid w:val="08821592"/>
    <w:rsid w:val="08FA0D1B"/>
    <w:rsid w:val="090E6972"/>
    <w:rsid w:val="09417318"/>
    <w:rsid w:val="096376A9"/>
    <w:rsid w:val="099E3711"/>
    <w:rsid w:val="09F32507"/>
    <w:rsid w:val="0A6B2B30"/>
    <w:rsid w:val="0ADD3919"/>
    <w:rsid w:val="0B996540"/>
    <w:rsid w:val="0C545BCE"/>
    <w:rsid w:val="0CB36DB8"/>
    <w:rsid w:val="0D2865BB"/>
    <w:rsid w:val="0D7B3EF6"/>
    <w:rsid w:val="0E2437B9"/>
    <w:rsid w:val="0E3E4334"/>
    <w:rsid w:val="0E414363"/>
    <w:rsid w:val="0E536938"/>
    <w:rsid w:val="0E7236D5"/>
    <w:rsid w:val="0E920295"/>
    <w:rsid w:val="0EB67BBA"/>
    <w:rsid w:val="0EBC4BEA"/>
    <w:rsid w:val="0F366B85"/>
    <w:rsid w:val="0F896577"/>
    <w:rsid w:val="0F902E66"/>
    <w:rsid w:val="0FB0473E"/>
    <w:rsid w:val="10566922"/>
    <w:rsid w:val="10690A9D"/>
    <w:rsid w:val="107C2667"/>
    <w:rsid w:val="10835208"/>
    <w:rsid w:val="10B61F5A"/>
    <w:rsid w:val="10EC3BDB"/>
    <w:rsid w:val="113C081C"/>
    <w:rsid w:val="119F019B"/>
    <w:rsid w:val="11F92775"/>
    <w:rsid w:val="130E3A71"/>
    <w:rsid w:val="138A382B"/>
    <w:rsid w:val="139502A6"/>
    <w:rsid w:val="140F001F"/>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CC7320"/>
    <w:rsid w:val="18D04A6F"/>
    <w:rsid w:val="18E67BD0"/>
    <w:rsid w:val="18FE59C0"/>
    <w:rsid w:val="191B268A"/>
    <w:rsid w:val="196F1343"/>
    <w:rsid w:val="19EE5E7B"/>
    <w:rsid w:val="1A0341CF"/>
    <w:rsid w:val="1A6301E7"/>
    <w:rsid w:val="1AAF37AA"/>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B7105"/>
    <w:rsid w:val="1E42178B"/>
    <w:rsid w:val="1E7A6A5C"/>
    <w:rsid w:val="1E841747"/>
    <w:rsid w:val="1EB97CF4"/>
    <w:rsid w:val="1EC21137"/>
    <w:rsid w:val="1EF621D0"/>
    <w:rsid w:val="208122A6"/>
    <w:rsid w:val="20EB4C2B"/>
    <w:rsid w:val="219D60B9"/>
    <w:rsid w:val="21CD080C"/>
    <w:rsid w:val="21DE43A9"/>
    <w:rsid w:val="21E42F15"/>
    <w:rsid w:val="22581416"/>
    <w:rsid w:val="22591BBC"/>
    <w:rsid w:val="22842ECC"/>
    <w:rsid w:val="22AF6C16"/>
    <w:rsid w:val="231C1323"/>
    <w:rsid w:val="23577E20"/>
    <w:rsid w:val="23A155F4"/>
    <w:rsid w:val="23BA0C31"/>
    <w:rsid w:val="24057477"/>
    <w:rsid w:val="240C5A82"/>
    <w:rsid w:val="244E2074"/>
    <w:rsid w:val="24766AEA"/>
    <w:rsid w:val="2482379E"/>
    <w:rsid w:val="25135B61"/>
    <w:rsid w:val="25211B1E"/>
    <w:rsid w:val="256246EC"/>
    <w:rsid w:val="25815208"/>
    <w:rsid w:val="25A645C5"/>
    <w:rsid w:val="25BE5943"/>
    <w:rsid w:val="25FF5527"/>
    <w:rsid w:val="26576177"/>
    <w:rsid w:val="2662402D"/>
    <w:rsid w:val="26663667"/>
    <w:rsid w:val="266F3EA1"/>
    <w:rsid w:val="26D1395E"/>
    <w:rsid w:val="270E13FF"/>
    <w:rsid w:val="271972DE"/>
    <w:rsid w:val="271A22DF"/>
    <w:rsid w:val="2735148B"/>
    <w:rsid w:val="277F5379"/>
    <w:rsid w:val="27865231"/>
    <w:rsid w:val="27C776A5"/>
    <w:rsid w:val="27CE3E30"/>
    <w:rsid w:val="282F1EFF"/>
    <w:rsid w:val="289475DA"/>
    <w:rsid w:val="295D5FD1"/>
    <w:rsid w:val="29F6169E"/>
    <w:rsid w:val="2A4B3773"/>
    <w:rsid w:val="2AD96B6D"/>
    <w:rsid w:val="2B231329"/>
    <w:rsid w:val="2B3C17D4"/>
    <w:rsid w:val="2B57477C"/>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F260509"/>
    <w:rsid w:val="2F326ACC"/>
    <w:rsid w:val="2FE74E54"/>
    <w:rsid w:val="300D55ED"/>
    <w:rsid w:val="30244BD9"/>
    <w:rsid w:val="303B761A"/>
    <w:rsid w:val="30E67858"/>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D100A62"/>
    <w:rsid w:val="3D3E3DFF"/>
    <w:rsid w:val="3DEF1188"/>
    <w:rsid w:val="3E52056F"/>
    <w:rsid w:val="3E676885"/>
    <w:rsid w:val="3E6A79C9"/>
    <w:rsid w:val="3E792073"/>
    <w:rsid w:val="3E7D6DCB"/>
    <w:rsid w:val="3EE14D97"/>
    <w:rsid w:val="3F327FE5"/>
    <w:rsid w:val="40A65198"/>
    <w:rsid w:val="40B809F7"/>
    <w:rsid w:val="40BD093E"/>
    <w:rsid w:val="40D928FC"/>
    <w:rsid w:val="40FF3270"/>
    <w:rsid w:val="41584F88"/>
    <w:rsid w:val="416208C1"/>
    <w:rsid w:val="419F68C9"/>
    <w:rsid w:val="424339FD"/>
    <w:rsid w:val="427214ED"/>
    <w:rsid w:val="42A315B1"/>
    <w:rsid w:val="433F40DB"/>
    <w:rsid w:val="43541ABC"/>
    <w:rsid w:val="43664DF1"/>
    <w:rsid w:val="43837C7B"/>
    <w:rsid w:val="43966076"/>
    <w:rsid w:val="44276CF1"/>
    <w:rsid w:val="44AE4117"/>
    <w:rsid w:val="44DF767A"/>
    <w:rsid w:val="44FB64D6"/>
    <w:rsid w:val="45175DD3"/>
    <w:rsid w:val="45720514"/>
    <w:rsid w:val="45F65242"/>
    <w:rsid w:val="46006689"/>
    <w:rsid w:val="46312D61"/>
    <w:rsid w:val="46ED003F"/>
    <w:rsid w:val="47273FF5"/>
    <w:rsid w:val="47371FFF"/>
    <w:rsid w:val="47407DA5"/>
    <w:rsid w:val="47892D87"/>
    <w:rsid w:val="47A27EB9"/>
    <w:rsid w:val="48073FCE"/>
    <w:rsid w:val="48083DD9"/>
    <w:rsid w:val="48322C9B"/>
    <w:rsid w:val="48AB73D9"/>
    <w:rsid w:val="4986294D"/>
    <w:rsid w:val="49CD025F"/>
    <w:rsid w:val="4A220541"/>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FF6F1F"/>
    <w:rsid w:val="537651D7"/>
    <w:rsid w:val="54247CF0"/>
    <w:rsid w:val="546A57EB"/>
    <w:rsid w:val="546C6642"/>
    <w:rsid w:val="54C47700"/>
    <w:rsid w:val="54CC1E41"/>
    <w:rsid w:val="560631D4"/>
    <w:rsid w:val="562E42CB"/>
    <w:rsid w:val="56661C65"/>
    <w:rsid w:val="56791DF2"/>
    <w:rsid w:val="56D50399"/>
    <w:rsid w:val="571A6FA8"/>
    <w:rsid w:val="576A6C0C"/>
    <w:rsid w:val="579565F2"/>
    <w:rsid w:val="57C36D81"/>
    <w:rsid w:val="58106386"/>
    <w:rsid w:val="58992F18"/>
    <w:rsid w:val="58AE17C9"/>
    <w:rsid w:val="58FD2CDB"/>
    <w:rsid w:val="59324302"/>
    <w:rsid w:val="59D578D8"/>
    <w:rsid w:val="5A276988"/>
    <w:rsid w:val="5A433D89"/>
    <w:rsid w:val="5A483C3E"/>
    <w:rsid w:val="5A761FD5"/>
    <w:rsid w:val="5A8661D2"/>
    <w:rsid w:val="5A967FDA"/>
    <w:rsid w:val="5AAB117E"/>
    <w:rsid w:val="5AB95F1F"/>
    <w:rsid w:val="5ABC09FD"/>
    <w:rsid w:val="5B760479"/>
    <w:rsid w:val="5BA0052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65986"/>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1C5A5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D44679"/>
    <w:rsid w:val="66E93F99"/>
    <w:rsid w:val="66EE015D"/>
    <w:rsid w:val="676654E8"/>
    <w:rsid w:val="677F045A"/>
    <w:rsid w:val="67A040B8"/>
    <w:rsid w:val="68737E15"/>
    <w:rsid w:val="6892496B"/>
    <w:rsid w:val="68BE58DC"/>
    <w:rsid w:val="696D6BC2"/>
    <w:rsid w:val="697877CE"/>
    <w:rsid w:val="69DA6FA5"/>
    <w:rsid w:val="6A0A687D"/>
    <w:rsid w:val="6A4E6E82"/>
    <w:rsid w:val="6A6138FA"/>
    <w:rsid w:val="6B5E7989"/>
    <w:rsid w:val="6C0078A4"/>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70357889"/>
    <w:rsid w:val="707B1805"/>
    <w:rsid w:val="70B75027"/>
    <w:rsid w:val="7113068E"/>
    <w:rsid w:val="715115C3"/>
    <w:rsid w:val="716B08D0"/>
    <w:rsid w:val="71732672"/>
    <w:rsid w:val="718A5A63"/>
    <w:rsid w:val="71CE6856"/>
    <w:rsid w:val="72DD522F"/>
    <w:rsid w:val="732117B3"/>
    <w:rsid w:val="740206A7"/>
    <w:rsid w:val="741E2CED"/>
    <w:rsid w:val="742C4F53"/>
    <w:rsid w:val="758A621B"/>
    <w:rsid w:val="75C01187"/>
    <w:rsid w:val="76106683"/>
    <w:rsid w:val="76466F51"/>
    <w:rsid w:val="76503C9C"/>
    <w:rsid w:val="76A87F06"/>
    <w:rsid w:val="76F00514"/>
    <w:rsid w:val="773C57D1"/>
    <w:rsid w:val="779A3945"/>
    <w:rsid w:val="779F159E"/>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026C41"/>
    <w:rsid w:val="7E14785D"/>
    <w:rsid w:val="7E437E58"/>
    <w:rsid w:val="7E86347C"/>
    <w:rsid w:val="7ED20D8D"/>
    <w:rsid w:val="7EEA61BC"/>
    <w:rsid w:val="7EFB5A2C"/>
    <w:rsid w:val="7F1B79F1"/>
    <w:rsid w:val="7F1D5CFA"/>
    <w:rsid w:val="7F6F40E9"/>
    <w:rsid w:val="7F7E77BA"/>
    <w:rsid w:val="7F8F0E80"/>
    <w:rsid w:val="DDEFFFC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1337</Words>
  <Characters>1467</Characters>
  <Lines>90</Lines>
  <Paragraphs>25</Paragraphs>
  <TotalTime>45</TotalTime>
  <ScaleCrop>false</ScaleCrop>
  <LinksUpToDate>false</LinksUpToDate>
  <CharactersWithSpaces>1513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2026-06-24T16:39:29Z</cp:lastPrinted>
  <dcterms:modified xsi:type="dcterms:W3CDTF">2026-07-15T15:33:16Z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eyJoZGlkIjoiMDg2NWI4Nzc3MWRjNmZiYjZlMzJlMWI1OGYxYTdhZGEiLCJ1c2VySWQiOiIxNTkxMTE2NDU5In0=</vt:lpwstr>
  </property>
  <property fmtid="{D5CDD505-2E9C-101B-9397-08002B2CF9AE}" pid="4" name="ICV">
    <vt:lpwstr>FE8DD8100CAB968FBC37576A7691B85C_43</vt:lpwstr>
  </property>
</Properties>
</file>