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3AED29">
      <w:pPr>
        <w:jc w:val="center"/>
        <w:rPr>
          <w:rFonts w:hint="eastAsia" w:ascii="楷体" w:hAnsi="楷体" w:eastAsia="楷体"/>
          <w:b/>
          <w:sz w:val="72"/>
          <w:szCs w:val="72"/>
        </w:rPr>
      </w:pPr>
      <w:bookmarkStart w:id="109" w:name="_GoBack"/>
      <w:bookmarkEnd w:id="109"/>
    </w:p>
    <w:p w14:paraId="5210FAD7">
      <w:pPr>
        <w:jc w:val="center"/>
        <w:rPr>
          <w:rFonts w:hint="eastAsia" w:ascii="楷体" w:hAnsi="楷体" w:eastAsia="楷体"/>
          <w:b/>
          <w:sz w:val="72"/>
          <w:szCs w:val="72"/>
        </w:rPr>
      </w:pPr>
    </w:p>
    <w:p w14:paraId="2F0A2819">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13F19385">
      <w:pPr>
        <w:spacing w:line="600" w:lineRule="exact"/>
        <w:jc w:val="center"/>
      </w:pPr>
      <w:r>
        <w:rPr>
          <w:rFonts w:hint="eastAsia" w:ascii="楷体" w:hAnsi="楷体" w:eastAsia="楷体"/>
          <w:kern w:val="2"/>
          <w:sz w:val="32"/>
          <w:szCs w:val="32"/>
          <w:lang w:val="en-US" w:eastAsia="zh-CN" w:bidi="ar-SA"/>
        </w:rPr>
        <w:t>{{ address }}</w:t>
      </w:r>
      <w:bookmarkStart w:id="2" w:name="OLE_LINK6_ai"/>
      <w:bookmarkEnd w:id="2"/>
    </w:p>
    <w:p w14:paraId="016E5380">
      <w:pPr>
        <w:spacing w:line="600" w:lineRule="exact"/>
        <w:jc w:val="center"/>
      </w:pPr>
      <w:r>
        <w:rPr>
          <w:rFonts w:hint="eastAsia" w:ascii="楷体" w:hAnsi="楷体" w:eastAsia="楷体"/>
          <w:kern w:val="2"/>
          <w:sz w:val="32"/>
          <w:szCs w:val="32"/>
          <w:lang w:val="en-US" w:eastAsia="zh-CN" w:bidi="ar-SA"/>
        </w:rPr>
        <w:t>的土地租赁价值评估项目</w:t>
      </w:r>
    </w:p>
    <w:p w14:paraId="490DFAA2">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4C7BC9DA">
      <w:pPr>
        <w:spacing w:line="500" w:lineRule="exact"/>
        <w:jc w:val="center"/>
      </w:pPr>
      <w:r>
        <w:rPr>
          <w:rFonts w:hint="eastAsia" w:ascii="楷体" w:hAnsi="楷体" w:eastAsia="楷体"/>
          <w:b/>
          <w:kern w:val="2"/>
          <w:sz w:val="24"/>
          <w:szCs w:val="24"/>
          <w:lang w:val="en-US" w:eastAsia="zh-CN" w:bidi="ar-SA"/>
        </w:rPr>
        <w:t>{{ report_no }}</w:t>
      </w:r>
    </w:p>
    <w:p w14:paraId="4A7D2606">
      <w:pPr>
        <w:spacing w:line="500" w:lineRule="exact"/>
        <w:jc w:val="center"/>
        <w:rPr>
          <w:rFonts w:hint="eastAsia" w:ascii="楷体" w:hAnsi="楷体" w:eastAsia="楷体"/>
          <w:b/>
          <w:sz w:val="52"/>
          <w:szCs w:val="52"/>
        </w:rPr>
      </w:pPr>
    </w:p>
    <w:p w14:paraId="0E578791">
      <w:pPr>
        <w:spacing w:line="500" w:lineRule="exact"/>
        <w:jc w:val="center"/>
        <w:rPr>
          <w:rFonts w:hint="eastAsia" w:ascii="楷体" w:hAnsi="楷体" w:eastAsia="楷体"/>
          <w:b/>
          <w:sz w:val="52"/>
          <w:szCs w:val="52"/>
        </w:rPr>
      </w:pPr>
    </w:p>
    <w:p w14:paraId="1186A68A">
      <w:pPr>
        <w:tabs>
          <w:tab w:val="right" w:pos="9000"/>
        </w:tabs>
        <w:spacing w:line="1000" w:lineRule="exact"/>
        <w:rPr>
          <w:rFonts w:hint="eastAsia" w:ascii="楷体" w:hAnsi="楷体" w:eastAsia="楷体"/>
          <w:b/>
          <w:kern w:val="0"/>
          <w:sz w:val="32"/>
          <w:szCs w:val="32"/>
        </w:rPr>
      </w:pPr>
    </w:p>
    <w:p w14:paraId="0E6CC592">
      <w:pPr>
        <w:spacing w:line="1000" w:lineRule="exact"/>
      </w:pPr>
      <w:r>
        <w:rPr>
          <w:rFonts w:hint="eastAsia" w:ascii="楷体" w:hAnsi="楷体" w:eastAsia="楷体"/>
          <w:b/>
          <w:kern w:val="2"/>
          <w:sz w:val="32"/>
          <w:szCs w:val="32"/>
          <w:lang w:val="en-US" w:eastAsia="zh-CN" w:bidi="ar-SA"/>
        </w:rPr>
        <w:t>估 价 委 托 人：</w:t>
      </w:r>
      <w:r>
        <w:rPr>
          <w:rFonts w:hint="eastAsia" w:ascii="楷体" w:hAnsi="楷体" w:eastAsia="楷体"/>
          <w:kern w:val="2"/>
          <w:sz w:val="32"/>
          <w:szCs w:val="32"/>
          <w:lang w:val="en-US" w:eastAsia="zh-CN" w:bidi="ar-SA"/>
        </w:rPr>
        <w:t>{{ owner }}</w:t>
      </w:r>
    </w:p>
    <w:p w14:paraId="0E59BB18">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2F1B6D">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51924416">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7998D517">
      <w:pPr>
        <w:spacing w:line="1000" w:lineRule="exact"/>
      </w:pPr>
      <w:r>
        <w:rPr>
          <w:rFonts w:hint="eastAsia" w:ascii="楷体" w:hAnsi="楷体" w:eastAsia="楷体"/>
          <w:b/>
          <w:kern w:val="2"/>
          <w:sz w:val="32"/>
          <w:szCs w:val="32"/>
          <w:lang w:val="en-US" w:eastAsia="zh-CN" w:bidi="ar-SA"/>
        </w:rPr>
        <w:t>估价报告出具日期：</w:t>
      </w:r>
      <w:r>
        <w:rPr>
          <w:rFonts w:hint="eastAsia" w:ascii="楷体" w:hAnsi="楷体" w:eastAsia="楷体"/>
          <w:kern w:val="2"/>
          <w:sz w:val="32"/>
          <w:szCs w:val="32"/>
          <w:lang w:val="en-US" w:eastAsia="zh-CN" w:bidi="ar-SA"/>
        </w:rPr>
        <w:t>{{ issue_date }}</w:t>
      </w:r>
    </w:p>
    <w:p w14:paraId="67650D81">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F99877D">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523D8C00">
      <w:pPr>
        <w:spacing w:before="156" w:beforeLines="50" w:line="510" w:lineRule="exact"/>
        <w:jc w:val="left"/>
        <w:outlineLvl w:val="1"/>
      </w:pPr>
      <w:bookmarkStart w:id="3" w:name="_Toc30128_ai"/>
      <w:bookmarkStart w:id="4" w:name="_Toc221711012_ai"/>
      <w:bookmarkStart w:id="5" w:name="_Toc221710846_ai"/>
      <w:r>
        <w:rPr>
          <w:rFonts w:hint="eastAsia" w:ascii="楷体" w:hAnsi="楷体" w:eastAsia="楷体"/>
          <w:b/>
          <w:kern w:val="2"/>
          <w:sz w:val="28"/>
          <w:szCs w:val="28"/>
          <w:lang w:val="en-US" w:eastAsia="zh-CN" w:bidi="ar-SA"/>
        </w:rPr>
        <w:t>{{ owner }}：</w:t>
      </w:r>
      <w:bookmarkEnd w:id="3"/>
      <w:bookmarkEnd w:id="4"/>
      <w:bookmarkEnd w:id="5"/>
    </w:p>
    <w:p w14:paraId="47A92887">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}}的土地进行了租赁价值评估。现综述如下：</w:t>
      </w:r>
    </w:p>
    <w:p w14:paraId="24035015">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2F443BCD">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w:t>
      </w:r>
      <w:r>
        <w:rPr>
          <w:rFonts w:hint="eastAsia" w:ascii="楷体" w:hAnsi="楷体" w:eastAsia="楷体" w:cs="宋体"/>
          <w:kern w:val="2"/>
          <w:sz w:val="28"/>
          <w:szCs w:val="28"/>
          <w:lang w:val="en-US" w:eastAsia="zh-CN" w:bidi="ar-SA"/>
        </w:rPr>
        <w:t>：</w:t>
      </w:r>
      <w:bookmarkStart w:id="7" w:name="OLE_LINK1_ai"/>
      <w:r>
        <w:rPr>
          <w:rFonts w:hint="eastAsia" w:ascii="楷体" w:hAnsi="楷体" w:eastAsia="楷体" w:cs="宋体"/>
          <w:kern w:val="2"/>
          <w:sz w:val="28"/>
          <w:szCs w:val="28"/>
          <w:lang w:val="en-US" w:eastAsia="zh-CN" w:bidi="ar-SA"/>
        </w:rPr>
        <w:t>{{ owner }}位于{{ address }}的土地。</w:t>
      </w:r>
      <w:bookmarkEnd w:id="7"/>
      <w:r>
        <w:rPr>
          <w:rFonts w:hint="eastAsia" w:ascii="楷体" w:hAnsi="楷体" w:eastAsia="楷体" w:cs="宋体"/>
          <w:kern w:val="2"/>
          <w:sz w:val="28"/>
          <w:szCs w:val="28"/>
          <w:lang w:val="en-US" w:eastAsia="zh-CN" w:bidi="ar-SA"/>
        </w:rPr>
        <w:t>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7FAFC0AE">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AD87F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A79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515E9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D1AA42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0914D1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7894E5DE"/>
    <w:bookmarkEnd w:id="6"/>
    <w:p w14:paraId="6180B667">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bookmarkStart w:id="8" w:name="OLE_LINK4_ai"/>
      <w:bookmarkEnd w:id="8"/>
    </w:p>
    <w:p w14:paraId="4AEFB79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：2026年4月20日（实地查勘之日）。</w:t>
      </w:r>
    </w:p>
    <w:p w14:paraId="07431C33">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EFF3E7C">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7930A85A">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确定估价对象的年租赁价值为70000元，大写：人民币柒万元整，详见下表。</w:t>
      </w:r>
    </w:p>
    <w:p w14:paraId="0811C221">
      <w:pPr>
        <w:snapToGrid w:val="0"/>
        <w:spacing w:line="500" w:lineRule="exact"/>
        <w:ind w:left="71" w:firstLine="493" w:firstLineChars="176"/>
        <w:jc w:val="left"/>
        <w:rPr>
          <w:rFonts w:hint="eastAsia" w:ascii="楷体" w:hAnsi="楷体" w:eastAsia="楷体" w:cs="仿宋"/>
          <w:b/>
          <w:bCs/>
          <w:sz w:val="28"/>
          <w:szCs w:val="28"/>
        </w:rPr>
      </w:pPr>
    </w:p>
    <w:p w14:paraId="0AAA4C44">
      <w:pPr>
        <w:snapToGrid w:val="0"/>
        <w:spacing w:line="500" w:lineRule="exact"/>
        <w:ind w:left="71" w:firstLine="493" w:firstLineChars="176"/>
        <w:jc w:val="left"/>
        <w:rPr>
          <w:rFonts w:hint="eastAsia" w:ascii="楷体" w:hAnsi="楷体" w:eastAsia="楷体" w:cs="仿宋"/>
          <w:b/>
          <w:bCs/>
          <w:sz w:val="28"/>
          <w:szCs w:val="28"/>
        </w:rPr>
      </w:pPr>
    </w:p>
    <w:p w14:paraId="18B90AA9">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51162719">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42F8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51B93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8EF09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8F4E6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6E826B0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503C4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年租赁单价       （元/亩・年）</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B7EC0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05E73AC6">
        <w:trPr>
          <w:trHeight w:val="582"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BE4F732"/>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4DF5ED7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49A749F"/>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B076D2"/>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36C2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6C0E89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5FF4E1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bl>
    <w:p w14:paraId="2FCC5BFD"/>
    <w:p w14:paraId="74452FED">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1FA15D1B">
      <w:pPr>
        <w:spacing w:line="500" w:lineRule="exact"/>
        <w:ind w:firstLine="560" w:firstLineChars="200"/>
        <w:rPr>
          <w:rFonts w:hint="eastAsia" w:ascii="楷体" w:hAnsi="楷体" w:eastAsia="楷体" w:cs="仿宋"/>
          <w:kern w:val="2"/>
          <w:sz w:val="28"/>
          <w:szCs w:val="28"/>
          <w:lang w:val="en-US" w:eastAsia="zh-CN" w:bidi="ar-SA"/>
        </w:rPr>
      </w:pPr>
      <w:bookmarkStart w:id="9" w:name="_Toc221710847"/>
      <w:bookmarkStart w:id="10" w:name="_Toc221711013"/>
      <w:bookmarkStart w:id="11" w:name="_Toc787"/>
      <w:r>
        <w:rPr>
          <w:rFonts w:hint="eastAsia" w:ascii="楷体" w:hAnsi="楷体" w:eastAsia="楷体" w:cs="宋体"/>
          <w:kern w:val="2"/>
          <w:sz w:val="28"/>
          <w:szCs w:val="28"/>
          <w:lang w:val="en-US" w:eastAsia="zh-CN" w:bidi="ar-SA"/>
        </w:rPr>
        <w:t>（1）本估价结果使用有效期限为从本报告出具之日起一年（{{ issue_date }}至2027年4月26日止），若未满足上述条件，需重新估价。</w:t>
      </w:r>
    </w:p>
    <w:p w14:paraId="1253FE2E">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B01C9C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lang w:eastAsia="zh-CN"/>
        </w:rPr>
        <w:t>（3）</w:t>
      </w:r>
      <w:r>
        <w:rPr>
          <w:rFonts w:hint="eastAsia" w:ascii="楷体" w:hAnsi="楷体" w:eastAsia="楷体" w:cs="仿宋"/>
          <w:sz w:val="28"/>
          <w:szCs w:val="28"/>
        </w:rPr>
        <w:t>本次估价对象未取得《不动产权证》，使用无证</w:t>
      </w:r>
      <w:r>
        <w:rPr>
          <w:rFonts w:hint="eastAsia" w:ascii="楷体" w:hAnsi="楷体" w:eastAsia="楷体" w:cs="仿宋"/>
          <w:sz w:val="28"/>
          <w:szCs w:val="28"/>
          <w:lang w:val="en-US" w:eastAsia="zh-CN"/>
        </w:rPr>
        <w:t>土地</w:t>
      </w:r>
      <w:r>
        <w:rPr>
          <w:rFonts w:hint="eastAsia" w:ascii="楷体" w:hAnsi="楷体" w:eastAsia="楷体" w:cs="仿宋"/>
          <w:sz w:val="28"/>
          <w:szCs w:val="28"/>
        </w:rPr>
        <w:t>存在一定风险，提请委托人及报告使用者注意。</w:t>
      </w:r>
    </w:p>
    <w:p w14:paraId="466D46C7">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lang w:eastAsia="zh-CN"/>
        </w:rPr>
        <w:t>（4）</w:t>
      </w:r>
      <w:r>
        <w:rPr>
          <w:rFonts w:hint="eastAsia" w:ascii="楷体" w:hAnsi="楷体" w:eastAsia="楷体"/>
          <w:sz w:val="28"/>
        </w:rPr>
        <w:t>本函仅为估价报告的内容摘要，请估价委托人和估价报告使用者全面仔细地阅读估价报告全文。</w:t>
      </w:r>
    </w:p>
    <w:p w14:paraId="0CB24CB1">
      <w:pPr>
        <w:spacing w:line="500" w:lineRule="exact"/>
        <w:ind w:left="420" w:leftChars="200" w:firstLine="3080" w:firstLineChars="1100"/>
        <w:rPr>
          <w:rFonts w:hint="eastAsia" w:ascii="楷体" w:hAnsi="楷体" w:eastAsia="楷体" w:cs="仿宋"/>
          <w:sz w:val="28"/>
          <w:szCs w:val="28"/>
        </w:rPr>
      </w:pPr>
    </w:p>
    <w:p w14:paraId="1ACF1658">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270BA745">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77B064B3">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44406123">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0008A130">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47DDAD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18108B6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7CBD37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013672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AFA5BA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C585B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928BC7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5A23A7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CC25CE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4CC651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61027B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14FEF5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B9A9A3E">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727C6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D5782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E2A7C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0CD43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0F5EF5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510521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2E02A8F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56AD5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9786E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2C96FE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711E07D">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2799A0DE">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BAAAA18">
      <w:pPr>
        <w:spacing w:before="312" w:beforeLines="100" w:after="156" w:afterLines="50" w:line="360" w:lineRule="auto"/>
        <w:jc w:val="center"/>
        <w:outlineLvl w:val="0"/>
        <w:rPr>
          <w:rFonts w:hint="eastAsia" w:ascii="楷体" w:hAnsi="楷体" w:eastAsia="楷体"/>
          <w:bCs/>
          <w:sz w:val="28"/>
          <w:szCs w:val="28"/>
        </w:rPr>
      </w:pPr>
      <w:bookmarkStart w:id="12" w:name="_Toc484941653"/>
      <w:bookmarkStart w:id="13" w:name="_Toc505087745"/>
      <w:bookmarkStart w:id="14" w:name="_Toc25605"/>
      <w:bookmarkStart w:id="15" w:name="_Toc221710848"/>
      <w:r>
        <w:rPr>
          <w:rFonts w:hint="eastAsia" w:ascii="楷体" w:hAnsi="楷体" w:eastAsia="楷体"/>
          <w:b/>
          <w:bCs/>
          <w:sz w:val="48"/>
          <w:szCs w:val="48"/>
        </w:rPr>
        <w:t>估价师声明</w:t>
      </w:r>
      <w:bookmarkEnd w:id="12"/>
      <w:bookmarkEnd w:id="13"/>
      <w:bookmarkEnd w:id="14"/>
      <w:bookmarkEnd w:id="15"/>
    </w:p>
    <w:p w14:paraId="4FEB135E">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33E24C33">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注册房地产估价师在本估价报告中陈述的事实是真实和准确的，没有虚假记载、误导性陈述和重大遗漏。</w:t>
      </w:r>
    </w:p>
    <w:p w14:paraId="633FCB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本估价报告中的分析、意见和结论是注册房地产估价师独立、客观、公正的专业分析、意见和结论，在估价中做到勤勉尽责，但受到本估价报告中已说明的估价假设和限制条件的限制。</w:t>
      </w:r>
    </w:p>
    <w:p w14:paraId="4D635E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注册房地产估价师与估价报告中的估价委托人没有利害关系，与估价报告中的估价对象及有关当事人也没有个人利害关系或偏见。</w:t>
      </w:r>
    </w:p>
    <w:p w14:paraId="1B725F12">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注册房地产估价师依照中华人民共和国国家标准《房地产估价规范》（GB/T50291-2015）、《房地产估价基本术语标准》（GB/T50899-2013）进行分析，形成意见和结论，撰写本估价报告。</w:t>
      </w:r>
    </w:p>
    <w:p w14:paraId="28E0FB41">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FE6702F">
        <w:trPr>
          <w:wBefore w:w="0" w:type="auto"/>
          <w:wAfter w:w="0" w:type="auto"/>
          <w:trHeight w:val="611" w:hRule="exact"/>
        </w:trPr>
        <w:tc>
          <w:tcPr>
            <w:tcW w:w="1640" w:type="dxa"/>
            <w:noWrap w:val="0"/>
            <w:vAlign w:val="center"/>
          </w:tcPr>
          <w:p w14:paraId="3D8FB4C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4613FE92">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D1446A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7DF1A3D3">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14FAC9E">
        <w:trPr>
          <w:wBefore w:w="0" w:type="auto"/>
          <w:wAfter w:w="0" w:type="auto"/>
          <w:trHeight w:val="1259" w:hRule="exact"/>
        </w:trPr>
        <w:tc>
          <w:tcPr>
            <w:tcW w:w="1640" w:type="dxa"/>
            <w:noWrap w:val="0"/>
            <w:vAlign w:val="center"/>
          </w:tcPr>
          <w:p w14:paraId="72E28823">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6097A5C4">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420A8CE">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656ABDD5">
            <w:pPr>
              <w:tabs>
                <w:tab w:val="left" w:pos="8931"/>
                <w:tab w:val="left" w:pos="9214"/>
                <w:tab w:val="left" w:pos="9240"/>
              </w:tabs>
              <w:spacing w:line="440" w:lineRule="exact"/>
              <w:ind w:left="105" w:leftChars="50" w:right="168" w:rightChars="80"/>
              <w:rPr>
                <w:rFonts w:ascii="楷体" w:hAnsi="楷体" w:eastAsia="楷体"/>
                <w:sz w:val="28"/>
              </w:rPr>
            </w:pPr>
          </w:p>
        </w:tc>
      </w:tr>
      <w:tr w14:paraId="3E87910D">
        <w:trPr>
          <w:wBefore w:w="0" w:type="auto"/>
          <w:wAfter w:w="0" w:type="auto"/>
          <w:trHeight w:val="1406" w:hRule="exact"/>
        </w:trPr>
        <w:tc>
          <w:tcPr>
            <w:tcW w:w="1640" w:type="dxa"/>
            <w:noWrap w:val="0"/>
            <w:vAlign w:val="center"/>
          </w:tcPr>
          <w:p w14:paraId="448E4694">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2C1F5694">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6C037BC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6E3E4D9">
            <w:pPr>
              <w:tabs>
                <w:tab w:val="left" w:pos="8931"/>
                <w:tab w:val="left" w:pos="9214"/>
                <w:tab w:val="left" w:pos="9240"/>
              </w:tabs>
              <w:spacing w:line="440" w:lineRule="exact"/>
              <w:ind w:left="105" w:leftChars="50" w:right="168" w:rightChars="80"/>
              <w:rPr>
                <w:rFonts w:ascii="楷体" w:hAnsi="楷体" w:eastAsia="楷体"/>
                <w:sz w:val="28"/>
              </w:rPr>
            </w:pPr>
          </w:p>
        </w:tc>
      </w:tr>
    </w:tbl>
    <w:p w14:paraId="3D854C1E">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1E8E4629">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6E0C0F8">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059766AF">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0850"/>
      <w:bookmarkStart w:id="22" w:name="_Toc29912"/>
      <w:bookmarkStart w:id="23" w:name="_Toc505087747"/>
      <w:r>
        <w:rPr>
          <w:rFonts w:hint="eastAsia" w:ascii="楷体" w:hAnsi="楷体" w:eastAsia="楷体"/>
          <w:b/>
          <w:bCs/>
          <w:sz w:val="28"/>
          <w:szCs w:val="28"/>
        </w:rPr>
        <w:t>一、一般性假设</w:t>
      </w:r>
      <w:bookmarkEnd w:id="20"/>
      <w:bookmarkEnd w:id="21"/>
      <w:bookmarkEnd w:id="22"/>
      <w:bookmarkEnd w:id="23"/>
    </w:p>
    <w:p w14:paraId="6A07CC18">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6E35D37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w:t>
      </w:r>
      <w:r>
        <w:rPr>
          <w:rFonts w:hint="eastAsia" w:ascii="楷体" w:hAnsi="楷体" w:eastAsia="楷体"/>
          <w:bCs/>
          <w:sz w:val="28"/>
          <w:szCs w:val="28"/>
          <w:lang w:val="en-US" w:eastAsia="zh-CN"/>
        </w:rPr>
        <w:t>估价对象的</w:t>
      </w:r>
      <w:r>
        <w:rPr>
          <w:rFonts w:hint="eastAsia" w:ascii="楷体" w:hAnsi="楷体" w:eastAsia="楷体"/>
          <w:bCs/>
          <w:sz w:val="28"/>
          <w:szCs w:val="28"/>
        </w:rPr>
        <w:t>环境污染等影响估价对象价值的重大因素给予了关注，在无理由怀疑估价对象存在安全隐患且无相应的专业机构进行鉴定、检测的情况下，假定估价对象能正常安全使用。</w:t>
      </w:r>
    </w:p>
    <w:p w14:paraId="400C832C">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2AA8553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5F6097A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70012F3">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1B756D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7902952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估价时未考虑估价对象抵押、租赁、债务等对估价结果的影响。</w:t>
      </w:r>
      <w:bookmarkStart w:id="24" w:name="_Toc484941656"/>
      <w:bookmarkStart w:id="25" w:name="_Toc505087748"/>
    </w:p>
    <w:p w14:paraId="4A4BD4CD">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eastAsia="zh-CN"/>
        </w:rPr>
        <w:t>5.</w:t>
      </w:r>
      <w:r>
        <w:rPr>
          <w:rFonts w:hint="eastAsia" w:ascii="楷体" w:hAnsi="楷体" w:eastAsia="楷体"/>
          <w:sz w:val="28"/>
          <w:szCs w:val="24"/>
        </w:rPr>
        <w:t>本估价报告中估价对象在价值时点状况与完成实地勘查之日一致。</w:t>
      </w:r>
    </w:p>
    <w:p w14:paraId="321AA3D6">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63FEAB94">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447A2BE7">
      <w:pPr>
        <w:spacing w:before="156" w:beforeLines="50" w:line="510" w:lineRule="exact"/>
        <w:jc w:val="left"/>
        <w:outlineLvl w:val="1"/>
        <w:rPr>
          <w:rFonts w:hint="eastAsia" w:ascii="楷体" w:hAnsi="楷体" w:eastAsia="楷体"/>
          <w:b/>
          <w:bCs/>
          <w:sz w:val="28"/>
          <w:szCs w:val="28"/>
        </w:rPr>
      </w:pPr>
      <w:bookmarkStart w:id="28" w:name="_Toc484941657"/>
      <w:bookmarkStart w:id="29" w:name="_Toc221710852"/>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2E34EB5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65A28FBA">
      <w:pPr>
        <w:spacing w:before="156" w:beforeLines="50" w:line="510" w:lineRule="exact"/>
        <w:jc w:val="left"/>
        <w:outlineLvl w:val="1"/>
        <w:rPr>
          <w:rFonts w:hint="eastAsia" w:ascii="楷体" w:hAnsi="楷体" w:eastAsia="楷体"/>
          <w:b/>
          <w:bCs/>
          <w:sz w:val="28"/>
          <w:szCs w:val="28"/>
        </w:rPr>
      </w:pPr>
      <w:bookmarkStart w:id="32" w:name="_Toc221710853"/>
      <w:bookmarkStart w:id="33" w:name="_Toc484941658"/>
      <w:bookmarkStart w:id="34" w:name="_Toc4865"/>
      <w:bookmarkStart w:id="35" w:name="_Toc505087750"/>
      <w:r>
        <w:rPr>
          <w:rFonts w:hint="eastAsia" w:ascii="楷体" w:hAnsi="楷体" w:eastAsia="楷体"/>
          <w:b/>
          <w:bCs/>
          <w:sz w:val="28"/>
          <w:szCs w:val="28"/>
        </w:rPr>
        <w:t>四、不相一致假设</w:t>
      </w:r>
      <w:bookmarkEnd w:id="32"/>
      <w:bookmarkEnd w:id="33"/>
      <w:bookmarkEnd w:id="34"/>
      <w:bookmarkEnd w:id="35"/>
    </w:p>
    <w:p w14:paraId="4F847BD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33CB1002">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17987"/>
      <w:bookmarkStart w:id="40" w:name="_Toc484941659"/>
      <w:r>
        <w:rPr>
          <w:rFonts w:hint="eastAsia" w:ascii="楷体" w:hAnsi="楷体" w:eastAsia="楷体"/>
          <w:b/>
          <w:bCs/>
          <w:sz w:val="28"/>
          <w:szCs w:val="28"/>
        </w:rPr>
        <w:t>五、依据不足假设</w:t>
      </w:r>
      <w:bookmarkEnd w:id="37"/>
      <w:bookmarkEnd w:id="38"/>
      <w:bookmarkEnd w:id="39"/>
      <w:bookmarkEnd w:id="40"/>
    </w:p>
    <w:p w14:paraId="415134EE">
      <w:pPr>
        <w:spacing w:line="510" w:lineRule="exact"/>
        <w:ind w:firstLine="560" w:firstLineChars="200"/>
        <w:jc w:val="left"/>
        <w:rPr>
          <w:rFonts w:hint="eastAsia" w:ascii="楷体" w:hAnsi="楷体" w:eastAsia="楷体"/>
          <w:bCs/>
          <w:kern w:val="2"/>
          <w:sz w:val="28"/>
          <w:szCs w:val="28"/>
          <w:lang w:val="en-US" w:eastAsia="zh-CN" w:bidi="ar-SA"/>
        </w:rPr>
      </w:pPr>
      <w:bookmarkStart w:id="41" w:name="_Toc24096"/>
      <w:bookmarkStart w:id="42" w:name="_Toc484941660"/>
      <w:bookmarkStart w:id="43" w:name="_Toc221710855"/>
      <w:bookmarkStart w:id="44" w:name="_Toc505087752"/>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未取得《不动产权证》，根据《委托评估协议书》设定：{{ owner }}位于{{ address }}的土地，估价对象范围为土地使用权面积50.00亩，设定出租用途为{{ usage }}。若离开上述前提，本次估价结果应做相应调整乃至重新评估。</w:t>
      </w:r>
    </w:p>
    <w:p w14:paraId="2F26ADD8">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3D850104">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1.本估价机构的估价范围由委托人指认，并由现场查勘记录人员郑伟娜记录，如与实际需估价范围有出入，应以书面告知，估价结果也做相应调整。</w:t>
      </w:r>
    </w:p>
    <w:p w14:paraId="418BB4F4">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80E04C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68000C2D">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54F2C120">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0165F066">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70E45DC7">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371A0067">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E2B94B9">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F25019C">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31D06CB">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77DACDE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7918"/>
      <w:r>
        <w:rPr>
          <w:rFonts w:hint="eastAsia" w:ascii="楷体" w:hAnsi="楷体" w:eastAsia="楷体"/>
          <w:b/>
          <w:bCs/>
          <w:sz w:val="48"/>
          <w:szCs w:val="48"/>
        </w:rPr>
        <w:t>估价结果报告</w:t>
      </w:r>
      <w:bookmarkEnd w:id="45"/>
      <w:bookmarkEnd w:id="46"/>
      <w:bookmarkEnd w:id="47"/>
      <w:bookmarkEnd w:id="48"/>
    </w:p>
    <w:p w14:paraId="7422D8F7">
      <w:pPr>
        <w:spacing w:before="156" w:beforeLines="50" w:line="560" w:lineRule="exact"/>
        <w:jc w:val="left"/>
        <w:outlineLvl w:val="1"/>
        <w:rPr>
          <w:rFonts w:hint="eastAsia" w:ascii="楷体" w:hAnsi="楷体" w:eastAsia="楷体"/>
          <w:b/>
          <w:bCs/>
          <w:sz w:val="28"/>
          <w:szCs w:val="28"/>
        </w:rPr>
      </w:pPr>
      <w:bookmarkStart w:id="49" w:name="_Toc484941662"/>
      <w:bookmarkStart w:id="50" w:name="_Toc14953"/>
      <w:bookmarkStart w:id="51" w:name="_Toc221710857"/>
      <w:bookmarkStart w:id="52" w:name="_Toc505087754"/>
      <w:r>
        <w:rPr>
          <w:rFonts w:hint="eastAsia" w:ascii="楷体" w:hAnsi="楷体" w:eastAsia="楷体"/>
          <w:b/>
          <w:bCs/>
          <w:sz w:val="28"/>
          <w:szCs w:val="28"/>
        </w:rPr>
        <w:t>一、估价委托人</w:t>
      </w:r>
      <w:bookmarkEnd w:id="49"/>
      <w:bookmarkEnd w:id="50"/>
      <w:bookmarkEnd w:id="51"/>
      <w:bookmarkEnd w:id="52"/>
    </w:p>
    <w:p w14:paraId="31622078">
      <w:pPr>
        <w:spacing w:line="560" w:lineRule="exact"/>
        <w:ind w:firstLine="560" w:firstLineChars="200"/>
        <w:jc w:val="left"/>
      </w:pPr>
      <w:bookmarkStart w:id="53" w:name="_Toc484941663"/>
      <w:bookmarkStart w:id="54" w:name="_Toc505087755"/>
      <w:r>
        <w:rPr>
          <w:rFonts w:hint="eastAsia" w:ascii="楷体" w:hAnsi="楷体" w:eastAsia="楷体" w:cs="宋体"/>
          <w:kern w:val="2"/>
          <w:sz w:val="28"/>
          <w:szCs w:val="28"/>
          <w:lang w:val="en-US" w:eastAsia="zh-CN" w:bidi="ar-SA"/>
        </w:rPr>
        <w:t>委托人名称：{{ owner }}</w:t>
      </w:r>
    </w:p>
    <w:p w14:paraId="0B3CBD15">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址：杭州市钱塘区义蓬街道义蓬村</w:t>
      </w:r>
    </w:p>
    <w:p w14:paraId="0915C6D1">
      <w:pPr>
        <w:spacing w:line="560" w:lineRule="exact"/>
        <w:ind w:firstLine="560" w:firstLineChars="200"/>
        <w:jc w:val="left"/>
        <w:rPr>
          <w:rFonts w:hint="eastAsia" w:ascii="楷体" w:hAnsi="楷体" w:eastAsia="楷体"/>
          <w:bCs/>
          <w:kern w:val="2"/>
          <w:sz w:val="28"/>
          <w:szCs w:val="28"/>
          <w:lang w:val="en-US" w:eastAsia="zh-CN" w:bidi="ar-SA"/>
        </w:rPr>
      </w:pPr>
      <w:bookmarkStart w:id="55" w:name="_Toc221710858"/>
      <w:bookmarkStart w:id="56" w:name="_Toc10968"/>
      <w:r>
        <w:rPr>
          <w:rFonts w:hint="eastAsia" w:ascii="楷体" w:hAnsi="楷体" w:eastAsia="楷体" w:cs="宋体"/>
          <w:kern w:val="2"/>
          <w:sz w:val="28"/>
          <w:szCs w:val="28"/>
          <w:lang w:val="en-US" w:eastAsia="zh-CN" w:bidi="ar-SA"/>
        </w:rPr>
        <w:t>法定代表人或负责人：周国祥</w:t>
      </w:r>
    </w:p>
    <w:p w14:paraId="45B2B31D">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352B19AA">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0561164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5F392E82">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2EAB24E2">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08D7B86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082ED2">
      <w:pPr>
        <w:spacing w:before="156" w:beforeLines="50" w:line="560" w:lineRule="exact"/>
        <w:jc w:val="left"/>
        <w:outlineLvl w:val="1"/>
        <w:rPr>
          <w:rFonts w:hint="eastAsia" w:ascii="楷体" w:hAnsi="楷体" w:eastAsia="楷体"/>
          <w:b/>
          <w:bCs/>
          <w:sz w:val="28"/>
          <w:szCs w:val="28"/>
        </w:rPr>
      </w:pPr>
      <w:bookmarkStart w:id="57" w:name="_Toc484941664"/>
      <w:bookmarkStart w:id="58" w:name="_Toc221710859"/>
      <w:bookmarkStart w:id="59" w:name="_Toc505087756"/>
      <w:bookmarkStart w:id="60" w:name="_Toc15159"/>
      <w:r>
        <w:rPr>
          <w:rFonts w:hint="eastAsia" w:ascii="楷体" w:hAnsi="楷体" w:eastAsia="楷体"/>
          <w:b/>
          <w:bCs/>
          <w:sz w:val="28"/>
          <w:szCs w:val="28"/>
        </w:rPr>
        <w:t>三、估价目的</w:t>
      </w:r>
      <w:bookmarkEnd w:id="57"/>
      <w:bookmarkEnd w:id="58"/>
      <w:bookmarkEnd w:id="59"/>
      <w:bookmarkEnd w:id="60"/>
    </w:p>
    <w:p w14:paraId="53872D58">
      <w:pPr>
        <w:spacing w:line="360" w:lineRule="auto"/>
        <w:ind w:firstLine="560" w:firstLineChars="200"/>
        <w:jc w:val="left"/>
        <w:rPr>
          <w:rFonts w:hint="eastAsia" w:ascii="楷体" w:hAnsi="楷体" w:eastAsia="楷体"/>
          <w:bCs/>
          <w:sz w:val="28"/>
          <w:szCs w:val="28"/>
        </w:rPr>
      </w:pPr>
      <w:bookmarkStart w:id="61" w:name="_Toc505087757"/>
      <w:bookmarkStart w:id="62" w:name="_Toc484941665"/>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6DF92278">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2E176CA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40090D1F">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}}的土地。本次估价范围包含土地使用权，不包含水电费、债权债务、特许经营权等其他权利。</w:t>
      </w:r>
    </w:p>
    <w:p w14:paraId="4FCE1E2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22BE2FD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}}的土地。估价对象未取得《不动产权证》。根据《委托评估协议书》记载估价对象基本情况如下：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300E176F">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8367D2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A1B90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3C2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8A7B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202380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0360D0F8"/>
    <w:p w14:paraId="13351F2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7C0E3B7D">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6A9F1ACA">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2995554">
            <w:pPr>
              <w:keepNext w:val="0"/>
              <w:keepLines w:val="0"/>
              <w:widowControl/>
              <w:suppressLineNumbers w:val="0"/>
              <w:jc w:val="center"/>
              <w:textAlignment w:val="center"/>
            </w:pPr>
            <w:bookmarkStart w:id="65" w:name="_Toc484941666"/>
            <w:bookmarkStart w:id="66" w:name="_Toc505087758"/>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6D852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离城中心距离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36697B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距离区政府直线距离约3KM</w:t>
            </w:r>
          </w:p>
        </w:tc>
      </w:tr>
      <w:tr w14:paraId="7A7ED6F2">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506D68"/>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B9A63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离高速口距离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FF3EF4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距离萧山东高速路口直线距离约3.4KM</w:t>
            </w:r>
          </w:p>
        </w:tc>
      </w:tr>
      <w:tr w14:paraId="05E692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186211"/>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D179C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离水源地距离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F5F8E3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距离河道直线距离约4KM</w:t>
            </w:r>
          </w:p>
        </w:tc>
      </w:tr>
      <w:tr w14:paraId="71BCD244">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CCC04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CA64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977660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估价对象所在宗地东至横一线，西至义蓬街道社区卫生服务中心，北至钱塘快速路，南至教康弄。估价对象临教康弄。</w:t>
            </w:r>
          </w:p>
        </w:tc>
      </w:tr>
      <w:tr w14:paraId="01C2CD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2C3A7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A76B1A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91602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周边劳动力较多。</w:t>
            </w:r>
          </w:p>
        </w:tc>
      </w:tr>
      <w:tr w14:paraId="3E8B99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5E9333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0023C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临路宽度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AB0BA5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&gt;6-12m。</w:t>
            </w:r>
          </w:p>
        </w:tc>
      </w:tr>
      <w:tr w14:paraId="1791D22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B0464B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AFF5E0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临街道路等级</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EA8DE5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主要临街道路等级为次干道。</w:t>
            </w:r>
          </w:p>
        </w:tc>
      </w:tr>
      <w:tr w14:paraId="60FD613C">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4B16A9"/>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21A684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货车停车便利度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C9678B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035C313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70E85E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3B6FC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90DA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该宗地红线外基础设施达到“三通一平”即通路、通水、通电、场地平整。</w:t>
            </w:r>
          </w:p>
        </w:tc>
      </w:tr>
      <w:tr w14:paraId="1FD70D3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5F1B7ED"/>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A6605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DEF1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附近学校有钱塘高中、崇德实验学校；医院有社区卫生院；银行有宁波银行、萧山农商银行、中信银行；商场有义蓬购物中心。</w:t>
            </w:r>
          </w:p>
        </w:tc>
      </w:tr>
      <w:tr w14:paraId="2486CC9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177570"/>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55E1D9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A0670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日照、降水充沛。</w:t>
            </w:r>
          </w:p>
        </w:tc>
      </w:tr>
    </w:tbl>
    <w:p w14:paraId="75665736"/>
    <w:p w14:paraId="0F2A2499">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3FF80347">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166E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4C61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面积大小</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808F83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出租面积为50.00亩。</w:t>
            </w:r>
          </w:p>
        </w:tc>
      </w:tr>
      <w:tr w14:paraId="7819C0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B0CBB6"/>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CC9AB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有机质含量</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45E891D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较好。</w:t>
            </w:r>
          </w:p>
        </w:tc>
      </w:tr>
      <w:tr w14:paraId="2C5FE11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D0E0E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A706A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土壤污染程度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3DA2642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无明显污染迹象。</w:t>
            </w:r>
          </w:p>
        </w:tc>
      </w:tr>
      <w:tr w14:paraId="770F264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5A84FF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CF160A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地形坡度、坡向</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9361A6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平坦。</w:t>
            </w:r>
          </w:p>
        </w:tc>
      </w:tr>
      <w:tr w14:paraId="6AF06959">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6B722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F34AD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灌溉条件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1D22429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泥土明沟灌溉。</w:t>
            </w:r>
          </w:p>
        </w:tc>
      </w:tr>
      <w:tr w14:paraId="709CCE1F">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FF4369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B2AA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防洪排涝条件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F75B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无排水设施。</w:t>
            </w:r>
          </w:p>
        </w:tc>
      </w:tr>
      <w:tr w14:paraId="2EAD9E64">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35B672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802CF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田间道路</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9F2C93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有硬化宽度小于2.5m。</w:t>
            </w:r>
          </w:p>
        </w:tc>
      </w:tr>
      <w:tr w14:paraId="51E5D3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CFE7C7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B43E10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通电情况</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5AAC62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w:t>
            </w:r>
          </w:p>
        </w:tc>
      </w:tr>
    </w:tbl>
    <w:p w14:paraId="407C8665"/>
    <w:p w14:paraId="141F4E7B">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1CCC5A1D">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68FBFA9">
            <w:pPr>
              <w:keepNext w:val="0"/>
              <w:keepLines w:val="0"/>
              <w:widowControl/>
              <w:suppressLineNumbers w:val="0"/>
              <w:jc w:val="center"/>
              <w:textAlignment w:val="center"/>
            </w:pPr>
            <w:bookmarkStart w:id="67" w:name="_Toc8975"/>
            <w:r>
              <w:rPr>
                <w:rFonts w:hint="eastAsia" w:ascii="楷体" w:hAnsi="楷体" w:eastAsia="楷体" w:cs="楷体"/>
                <w:color w:val="000000"/>
                <w:kern w:val="0"/>
                <w:sz w:val="20"/>
                <w:lang w:val="en-US" w:eastAsia="zh-CN" w:bidi="ar"/>
              </w:rPr>
              <w:t>基本情况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882E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是否取得产权证书</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E77EBB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估价对象未取得《不动产权证》</w:t>
            </w:r>
          </w:p>
        </w:tc>
      </w:tr>
      <w:tr w14:paraId="7784FA1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ADF60E3"/>
        </w:tc>
        <w:tc>
          <w:tcPr>
            <w:tcW w:w="1944" w:type="dxa"/>
            <w:tcBorders>
              <w:top w:val="nil"/>
              <w:left w:val="nil"/>
              <w:bottom w:val="single" w:color="auto" w:sz="4" w:space="0"/>
              <w:right w:val="single" w:color="auto" w:sz="4" w:space="0"/>
            </w:tcBorders>
            <w:noWrap w:val="0"/>
            <w:tcMar>
              <w:left w:w="108" w:type="dxa"/>
              <w:right w:w="108" w:type="dxa"/>
            </w:tcMar>
            <w:vAlign w:val="center"/>
          </w:tcPr>
          <w:p w14:paraId="7FA94B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8D01A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603B80D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FCC9DEC"/>
        </w:tc>
        <w:tc>
          <w:tcPr>
            <w:tcW w:w="1944" w:type="dxa"/>
            <w:tcBorders>
              <w:top w:val="nil"/>
              <w:left w:val="nil"/>
              <w:bottom w:val="single" w:color="auto" w:sz="4" w:space="0"/>
              <w:right w:val="single" w:color="auto" w:sz="4" w:space="0"/>
            </w:tcBorders>
            <w:noWrap w:val="0"/>
            <w:tcMar>
              <w:left w:w="108" w:type="dxa"/>
              <w:right w:w="108" w:type="dxa"/>
            </w:tcMar>
            <w:vAlign w:val="center"/>
          </w:tcPr>
          <w:p w14:paraId="1572104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DEAD35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r>
      <w:tr w14:paraId="6E9DFC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69BEB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62B7B01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估价对象规模</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C7CF6A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土地使用权面积50.00亩</w:t>
            </w:r>
          </w:p>
        </w:tc>
      </w:tr>
      <w:tr w14:paraId="62F15E7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34F2AC8"/>
        </w:tc>
        <w:tc>
          <w:tcPr>
            <w:tcW w:w="1944" w:type="dxa"/>
            <w:tcBorders>
              <w:top w:val="nil"/>
              <w:left w:val="nil"/>
              <w:bottom w:val="single" w:color="auto" w:sz="4" w:space="0"/>
              <w:right w:val="single" w:color="auto" w:sz="4" w:space="0"/>
            </w:tcBorders>
            <w:noWrap w:val="0"/>
            <w:tcMar>
              <w:left w:w="108" w:type="dxa"/>
              <w:right w:w="108" w:type="dxa"/>
            </w:tcMar>
            <w:vAlign w:val="center"/>
          </w:tcPr>
          <w:p w14:paraId="6814AE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现使用状况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09A27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至价值时点，估价对象处于出租使用状态。</w:t>
            </w:r>
          </w:p>
        </w:tc>
      </w:tr>
      <w:tr w14:paraId="39A4E356">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32D2FB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E3BBC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是否存在不利影响</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794132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02C7FF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6E21CCF"/>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CB679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特殊约定（种植要求等）</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67B76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w:t>
            </w:r>
          </w:p>
        </w:tc>
      </w:tr>
      <w:tr w14:paraId="577FBCC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A7A223D"/>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3B182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6FD9174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1203E3BC"/>
    <w:p w14:paraId="6BE3CF25">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340AE886">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2026年4月20日。</w:t>
      </w:r>
      <w:bookmarkEnd w:id="68"/>
    </w:p>
    <w:p w14:paraId="41553319">
      <w:pPr>
        <w:spacing w:line="560" w:lineRule="exact"/>
        <w:ind w:firstLine="560" w:firstLineChars="200"/>
        <w:jc w:val="left"/>
        <w:rPr>
          <w:rFonts w:hint="eastAsia" w:ascii="楷体" w:hAnsi="楷体" w:eastAsia="楷体"/>
          <w:bCs/>
          <w:kern w:val="2"/>
          <w:sz w:val="28"/>
          <w:szCs w:val="28"/>
          <w:lang w:val="en-US" w:eastAsia="zh-CN" w:bidi="ar-SA"/>
        </w:rPr>
      </w:pPr>
      <w:bookmarkStart w:id="69" w:name="_Toc221710862"/>
      <w:bookmarkStart w:id="70" w:name="_Toc11524"/>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因本次估价目的为确定房地产租赁价值提供参考依据。经与估价委托人协商，价值时点为完成估价对象查勘之日，故本次估价以实地查勘之日2026年4月20日作为价值时点。</w:t>
      </w:r>
    </w:p>
    <w:p w14:paraId="3654EB1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77B3312B">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56F45A70">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389C888D">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p>
    <w:p w14:paraId="0E6C23F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5EBFC25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169DDC95">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258F2E3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28D0E4">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0C75704">
      <w:pPr>
        <w:spacing w:before="156" w:beforeLines="50" w:line="560" w:lineRule="exact"/>
        <w:jc w:val="left"/>
        <w:outlineLvl w:val="1"/>
        <w:rPr>
          <w:rFonts w:hint="eastAsia" w:ascii="楷体" w:hAnsi="楷体" w:eastAsia="楷体"/>
          <w:b/>
          <w:bCs/>
          <w:sz w:val="28"/>
          <w:szCs w:val="28"/>
        </w:rPr>
      </w:pPr>
      <w:bookmarkStart w:id="73" w:name="_Toc505087760"/>
      <w:bookmarkStart w:id="74" w:name="_Toc484941668"/>
      <w:bookmarkStart w:id="75" w:name="_Toc8087"/>
      <w:bookmarkStart w:id="76" w:name="_Toc221710863"/>
      <w:r>
        <w:rPr>
          <w:rFonts w:hint="eastAsia" w:ascii="楷体" w:hAnsi="楷体" w:eastAsia="楷体"/>
          <w:b/>
          <w:bCs/>
          <w:sz w:val="28"/>
          <w:szCs w:val="28"/>
        </w:rPr>
        <w:t>七、估价原则</w:t>
      </w:r>
      <w:bookmarkEnd w:id="73"/>
      <w:bookmarkEnd w:id="74"/>
      <w:bookmarkEnd w:id="75"/>
      <w:bookmarkEnd w:id="76"/>
    </w:p>
    <w:p w14:paraId="278BE96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6542FC6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32EFEC3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A0E3E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5B7AB7D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352AB31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7E9B0DCE">
      <w:pPr>
        <w:spacing w:before="156" w:beforeLines="50" w:line="560" w:lineRule="exact"/>
        <w:jc w:val="left"/>
        <w:outlineLvl w:val="1"/>
        <w:rPr>
          <w:rFonts w:hint="eastAsia" w:ascii="楷体" w:hAnsi="楷体" w:eastAsia="楷体"/>
          <w:b/>
          <w:bCs/>
          <w:sz w:val="28"/>
          <w:szCs w:val="28"/>
        </w:rPr>
      </w:pPr>
      <w:bookmarkStart w:id="77" w:name="_Toc505087761"/>
      <w:bookmarkStart w:id="78" w:name="_Toc484941669"/>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45DA6D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32CE92D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7AE8D09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0F2EBD1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25948CF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29F5BBB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7E65869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44C430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39CFBB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291F2D71">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38135A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776C19B9">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45A9596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17A1DF5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505087762"/>
      <w:bookmarkStart w:id="82" w:name="_Toc484941670"/>
    </w:p>
    <w:p w14:paraId="14E6B2C7">
      <w:pPr>
        <w:spacing w:before="156" w:beforeLines="50" w:line="560" w:lineRule="exact"/>
        <w:jc w:val="left"/>
        <w:outlineLvl w:val="1"/>
        <w:rPr>
          <w:rFonts w:hint="eastAsia" w:ascii="楷体" w:hAnsi="楷体" w:eastAsia="楷体"/>
          <w:b/>
          <w:bCs/>
          <w:sz w:val="28"/>
          <w:szCs w:val="28"/>
        </w:rPr>
      </w:pPr>
      <w:bookmarkStart w:id="83" w:name="_Toc31282"/>
      <w:bookmarkStart w:id="84" w:name="_Toc221710865"/>
      <w:r>
        <w:rPr>
          <w:rFonts w:hint="eastAsia" w:ascii="楷体" w:hAnsi="楷体" w:eastAsia="楷体"/>
          <w:b/>
          <w:bCs/>
          <w:sz w:val="28"/>
          <w:szCs w:val="28"/>
        </w:rPr>
        <w:t>九、估价方法</w:t>
      </w:r>
      <w:bookmarkEnd w:id="81"/>
      <w:bookmarkEnd w:id="82"/>
      <w:bookmarkEnd w:id="83"/>
      <w:bookmarkEnd w:id="84"/>
    </w:p>
    <w:p w14:paraId="472B3BC2">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6EAA02D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01664363">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5073723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644D166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842D2E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2179BA04">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3D146E7F">
      <w:pPr>
        <w:snapToGrid w:val="0"/>
        <w:spacing w:line="540" w:lineRule="exact"/>
        <w:ind w:left="71" w:leftChars="0" w:firstLine="560" w:firstLineChars="200"/>
        <w:jc w:val="left"/>
      </w:pPr>
      <w:bookmarkStart w:id="90" w:name="_Toc2703"/>
      <w:bookmarkStart w:id="91" w:name="_Toc484941672"/>
      <w:bookmarkStart w:id="92" w:name="_Toc221710867"/>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4月20日在满足所有估价假设和限制条件下，</w:t>
      </w:r>
      <w:r>
        <w:rPr>
          <w:rFonts w:hint="eastAsia" w:ascii="楷体" w:hAnsi="楷体" w:eastAsia="楷体"/>
          <w:b/>
          <w:kern w:val="2"/>
          <w:sz w:val="28"/>
          <w:szCs w:val="28"/>
          <w:lang w:val="en-US" w:eastAsia="zh-CN" w:bidi="ar-SA"/>
        </w:rPr>
        <w:t>确定估价对象的年租赁价值为70000元，大写：人民币柒万元整。</w:t>
      </w:r>
    </w:p>
    <w:p w14:paraId="7E34827B">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75912205">
        <w:trPr>
          <w:trHeight w:val="611" w:hRule="exact"/>
        </w:trPr>
        <w:tc>
          <w:tcPr>
            <w:tcW w:w="1640" w:type="dxa"/>
            <w:noWrap w:val="0"/>
            <w:vAlign w:val="center"/>
          </w:tcPr>
          <w:p w14:paraId="7D0941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7FD58DD">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637E73D2">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5E4D5C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68F13687">
        <w:trPr>
          <w:trHeight w:val="1259" w:hRule="exact"/>
        </w:trPr>
        <w:tc>
          <w:tcPr>
            <w:tcW w:w="1640" w:type="dxa"/>
            <w:noWrap w:val="0"/>
            <w:vAlign w:val="center"/>
          </w:tcPr>
          <w:p w14:paraId="4FEC4C5E">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0F3616E9">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288A9896">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0EEC4316">
            <w:pPr>
              <w:tabs>
                <w:tab w:val="left" w:pos="8931"/>
                <w:tab w:val="left" w:pos="9214"/>
                <w:tab w:val="left" w:pos="9240"/>
              </w:tabs>
              <w:spacing w:line="440" w:lineRule="exact"/>
              <w:ind w:left="105" w:leftChars="50" w:right="168" w:rightChars="80"/>
              <w:rPr>
                <w:rFonts w:ascii="楷体" w:hAnsi="楷体" w:eastAsia="楷体"/>
                <w:sz w:val="28"/>
              </w:rPr>
            </w:pPr>
          </w:p>
        </w:tc>
      </w:tr>
      <w:tr w14:paraId="2B7630F3">
        <w:trPr>
          <w:trHeight w:val="1406" w:hRule="exact"/>
        </w:trPr>
        <w:tc>
          <w:tcPr>
            <w:tcW w:w="1640" w:type="dxa"/>
            <w:noWrap w:val="0"/>
            <w:vAlign w:val="center"/>
          </w:tcPr>
          <w:p w14:paraId="3B50AC2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2B11532">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3401802">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1ABF816D">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78A106A">
      <w:pPr>
        <w:spacing w:before="156" w:beforeLines="50" w:line="560" w:lineRule="exact"/>
        <w:jc w:val="left"/>
        <w:outlineLvl w:val="1"/>
        <w:rPr>
          <w:rFonts w:hint="eastAsia" w:ascii="楷体" w:hAnsi="楷体" w:eastAsia="楷体"/>
          <w:bCs/>
          <w:sz w:val="28"/>
          <w:szCs w:val="28"/>
        </w:rPr>
      </w:pPr>
      <w:bookmarkStart w:id="96" w:name="_Toc4175"/>
      <w:bookmarkStart w:id="97" w:name="_Toc221710869"/>
      <w:bookmarkStart w:id="98" w:name="_Toc505087765"/>
      <w:bookmarkStart w:id="99" w:name="_Toc484941673"/>
      <w:r>
        <w:rPr>
          <w:rFonts w:hint="eastAsia" w:ascii="楷体" w:hAnsi="楷体" w:eastAsia="楷体"/>
          <w:bCs/>
          <w:sz w:val="28"/>
          <w:szCs w:val="28"/>
        </w:rPr>
        <w:t xml:space="preserve">协助估价人员   </w:t>
      </w:r>
    </w:p>
    <w:tbl>
      <w:tblPr>
        <w:tblStyle w:val="28"/>
        <w:tblW w:w="9210" w:type="dxa"/>
        <w:tblInd w:w="-21"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735"/>
        <w:gridCol w:w="2309"/>
        <w:gridCol w:w="2766"/>
        <w:gridCol w:w="2400"/>
      </w:tblGrid>
      <w:tr w14:paraId="312FCC71">
        <w:trPr>
          <w:trHeight w:val="1406" w:hRule="exact"/>
        </w:trPr>
        <w:tc>
          <w:tcPr>
            <w:tcW w:w="1735" w:type="dxa"/>
            <w:tcBorders>
              <w:top w:val="single" w:color="auto" w:sz="8" w:space="0"/>
              <w:left w:val="single" w:color="auto" w:sz="8" w:space="0"/>
              <w:bottom w:val="single" w:color="auto" w:sz="8" w:space="0"/>
              <w:right w:val="single" w:color="auto" w:sz="8" w:space="0"/>
            </w:tcBorders>
            <w:noWrap w:val="0"/>
            <w:vAlign w:val="center"/>
          </w:tcPr>
          <w:p w14:paraId="71865E27">
            <w:pPr>
              <w:tabs>
                <w:tab w:val="left" w:pos="8931"/>
                <w:tab w:val="left" w:pos="9214"/>
                <w:tab w:val="left" w:pos="9240"/>
              </w:tabs>
              <w:spacing w:line="440" w:lineRule="exact"/>
              <w:ind w:right="168" w:rightChars="80" w:firstLine="280" w:firstLineChars="100"/>
              <w:rPr>
                <w:rFonts w:hint="default" w:ascii="楷体" w:hAnsi="楷体" w:eastAsia="楷体"/>
                <w:bCs/>
                <w:sz w:val="28"/>
                <w:szCs w:val="28"/>
                <w:lang w:val="en-US" w:eastAsia="zh-CN"/>
              </w:rPr>
            </w:pPr>
            <w:r>
              <w:rPr>
                <w:rFonts w:hint="eastAsia" w:ascii="楷体" w:hAnsi="楷体" w:eastAsia="楷体"/>
                <w:bCs/>
                <w:sz w:val="28"/>
                <w:szCs w:val="28"/>
                <w:lang w:val="en-US" w:eastAsia="zh-CN"/>
              </w:rPr>
              <w:t>郑伟娜</w:t>
            </w:r>
          </w:p>
        </w:tc>
        <w:tc>
          <w:tcPr>
            <w:tcW w:w="2309" w:type="dxa"/>
            <w:tcBorders>
              <w:top w:val="single" w:color="auto" w:sz="8" w:space="0"/>
              <w:left w:val="single" w:color="auto" w:sz="8" w:space="0"/>
              <w:bottom w:val="single" w:color="auto" w:sz="8" w:space="0"/>
              <w:right w:val="single" w:color="auto" w:sz="8" w:space="0"/>
            </w:tcBorders>
            <w:noWrap w:val="0"/>
            <w:vAlign w:val="center"/>
          </w:tcPr>
          <w:p w14:paraId="0BF90830">
            <w:pPr>
              <w:tabs>
                <w:tab w:val="left" w:pos="8931"/>
                <w:tab w:val="left" w:pos="9214"/>
                <w:tab w:val="left" w:pos="9240"/>
              </w:tabs>
              <w:spacing w:line="440" w:lineRule="exact"/>
              <w:ind w:left="105" w:leftChars="50" w:right="168" w:rightChars="80"/>
              <w:rPr>
                <w:rFonts w:hint="eastAsia" w:ascii="楷体" w:hAnsi="楷体" w:eastAsia="楷体" w:cs="Arial"/>
                <w:sz w:val="28"/>
                <w:szCs w:val="28"/>
                <w:lang w:val="en-US" w:eastAsia="zh-CN"/>
              </w:rPr>
            </w:pPr>
            <w:r>
              <w:rPr>
                <w:rFonts w:hint="eastAsia" w:ascii="楷体" w:hAnsi="楷体" w:eastAsia="楷体" w:cs="Arial"/>
                <w:sz w:val="28"/>
                <w:szCs w:val="28"/>
              </w:rPr>
              <w:t>3300507030470</w:t>
            </w:r>
          </w:p>
        </w:tc>
        <w:tc>
          <w:tcPr>
            <w:tcW w:w="2766" w:type="dxa"/>
            <w:tcBorders>
              <w:top w:val="single" w:color="auto" w:sz="8" w:space="0"/>
              <w:left w:val="single" w:color="auto" w:sz="8" w:space="0"/>
              <w:bottom w:val="single" w:color="auto" w:sz="8" w:space="0"/>
              <w:right w:val="single" w:color="auto" w:sz="8" w:space="0"/>
            </w:tcBorders>
            <w:noWrap w:val="0"/>
            <w:vAlign w:val="center"/>
          </w:tcPr>
          <w:p w14:paraId="1BD4A88F">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400" w:type="dxa"/>
            <w:tcBorders>
              <w:top w:val="single" w:color="auto" w:sz="8" w:space="0"/>
              <w:left w:val="single" w:color="auto" w:sz="8" w:space="0"/>
              <w:bottom w:val="single" w:color="auto" w:sz="8" w:space="0"/>
              <w:right w:val="single" w:color="auto" w:sz="8" w:space="0"/>
            </w:tcBorders>
            <w:noWrap w:val="0"/>
            <w:vAlign w:val="center"/>
          </w:tcPr>
          <w:p w14:paraId="10A156C2">
            <w:pPr>
              <w:tabs>
                <w:tab w:val="left" w:pos="8931"/>
                <w:tab w:val="left" w:pos="9214"/>
                <w:tab w:val="left" w:pos="9240"/>
              </w:tabs>
              <w:spacing w:line="440" w:lineRule="exact"/>
              <w:ind w:left="105" w:leftChars="50" w:right="168" w:rightChars="80" w:firstLine="280" w:firstLineChars="100"/>
              <w:rPr>
                <w:rFonts w:hint="eastAsia" w:ascii="楷体" w:hAnsi="楷体" w:eastAsia="楷体"/>
                <w:bCs/>
                <w:sz w:val="28"/>
                <w:szCs w:val="28"/>
                <w:lang w:eastAsia="zh-CN"/>
              </w:rPr>
            </w:pPr>
          </w:p>
        </w:tc>
      </w:tr>
    </w:tbl>
    <w:p w14:paraId="78097462">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070DC2D1">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221710870"/>
      <w:bookmarkStart w:id="101" w:name="_Toc484941674"/>
      <w:bookmarkStart w:id="102" w:name="_Toc505087766"/>
      <w:bookmarkStart w:id="103" w:name="_Toc25269"/>
      <w:r>
        <w:rPr>
          <w:rFonts w:hint="eastAsia" w:ascii="楷体" w:hAnsi="楷体" w:eastAsia="楷体" w:cs="宋体"/>
          <w:kern w:val="2"/>
          <w:sz w:val="28"/>
          <w:szCs w:val="28"/>
          <w:lang w:val="en-US" w:eastAsia="zh-CN" w:bidi="ar-SA"/>
        </w:rPr>
        <w:t>2026年4月20日。</w:t>
      </w:r>
    </w:p>
    <w:p w14:paraId="12D18DB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0CD5E2E">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484941677"/>
      <w:bookmarkStart w:id="106" w:name="_Toc505087769"/>
      <w:r>
        <w:rPr>
          <w:rFonts w:hint="eastAsia" w:ascii="楷体" w:hAnsi="楷体" w:eastAsia="楷体" w:cs="宋体"/>
          <w:kern w:val="2"/>
          <w:sz w:val="28"/>
          <w:szCs w:val="28"/>
          <w:lang w:val="en-US" w:eastAsia="zh-CN" w:bidi="ar-SA"/>
        </w:rPr>
        <w:t>2026年4月20日至{{ issue_date }}。</w:t>
      </w:r>
    </w:p>
    <w:p w14:paraId="3A75DA3A">
      <w:pPr>
        <w:spacing w:before="156" w:beforeLines="50" w:after="156" w:afterLines="50" w:line="360" w:lineRule="auto"/>
        <w:jc w:val="center"/>
        <w:outlineLvl w:val="0"/>
        <w:rPr>
          <w:rFonts w:hint="eastAsia" w:ascii="楷体" w:hAnsi="楷体" w:eastAsia="楷体"/>
          <w:b/>
          <w:sz w:val="48"/>
          <w:szCs w:val="48"/>
        </w:rPr>
      </w:pPr>
    </w:p>
    <w:p w14:paraId="5A835A2F">
      <w:pPr>
        <w:spacing w:before="156" w:beforeLines="50" w:after="156" w:afterLines="50" w:line="360" w:lineRule="auto"/>
        <w:jc w:val="center"/>
        <w:outlineLvl w:val="0"/>
        <w:rPr>
          <w:rFonts w:hint="eastAsia" w:ascii="楷体" w:hAnsi="楷体" w:eastAsia="楷体"/>
          <w:b/>
          <w:sz w:val="48"/>
          <w:szCs w:val="48"/>
        </w:rPr>
      </w:pPr>
    </w:p>
    <w:p w14:paraId="11DEBDAD">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7431A7E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5B29F1E6">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486CD534">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三、《委托评估协议书》复印件</w:t>
      </w:r>
    </w:p>
    <w:p w14:paraId="627C812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7F0B6343">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339C745F">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7A16EBFD">
      <w:pPr>
        <w:rPr>
          <w:rFonts w:hint="eastAsia" w:ascii="楷体" w:hAnsi="楷体" w:eastAsia="楷体" w:cs="仿宋"/>
          <w:bCs/>
          <w:sz w:val="28"/>
          <w:szCs w:val="28"/>
        </w:rPr>
      </w:pPr>
    </w:p>
    <w:p w14:paraId="26C0914E">
      <w:pPr>
        <w:rPr>
          <w:rFonts w:hint="eastAsia" w:ascii="楷体" w:hAnsi="楷体" w:eastAsia="楷体" w:cs="仿宋"/>
          <w:bCs/>
          <w:sz w:val="28"/>
          <w:szCs w:val="28"/>
        </w:rPr>
      </w:pPr>
    </w:p>
    <w:p w14:paraId="6E424BA1">
      <w:pPr>
        <w:rPr>
          <w:rFonts w:hint="eastAsia" w:ascii="楷体" w:hAnsi="楷体" w:eastAsia="楷体" w:cs="仿宋"/>
          <w:bCs/>
          <w:sz w:val="28"/>
          <w:szCs w:val="28"/>
        </w:rPr>
      </w:pPr>
    </w:p>
    <w:p w14:paraId="212D3595">
      <w:pPr>
        <w:rPr>
          <w:rFonts w:hint="eastAsia" w:ascii="楷体" w:hAnsi="楷体" w:eastAsia="楷体" w:cs="仿宋"/>
          <w:bCs/>
          <w:sz w:val="28"/>
          <w:szCs w:val="28"/>
        </w:rPr>
      </w:pPr>
    </w:p>
    <w:p w14:paraId="0BC41B5B">
      <w:pPr>
        <w:rPr>
          <w:rFonts w:hint="eastAsia" w:ascii="楷体" w:hAnsi="楷体" w:eastAsia="楷体" w:cs="仿宋"/>
          <w:bCs/>
          <w:sz w:val="28"/>
          <w:szCs w:val="28"/>
        </w:rPr>
      </w:pPr>
    </w:p>
    <w:p w14:paraId="4B33E5C3">
      <w:pPr>
        <w:rPr>
          <w:rFonts w:hint="eastAsia" w:ascii="楷体" w:hAnsi="楷体" w:eastAsia="楷体" w:cs="仿宋"/>
          <w:bCs/>
          <w:sz w:val="28"/>
          <w:szCs w:val="28"/>
        </w:rPr>
      </w:pPr>
    </w:p>
    <w:p w14:paraId="58DBAE39">
      <w:pPr>
        <w:rPr>
          <w:rFonts w:hint="eastAsia" w:ascii="楷体" w:hAnsi="楷体" w:eastAsia="楷体" w:cs="仿宋"/>
          <w:bCs/>
          <w:sz w:val="28"/>
          <w:szCs w:val="28"/>
        </w:rPr>
      </w:pPr>
    </w:p>
    <w:p w14:paraId="36324EED">
      <w:pPr>
        <w:rPr>
          <w:rFonts w:hint="eastAsia" w:ascii="楷体" w:hAnsi="楷体" w:eastAsia="楷体" w:cs="仿宋"/>
          <w:bCs/>
          <w:sz w:val="28"/>
          <w:szCs w:val="28"/>
        </w:rPr>
      </w:pPr>
    </w:p>
    <w:p w14:paraId="4B60051B">
      <w:pPr>
        <w:rPr>
          <w:rFonts w:hint="eastAsia" w:ascii="楷体" w:hAnsi="楷体" w:eastAsia="楷体" w:cs="仿宋"/>
          <w:bCs/>
          <w:sz w:val="28"/>
          <w:szCs w:val="28"/>
        </w:rPr>
      </w:pPr>
    </w:p>
    <w:p w14:paraId="438A7C85">
      <w:pPr>
        <w:rPr>
          <w:rFonts w:hint="eastAsia" w:ascii="楷体" w:hAnsi="楷体" w:eastAsia="楷体" w:cs="仿宋"/>
          <w:bCs/>
          <w:sz w:val="28"/>
          <w:szCs w:val="28"/>
        </w:rPr>
      </w:pPr>
    </w:p>
    <w:p w14:paraId="110A061A">
      <w:pPr>
        <w:jc w:val="center"/>
        <w:rPr>
          <w:rFonts w:ascii="楷体" w:hAnsi="楷体" w:eastAsia="楷体" w:cs="仿宋"/>
          <w:bCs/>
          <w:sz w:val="28"/>
          <w:szCs w:val="28"/>
        </w:rPr>
      </w:pPr>
    </w:p>
    <w:p w14:paraId="0567019A">
      <w:pPr>
        <w:jc w:val="center"/>
        <w:rPr>
          <w:rFonts w:hint="eastAsia" w:ascii="楷体" w:hAnsi="楷体" w:eastAsia="楷体" w:cs="仿宋"/>
          <w:bCs/>
          <w:sz w:val="28"/>
          <w:szCs w:val="28"/>
        </w:rPr>
      </w:pPr>
    </w:p>
    <w:p w14:paraId="0D8B18B0">
      <w:pPr>
        <w:jc w:val="center"/>
        <w:rPr>
          <w:rFonts w:hint="eastAsia" w:ascii="楷体" w:hAnsi="楷体" w:eastAsia="楷体" w:cs="仿宋"/>
          <w:bCs/>
          <w:sz w:val="28"/>
          <w:szCs w:val="28"/>
        </w:rPr>
      </w:pPr>
    </w:p>
    <w:p w14:paraId="520A7133">
      <w:pPr>
        <w:jc w:val="center"/>
        <w:rPr>
          <w:rFonts w:ascii="楷体" w:hAnsi="楷体" w:eastAsia="楷体" w:cs="仿宋"/>
          <w:bCs/>
          <w:sz w:val="28"/>
          <w:szCs w:val="28"/>
        </w:rPr>
      </w:pPr>
    </w:p>
    <w:p w14:paraId="46CEC7D0">
      <w:pPr>
        <w:jc w:val="center"/>
        <w:rPr>
          <w:rFonts w:hint="eastAsia" w:ascii="楷体" w:hAnsi="楷体" w:eastAsia="楷体" w:cs="仿宋"/>
          <w:bCs/>
          <w:sz w:val="28"/>
          <w:szCs w:val="28"/>
        </w:rPr>
      </w:pPr>
    </w:p>
    <w:p w14:paraId="3A9EBAC2">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71"/>
      </w:tblGrid>
      <w:tr w14:paraId="35B78DBD">
        <w:trPr>
          <w:wBefore w:w="0" w:type="dxa"/>
          <w:wAfter w:w="0" w:type="dxa"/>
          <w:trHeight w:val="12242" w:hRule="atLeast"/>
        </w:trPr>
        <w:tc>
          <w:tcPr>
            <w:tcW w:w="9476" w:type="dxa"/>
            <w:noWrap w:val="0"/>
            <w:vAlign w:val="top"/>
          </w:tcPr>
          <w:p w14:paraId="121C3BD8">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3244850</wp:posOffset>
                      </wp:positionH>
                      <wp:positionV relativeFrom="paragraph">
                        <wp:posOffset>2733675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FC5208D">
                                  <w:pPr>
                                    <w:jc w:val="left"/>
                                  </w:pPr>
                                </w:p>
                              </w:txbxContent>
                            </wps:txbx>
                            <wps:bodyPr wrap="square" upright="1"/>
                          </wps:wsp>
                        </a:graphicData>
                      </a:graphic>
                    </wp:anchor>
                  </w:drawing>
                </mc:Choice>
                <mc:Fallback>
                  <w:pict>
                    <v:shape id="自选图形 5" o:spid="_x0000_s1026" style="position:absolute;left:0pt;margin-left:255.5pt;margin-top:215.25pt;height:31.8pt;width:33.5pt;z-index:251659264;mso-width-relative:page;mso-height-relative:page;" fillcolor="#D99594" filled="t" stroked="t" coordsize="425450,403860" o:gfxdata="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CPpQUm2AAAAAsBAAAPAAAAAAAAAAEAIAAAACIAAABkcnMvZG93bnJldi54bWxQ&#10;SwECFAAUAAAACACHTuJAXXkUEKICAACOBQAADgAAAAAAAAABACAAAAAnAQAAZHJzL2Uyb0RvYy54&#10;bWxQSwUGAAAAAAYABgBZAQAAOwY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FC5208D">
                            <w:pPr>
                              <w:jc w:val="left"/>
                            </w:pPr>
                          </w:p>
                        </w:txbxContent>
                      </v:textbox>
                    </v:shape>
                  </w:pict>
                </mc:Fallback>
              </mc:AlternateContent>
            </w:r>
            <w:r/>
          </w:p>
        </w:tc>
      </w:tr>
    </w:tbl>
    <w:p w14:paraId="27A4D759">
      <w:pPr>
        <w:jc w:val="center"/>
        <w:rPr>
          <w:rFonts w:hint="eastAsia" w:ascii="楷体" w:hAnsi="楷体" w:eastAsia="楷体" w:cs="仿宋"/>
          <w:bCs/>
          <w:sz w:val="28"/>
          <w:szCs w:val="28"/>
        </w:rPr>
      </w:pPr>
    </w:p>
    <w:p w14:paraId="4B661B37">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5000" w:type="pct"/>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autofit"/>
        <w:tblCellMar>
          <w:top w:w="0" w:type="dxa"/>
          <w:left w:w="108" w:type="dxa"/>
          <w:bottom w:w="0" w:type="dxa"/>
          <w:right w:w="108" w:type="dxa"/>
        </w:tblCellMar>
      </w:tblPr>
      <w:tblGrid>
        <w:gridCol w:w="4698"/>
        <w:gridCol w:w="4698"/>
      </w:tblGrid>
      <w:tr w14:paraId="2438C79B">
        <w:trPr>
          <w:trHeight w:val="3758" w:hRule="exact"/>
          <w:tblCellSpacing w:w="20" w:type="dxa"/>
          <w:jc w:val="center"/>
        </w:trPr>
        <w:tc>
          <w:tcPr>
            <w:tcW w:w="2468" w:type="pct"/>
            <w:noWrap w:val="0"/>
            <w:vAlign w:val="top"/>
          </w:tcPr>
          <w:p w14:paraId="4A98374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19E080E4">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843FBE6">
        <w:trPr>
          <w:trHeight w:val="619" w:hRule="exact"/>
          <w:tblCellSpacing w:w="20" w:type="dxa"/>
          <w:jc w:val="center"/>
        </w:trPr>
        <w:tc>
          <w:tcPr>
            <w:tcW w:w="2468" w:type="pct"/>
            <w:noWrap w:val="0"/>
            <w:vAlign w:val="top"/>
          </w:tcPr>
          <w:p w14:paraId="1D56A9B1">
            <w:pPr>
              <w:jc w:val="center"/>
              <w:rPr>
                <w:rFonts w:ascii="楷体" w:hAnsi="楷体" w:eastAsia="楷体"/>
                <w:b/>
                <w:sz w:val="28"/>
                <w:szCs w:val="28"/>
              </w:rPr>
            </w:pPr>
            <w:r>
              <w:rPr>
                <w:rFonts w:hint="eastAsia" w:ascii="楷体" w:hAnsi="楷体" w:eastAsia="楷体"/>
                <w:b/>
                <w:sz w:val="28"/>
                <w:szCs w:val="28"/>
              </w:rPr>
              <w:t>（1）</w:t>
            </w:r>
          </w:p>
        </w:tc>
        <w:tc>
          <w:tcPr>
            <w:tcW w:w="2468" w:type="pct"/>
            <w:noWrap w:val="0"/>
            <w:vAlign w:val="top"/>
          </w:tcPr>
          <w:p w14:paraId="40C7C0F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2</w:t>
            </w:r>
            <w:r>
              <w:rPr>
                <w:rFonts w:hint="eastAsia" w:ascii="楷体" w:hAnsi="楷体" w:eastAsia="楷体"/>
                <w:b/>
                <w:sz w:val="28"/>
                <w:szCs w:val="28"/>
                <w:lang w:eastAsia="zh-CN"/>
              </w:rPr>
              <w:t>）</w:t>
            </w:r>
          </w:p>
        </w:tc>
      </w:tr>
      <w:tr w14:paraId="059F9C3A">
        <w:trPr>
          <w:trHeight w:val="3395" w:hRule="exact"/>
          <w:tblCellSpacing w:w="20" w:type="dxa"/>
          <w:jc w:val="center"/>
        </w:trPr>
        <w:tc>
          <w:tcPr>
            <w:tcW w:w="2468" w:type="pct"/>
            <w:noWrap w:val="0"/>
            <w:vAlign w:val="top"/>
          </w:tcPr>
          <w:p w14:paraId="2DBD6F3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64FBAD0D">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86B3DC5">
        <w:trPr>
          <w:trHeight w:val="571" w:hRule="exact"/>
          <w:tblCellSpacing w:w="20" w:type="dxa"/>
          <w:jc w:val="center"/>
        </w:trPr>
        <w:tc>
          <w:tcPr>
            <w:tcW w:w="2468" w:type="pct"/>
            <w:noWrap w:val="0"/>
            <w:vAlign w:val="top"/>
          </w:tcPr>
          <w:p w14:paraId="510FE1CB">
            <w:pPr>
              <w:jc w:val="center"/>
              <w:rPr>
                <w:rFonts w:ascii="楷体" w:hAnsi="楷体" w:eastAsia="楷体"/>
                <w:b/>
                <w:sz w:val="28"/>
                <w:szCs w:val="28"/>
              </w:rPr>
            </w:pPr>
            <w:r>
              <w:rPr>
                <w:rFonts w:hint="eastAsia" w:ascii="楷体" w:hAnsi="楷体" w:eastAsia="楷体"/>
                <w:b/>
                <w:sz w:val="28"/>
                <w:szCs w:val="28"/>
              </w:rPr>
              <w:t>（3）</w:t>
            </w:r>
            <w:r>
              <w:rPr>
                <w:rFonts w:hint="eastAsia" w:ascii="楷体" w:hAnsi="楷体" w:eastAsia="楷体"/>
                <w:b/>
                <w:sz w:val="28"/>
                <w:szCs w:val="28"/>
                <w:lang w:val="en-US" w:eastAsia="zh-CN"/>
              </w:rPr>
              <w:t/>
            </w:r>
            <w:r>
              <w:rPr>
                <w:rFonts w:hint="eastAsia" w:ascii="楷体" w:hAnsi="楷体" w:eastAsia="楷体"/>
                <w:b/>
                <w:sz w:val="28"/>
                <w:szCs w:val="28"/>
              </w:rPr>
              <w:t/>
            </w:r>
          </w:p>
        </w:tc>
        <w:tc>
          <w:tcPr>
            <w:tcW w:w="2468" w:type="pct"/>
            <w:noWrap w:val="0"/>
            <w:vAlign w:val="top"/>
          </w:tcPr>
          <w:p w14:paraId="61CBBB44">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4</w:t>
            </w:r>
            <w:r>
              <w:rPr>
                <w:rFonts w:hint="eastAsia" w:ascii="楷体" w:hAnsi="楷体" w:eastAsia="楷体"/>
                <w:b/>
                <w:sz w:val="28"/>
                <w:szCs w:val="28"/>
                <w:lang w:eastAsia="zh-CN"/>
              </w:rPr>
              <w:t>）</w:t>
            </w:r>
          </w:p>
        </w:tc>
      </w:tr>
      <w:tr w14:paraId="28F1D10E">
        <w:trPr>
          <w:trHeight w:val="3628" w:hRule="exact"/>
          <w:tblCellSpacing w:w="20" w:type="dxa"/>
          <w:jc w:val="center"/>
        </w:trPr>
        <w:tc>
          <w:tcPr>
            <w:tcW w:w="2468" w:type="pct"/>
            <w:noWrap w:val="0"/>
            <w:vAlign w:val="top"/>
          </w:tcPr>
          <w:p w14:paraId="4834A3AD">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2468" w:type="pct"/>
            <w:noWrap w:val="0"/>
            <w:vAlign w:val="top"/>
          </w:tcPr>
          <w:p w14:paraId="0263764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44C18273">
        <w:trPr>
          <w:trHeight w:val="480" w:hRule="exact"/>
          <w:tblCellSpacing w:w="20" w:type="dxa"/>
          <w:jc w:val="center"/>
        </w:trPr>
        <w:tc>
          <w:tcPr>
            <w:tcW w:w="2468" w:type="pct"/>
            <w:noWrap w:val="0"/>
            <w:vAlign w:val="top"/>
          </w:tcPr>
          <w:p w14:paraId="082ED641">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2468" w:type="pct"/>
            <w:noWrap w:val="0"/>
            <w:vAlign w:val="top"/>
          </w:tcPr>
          <w:p w14:paraId="5787DA8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35D355B3">
      <w:pPr>
        <w:jc w:val="both"/>
        <w:rPr>
          <w:rFonts w:hint="eastAsia" w:ascii="楷体" w:hAnsi="楷体" w:eastAsia="楷体" w:cs="仿宋"/>
          <w:bCs/>
          <w:sz w:val="28"/>
          <w:szCs w:val="28"/>
        </w:rPr>
      </w:pPr>
    </w:p>
    <w:p w14:paraId="16968902">
      <w:pPr>
        <w:spacing w:line="720" w:lineRule="auto"/>
        <w:jc w:val="cente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《委托评估协议书》复印件</w:t>
      </w:r>
    </w:p>
    <w:p w14:paraId="6D70BF8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71C4F902">
      <w:pPr>
        <w:spacing w:line="720" w:lineRule="auto"/>
        <w:jc w:val="center"/>
        <w:rPr>
          <w:rFonts w:ascii="楷体" w:hAnsi="楷体" w:eastAsia="楷体"/>
          <w:sz w:val="36"/>
          <w:szCs w:val="36"/>
        </w:rPr>
      </w:pPr>
    </w:p>
    <w:p w14:paraId="7C24305A">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ED10704">
        <w:trPr>
          <w:wBefore w:w="0" w:type="dxa"/>
          <w:wAfter w:w="0" w:type="dxa"/>
          <w:trHeight w:val="6486" w:hRule="exact"/>
          <w:tblCellSpacing w:w="20" w:type="dxa"/>
          <w:jc w:val="center"/>
        </w:trPr>
        <w:tc>
          <w:tcPr>
            <w:tcW w:w="9153" w:type="dxa"/>
            <w:noWrap w:val="0"/>
            <w:vAlign w:val="top"/>
          </w:tcPr>
          <w:p w14:paraId="7AB22457">
            <w:pPr>
              <w:jc w:val="center"/>
              <w:rPr>
                <w:rFonts w:ascii="楷体" w:hAnsi="楷体" w:eastAsia="楷体"/>
                <w:b/>
                <w:sz w:val="32"/>
                <w:szCs w:val="32"/>
              </w:rPr>
            </w:pPr>
            <w:r>
              <w:rPr>
                <w:rFonts w:ascii="楷体" w:hAnsi="楷体" w:eastAsia="楷体"/>
                <w:b/>
                <w:sz w:val="32"/>
                <w:szCs w:val="32"/>
                <w:lang/>
              </w:rPr>
            </w:r>
          </w:p>
        </w:tc>
      </w:tr>
      <w:tr w14:paraId="219FA01B">
        <w:trPr>
          <w:wBefore w:w="0" w:type="dxa"/>
          <w:wAfter w:w="0" w:type="dxa"/>
          <w:trHeight w:val="6329" w:hRule="exact"/>
          <w:tblCellSpacing w:w="20" w:type="dxa"/>
          <w:jc w:val="center"/>
        </w:trPr>
        <w:tc>
          <w:tcPr>
            <w:tcW w:w="9153" w:type="dxa"/>
            <w:noWrap w:val="0"/>
            <w:vAlign w:val="top"/>
          </w:tcPr>
          <w:p w14:paraId="7C6387AA">
            <w:pPr>
              <w:jc w:val="center"/>
              <w:rPr>
                <w:rFonts w:ascii="楷体" w:hAnsi="楷体" w:eastAsia="楷体"/>
                <w:b/>
                <w:sz w:val="32"/>
                <w:szCs w:val="32"/>
              </w:rPr>
            </w:pPr>
            <w:r>
              <w:rPr>
                <w:rFonts w:ascii="楷体" w:hAnsi="楷体" w:eastAsia="楷体"/>
                <w:b/>
                <w:sz w:val="32"/>
                <w:szCs w:val="32"/>
                <w:lang/>
              </w:rPr>
            </w:r>
          </w:p>
        </w:tc>
      </w:tr>
    </w:tbl>
    <w:p w14:paraId="2A843C0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4730EA2B">
      <w:pPr>
        <w:jc w:val="center"/>
        <w:rPr>
          <w:rFonts w:hint="eastAsia" w:ascii="楷体" w:hAnsi="楷体" w:eastAsia="楷体" w:cs="仿宋"/>
          <w:bCs/>
          <w:sz w:val="28"/>
          <w:szCs w:val="28"/>
        </w:rPr>
      </w:pPr>
      <w:bookmarkStart w:id="108" w:name="_Hlk207891678"/>
      <w:r>
        <w:rPr>
          <w:rFonts w:ascii="楷体" w:hAnsi="楷体" w:eastAsia="楷体" w:cs="仿宋"/>
          <w:bCs/>
          <w:sz w:val="28"/>
          <w:szCs w:val="28"/>
        </w:rPr>
      </w:r>
      <w:bookmarkEnd w:id="108"/>
    </w:p>
    <w:p w14:paraId="3BA735F9">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07E3E92E">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苹方-简">
    <w:panose1 w:val="020B0400000000000000"/>
    <w:charset w:val="86"/>
    <w:family w:val="auto"/>
    <w:pitch w:val="default"/>
    <w:sig w:usb0="A00002FF" w:usb1="7ACFFDFB" w:usb2="00000017"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45893E">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14E2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FCD8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E321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7C92F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B12ABC"/>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DE43A9"/>
    <w:rsid w:val="21E42F15"/>
    <w:rsid w:val="22581416"/>
    <w:rsid w:val="22591BBC"/>
    <w:rsid w:val="22842ECC"/>
    <w:rsid w:val="22AF6C16"/>
    <w:rsid w:val="231C1323"/>
    <w:rsid w:val="23577E20"/>
    <w:rsid w:val="23A155F4"/>
    <w:rsid w:val="23BA0C31"/>
    <w:rsid w:val="24057477"/>
    <w:rsid w:val="240C5A82"/>
    <w:rsid w:val="244E2074"/>
    <w:rsid w:val="2458302A"/>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0E76281"/>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925717"/>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BFE7BB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322F45"/>
    <w:rsid w:val="683C11C5"/>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D5CFA"/>
    <w:rsid w:val="7F6F40E9"/>
    <w:rsid w:val="7F7E77BA"/>
    <w:rsid w:val="7F8F0E80"/>
    <w:rsid w:val="D67E8B6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3798</Words>
  <Characters>3963</Characters>
  <Lines>90</Lines>
  <Paragraphs>25</Paragraphs>
  <TotalTime>10</TotalTime>
  <ScaleCrop>false</ScaleCrop>
  <LinksUpToDate>false</LinksUpToDate>
  <CharactersWithSpaces>4032</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2026-07-15T15:25:36Z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5316F059AF9FA8EDF035576AA1017DCF_43</vt:lpwstr>
  </property>
</Properties>
</file>