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59CD9">
      <w:pPr>
        <w:spacing w:line="500" w:lineRule="exact"/>
        <w:jc w:val="center"/>
        <w:rPr>
          <w:rFonts w:hint="eastAsia" w:eastAsia="黑体"/>
          <w:sz w:val="44"/>
        </w:rPr>
      </w:pPr>
      <w:bookmarkStart w:id="0" w:name="_GoBack"/>
      <w:bookmarkEnd w:id="0"/>
      <w:r>
        <w:rPr>
          <w:rFonts w:hint="eastAsia" w:eastAsia="黑体"/>
          <w:sz w:val="44"/>
        </w:rPr>
        <w:t>委托评估协议书</w:t>
      </w:r>
    </w:p>
    <w:p w14:paraId="35203B3D">
      <w:pPr>
        <w:spacing w:line="500" w:lineRule="exact"/>
        <w:rPr>
          <w:rFonts w:hint="eastAsia" w:ascii="宋体" w:hAnsi="宋体"/>
          <w:sz w:val="24"/>
        </w:rPr>
      </w:pPr>
    </w:p>
    <w:p w14:paraId="36D5A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委托人：{{ client }}                  （以下简称甲方）</w:t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</w:p>
    <w:p w14:paraId="13F3E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080" w:right="-109" w:rightChars="-52" w:hanging="1080" w:hangingChars="45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受托</w:t>
      </w:r>
      <w:r>
        <w:rPr>
          <w:rFonts w:hint="eastAsia" w:ascii="宋体" w:hAnsi="宋体"/>
          <w:sz w:val="24"/>
          <w:lang w:val="en-US" w:eastAsia="zh-CN"/>
        </w:rPr>
        <w:t>人</w:t>
      </w:r>
      <w:r>
        <w:rPr>
          <w:rFonts w:hint="eastAsia" w:ascii="宋体" w:hAnsi="宋体"/>
          <w:sz w:val="24"/>
        </w:rPr>
        <w:t>：浙江正恒房地产土地资产评估咨询有限公司        （以下简称乙方）</w:t>
      </w:r>
    </w:p>
    <w:p w14:paraId="62E61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573"/>
        <w:textAlignment w:val="auto"/>
        <w:rPr>
          <w:rFonts w:ascii="宋体" w:hAnsi="宋体"/>
          <w:sz w:val="24"/>
        </w:rPr>
      </w:pPr>
    </w:p>
    <w:p w14:paraId="0804B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573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根据{{ client }}的需要，确定乙方对下列房地产进行市场租赁价值评估。经甲乙双方协商，就甲方委托乙方对此项目评估事宜，达成以下协议：</w:t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sz w:val="24"/>
        </w:rPr>
      </w:r>
    </w:p>
    <w:p w14:paraId="4CE6A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424" w:firstLineChars="177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一、甲方</w:t>
      </w:r>
      <w:r>
        <w:rPr>
          <w:rFonts w:hint="eastAsia" w:ascii="宋体" w:hAnsi="宋体"/>
          <w:sz w:val="24"/>
          <w:lang w:val="en-US" w:eastAsia="zh-CN"/>
        </w:rPr>
        <w:t>确认的</w:t>
      </w:r>
      <w:r>
        <w:rPr>
          <w:rFonts w:hint="eastAsia" w:ascii="宋体" w:hAnsi="宋体"/>
          <w:sz w:val="24"/>
        </w:rPr>
        <w:t>评估工作</w:t>
      </w:r>
      <w:r>
        <w:rPr>
          <w:rFonts w:hint="eastAsia" w:ascii="宋体" w:hAnsi="宋体"/>
          <w:sz w:val="24"/>
          <w:lang w:val="en-US" w:eastAsia="zh-CN"/>
        </w:rPr>
        <w:t>基本事项</w:t>
      </w:r>
      <w:r>
        <w:rPr>
          <w:rFonts w:hint="eastAsia" w:ascii="宋体" w:hAnsi="宋体"/>
          <w:sz w:val="24"/>
        </w:rPr>
        <w:t>如下：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7377"/>
      </w:tblGrid>
      <w:tr w14:paraId="7DB502B7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8E6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估价目的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6C4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为委托人确定拟出租房地产市场租金提供价格参考，而评估房地产租赁价值</w:t>
            </w:r>
          </w:p>
        </w:tc>
      </w:tr>
      <w:tr w14:paraId="661F37EA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5BB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实地勘查日期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9B02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2026年3月26日</w:t>
            </w:r>
          </w:p>
        </w:tc>
      </w:tr>
      <w:tr w14:paraId="5B635EA7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477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价值时点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B800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2026年3月26日</w:t>
            </w:r>
          </w:p>
        </w:tc>
      </w:tr>
      <w:tr w14:paraId="6B8274DB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2A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委托人提供的材料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EC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浙（2020）萧山区不动产权第0038943号《不动产权证》</w:t>
            </w:r>
          </w:p>
        </w:tc>
      </w:tr>
      <w:tr w14:paraId="45B14182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784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是否取得产权证书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B2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估价对象已取得《不动产权证》</w:t>
            </w:r>
          </w:p>
        </w:tc>
      </w:tr>
      <w:tr w14:paraId="276CCD95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92B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权利人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7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杭州萧山国有资产投资有限公司</w:t>
            </w:r>
          </w:p>
        </w:tc>
      </w:tr>
      <w:tr w14:paraId="39D017D0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FDA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685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萧山区北干街道萧山科创中心3幢1206室和3幢1208室</w:t>
            </w:r>
          </w:p>
        </w:tc>
      </w:tr>
      <w:tr w14:paraId="40F9651F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34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设定出租用途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D9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办公</w:t>
            </w:r>
          </w:p>
        </w:tc>
      </w:tr>
      <w:tr w14:paraId="74CBB7DC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49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规模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68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房屋建筑面积723.69平方米及其分摊的土地使用权（萧山区北干街道萧山科创中心3幢1208室房屋建筑面积356.29平方米，3幢1206室房屋建筑面积367.4平方米）</w:t>
            </w:r>
          </w:p>
        </w:tc>
      </w:tr>
      <w:tr w14:paraId="740DDEBB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7AA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估价范围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71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包含房屋及其分摊建设用地使用权，不包含水电费、网费、物业费、债权债务、特许经营权等其他权利。</w:t>
            </w:r>
          </w:p>
        </w:tc>
      </w:tr>
      <w:tr w14:paraId="7C2D291E">
        <w:trPr>
          <w:trHeight w:val="4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19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现使用状况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EA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至价值时点，估价对象处于空置状态。</w:t>
            </w:r>
          </w:p>
        </w:tc>
      </w:tr>
    </w:tbl>
    <w:p w14:paraId="2F991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6" w:firstLineChars="236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二、乙方必须按照国家房地产估价规范等有关规定进行评估，评估结果必须做到公平、公正、合理。</w:t>
      </w:r>
    </w:p>
    <w:p w14:paraId="678B4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三、乙方在评估期间需到现场勘察，甲方需提供被评估项目所需的资料，并配合评估机构进场开展评估工作。</w:t>
      </w:r>
    </w:p>
    <w:p w14:paraId="6EAAF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四、甲方在开展项目工作时，乙方需全过程配合，及时做好解释工作，直至项目完毕。</w:t>
      </w:r>
    </w:p>
    <w:p w14:paraId="1B589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五、如因以下因素导致评估工作不能按期完成的不属乙方违约：</w:t>
      </w:r>
    </w:p>
    <w:p w14:paraId="0F599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1、因项目方案等调整；</w:t>
      </w:r>
    </w:p>
    <w:p w14:paraId="3BA41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87" w:leftChars="270" w:hanging="120" w:hangingChars="5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2、甲方未能提供被评估项目所须资料；</w:t>
      </w:r>
    </w:p>
    <w:p w14:paraId="16355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3、确有证据证明拒绝评估人员进行现场勘察评估。</w:t>
      </w:r>
    </w:p>
    <w:p w14:paraId="21CBE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8" w:firstLineChars="237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六、乙方必须按甲方的要求在规定时间内完成评估工作，并提供《房地产估价结果报告》</w:t>
      </w:r>
      <w:r>
        <w:rPr>
          <w:rFonts w:hint="eastAsia" w:ascii="宋体" w:hAnsi="宋体"/>
          <w:sz w:val="24"/>
          <w:lang w:val="en-US" w:eastAsia="zh-CN"/>
        </w:rPr>
        <w:t>一式三份</w:t>
      </w:r>
      <w:r>
        <w:rPr>
          <w:rFonts w:hint="eastAsia" w:ascii="宋体" w:hAnsi="宋体"/>
          <w:sz w:val="24"/>
        </w:rPr>
        <w:t>。</w:t>
      </w:r>
    </w:p>
    <w:p w14:paraId="5B2D58F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6" w:firstLineChars="236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七、甲方收到乙方提供的《房地产估价结果报告》有异议的，乙方应进行复核，复核后仍有异议的，可由指定的其他评估单位进行评估。</w:t>
      </w:r>
    </w:p>
    <w:p w14:paraId="6270E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564" w:firstLineChars="235"/>
        <w:textAlignment w:val="auto"/>
        <w:rPr>
          <w:rFonts w:hint="eastAsia" w:ascii="宋体" w:hAnsi="宋体" w:eastAsia="’宋体’"/>
          <w:sz w:val="24"/>
          <w:lang w:val="en-US" w:eastAsia="zh-CN"/>
        </w:rPr>
      </w:pPr>
      <w:r>
        <w:rPr>
          <w:rFonts w:hint="eastAsia" w:ascii="宋体" w:hAnsi="宋体"/>
          <w:sz w:val="24"/>
        </w:rPr>
        <w:t>八、委托评估费根据协商确定房屋租金评估收费标准如下:评估服务费按浙江省物价局文件(浙价服〔20</w:t>
      </w:r>
      <w:r>
        <w:rPr>
          <w:rFonts w:hint="eastAsia" w:ascii="宋体" w:hAnsi="宋体"/>
          <w:sz w:val="24"/>
          <w:lang w:val="en-US" w:eastAsia="zh-CN"/>
        </w:rPr>
        <w:t>05</w:t>
      </w:r>
      <w:r>
        <w:rPr>
          <w:rFonts w:hint="eastAsia" w:ascii="宋体" w:hAnsi="宋体"/>
          <w:sz w:val="24"/>
        </w:rPr>
        <w:t>〕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号)标准收费收取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’宋体’" w:hAnsi="宋体" w:eastAsia="’宋体’" w:cs="宋体"/>
          <w:kern w:val="0"/>
          <w:sz w:val="24"/>
        </w:rPr>
        <w:t>差额计费率</w:t>
      </w:r>
      <w:r>
        <w:rPr>
          <w:rFonts w:hint="eastAsia" w:ascii="’宋体’" w:hAnsi="宋体" w:eastAsia="’宋体’" w:cs="宋体"/>
          <w:kern w:val="0"/>
          <w:sz w:val="24"/>
          <w:lang w:val="en-US" w:eastAsia="zh-CN"/>
        </w:rPr>
        <w:t>如下：</w:t>
      </w:r>
    </w:p>
    <w:tbl>
      <w:tblPr>
        <w:tblStyle w:val="7"/>
        <w:tblpPr w:leftFromText="180" w:rightFromText="180" w:vertAnchor="text" w:horzAnchor="margin" w:tblpXSpec="center" w:tblpY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4076"/>
        <w:gridCol w:w="2604"/>
      </w:tblGrid>
      <w:tr w14:paraId="73BE30A1">
        <w:trPr>
          <w:trHeight w:val="439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0D78DA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档次</w:t>
            </w:r>
          </w:p>
        </w:tc>
        <w:tc>
          <w:tcPr>
            <w:tcW w:w="40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0114D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计费额度（万元）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3E015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差额计费率‰</w:t>
            </w:r>
          </w:p>
        </w:tc>
      </w:tr>
      <w:tr w14:paraId="1B74F809">
        <w:trPr>
          <w:trHeight w:val="439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408AD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1</w:t>
            </w:r>
          </w:p>
        </w:tc>
        <w:tc>
          <w:tcPr>
            <w:tcW w:w="40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6EFE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100万元以下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5630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</w:tr>
      <w:tr w14:paraId="69538620">
        <w:trPr>
          <w:trHeight w:val="439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608FA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2</w:t>
            </w:r>
          </w:p>
        </w:tc>
        <w:tc>
          <w:tcPr>
            <w:tcW w:w="40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39B5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100-500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0FA4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1508F9D5">
        <w:trPr>
          <w:trHeight w:val="439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34FFB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3</w:t>
            </w:r>
          </w:p>
        </w:tc>
        <w:tc>
          <w:tcPr>
            <w:tcW w:w="40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A861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500-2000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8AE1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6025515B">
        <w:trPr>
          <w:trHeight w:val="439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E6A0A1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4</w:t>
            </w:r>
          </w:p>
        </w:tc>
        <w:tc>
          <w:tcPr>
            <w:tcW w:w="40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836C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2000-5000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D5C1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0.5</w:t>
            </w:r>
          </w:p>
        </w:tc>
      </w:tr>
      <w:tr w14:paraId="3CFA7BC2">
        <w:trPr>
          <w:trHeight w:val="439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09BA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’宋体’" w:hAnsi="宋体" w:eastAsia="’宋体’" w:cs="宋体"/>
                <w:kern w:val="0"/>
                <w:sz w:val="24"/>
              </w:rPr>
              <w:t>5</w:t>
            </w:r>
          </w:p>
        </w:tc>
        <w:tc>
          <w:tcPr>
            <w:tcW w:w="40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C286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5000万以上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26FA9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0.1</w:t>
            </w:r>
          </w:p>
        </w:tc>
      </w:tr>
    </w:tbl>
    <w:p w14:paraId="538CDC0C">
      <w:pPr>
        <w:widowControl/>
        <w:snapToGrid w:val="0"/>
        <w:spacing w:line="408" w:lineRule="auto"/>
        <w:ind w:left="240" w:right="240"/>
        <w:jc w:val="left"/>
        <w:rPr>
          <w:rFonts w:hint="eastAsia" w:ascii="’宋体’" w:hAnsi="宋体" w:eastAsia="’宋体’" w:cs="宋体"/>
          <w:kern w:val="0"/>
          <w:sz w:val="24"/>
        </w:rPr>
      </w:pPr>
      <w:r>
        <w:rPr>
          <w:rFonts w:hint="eastAsia" w:ascii="’宋体’" w:hAnsi="宋体" w:eastAsia="’宋体’" w:cs="宋体"/>
          <w:kern w:val="0"/>
          <w:sz w:val="24"/>
        </w:rPr>
        <w:t xml:space="preserve"> </w:t>
      </w:r>
    </w:p>
    <w:p w14:paraId="41658273">
      <w:pPr>
        <w:spacing w:line="360" w:lineRule="auto"/>
        <w:ind w:firstLine="482" w:firstLineChars="201"/>
        <w:rPr>
          <w:rFonts w:hint="eastAsia" w:ascii="宋体" w:hAnsi="宋体"/>
          <w:sz w:val="24"/>
        </w:rPr>
      </w:pPr>
    </w:p>
    <w:p w14:paraId="0198C39A">
      <w:pPr>
        <w:spacing w:line="500" w:lineRule="exact"/>
        <w:ind w:left="1" w:firstLine="482" w:firstLineChars="201"/>
        <w:rPr>
          <w:rFonts w:hint="eastAsia" w:ascii="宋体" w:hAnsi="宋体"/>
          <w:sz w:val="24"/>
        </w:rPr>
      </w:pPr>
    </w:p>
    <w:p w14:paraId="11DB3FA8">
      <w:pPr>
        <w:spacing w:line="500" w:lineRule="exact"/>
        <w:ind w:left="1" w:firstLine="482" w:firstLineChars="201"/>
        <w:rPr>
          <w:rFonts w:hint="eastAsia" w:ascii="宋体" w:hAnsi="宋体"/>
          <w:sz w:val="24"/>
        </w:rPr>
      </w:pPr>
    </w:p>
    <w:p w14:paraId="1BE6CA48">
      <w:pPr>
        <w:spacing w:line="500" w:lineRule="exact"/>
        <w:ind w:left="1" w:firstLine="482" w:firstLineChars="201"/>
        <w:rPr>
          <w:rFonts w:hint="eastAsia" w:ascii="宋体" w:hAnsi="宋体"/>
          <w:sz w:val="24"/>
        </w:rPr>
      </w:pPr>
    </w:p>
    <w:p w14:paraId="4690A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本次收费合计{{ fee_total }}元。大写人民币{{ fee_capital }}。</w:t>
      </w:r>
    </w:p>
    <w:p w14:paraId="153D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>若无需出具正式《房地产估价结果报告》，但已开展前期工作的，房屋评估服务费按</w:t>
      </w:r>
      <w:r>
        <w:rPr>
          <w:rFonts w:hint="eastAsia" w:ascii="宋体" w:hAnsi="宋体"/>
          <w:sz w:val="24"/>
          <w:lang w:val="en-US" w:eastAsia="zh-CN"/>
        </w:rPr>
        <w:t>上述标准的50%</w:t>
      </w:r>
      <w:r>
        <w:rPr>
          <w:rFonts w:hint="eastAsia" w:ascii="宋体" w:hAnsi="宋体"/>
          <w:sz w:val="24"/>
        </w:rPr>
        <w:t>收取</w:t>
      </w:r>
      <w:r>
        <w:rPr>
          <w:rFonts w:hint="eastAsia" w:ascii="宋体" w:hAnsi="宋体"/>
          <w:sz w:val="24"/>
          <w:lang w:eastAsia="zh-CN"/>
        </w:rPr>
        <w:t>。</w:t>
      </w:r>
    </w:p>
    <w:p w14:paraId="0899A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九、费用支付：待提交评估报告后两个月内，由甲方一次性支付给乙方。</w:t>
      </w:r>
    </w:p>
    <w:p w14:paraId="4800C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十、本协议未尽事宜由甲乙双方协商解决。</w:t>
      </w:r>
    </w:p>
    <w:p w14:paraId="71E99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十一、违约责任：</w:t>
      </w:r>
    </w:p>
    <w:p w14:paraId="45A56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违约责任按《中华人民共和国民法典》及杭州市萧山区相关法规规定处理。</w:t>
      </w:r>
    </w:p>
    <w:p w14:paraId="14951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十二、因履行本协议发生的争议，由当事人协商解决，协商不成的，提交杭州市仲裁委员会仲裁。</w:t>
      </w:r>
    </w:p>
    <w:p w14:paraId="2499A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" w:firstLine="482" w:firstLineChars="201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十三、本协议一式肆份，自甲乙双方各执贰份，签字盖章后生效。</w:t>
      </w:r>
    </w:p>
    <w:p w14:paraId="11EEA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029" w:leftChars="52" w:hanging="1920" w:hangingChars="800"/>
        <w:textAlignment w:val="auto"/>
        <w:rPr>
          <w:rFonts w:hint="eastAsia" w:ascii="宋体" w:hAnsi="宋体"/>
          <w:sz w:val="24"/>
        </w:rPr>
      </w:pPr>
    </w:p>
    <w:p w14:paraId="5C158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029" w:leftChars="52" w:hanging="1920" w:hangingChars="8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甲方：{{ client }}（盖章）       </w:t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sz w:val="24"/>
        </w:rPr>
      </w:r>
    </w:p>
    <w:p w14:paraId="0BFBB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/>
          <w:sz w:val="24"/>
        </w:rPr>
      </w:pPr>
    </w:p>
    <w:p w14:paraId="21026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029" w:leftChars="52" w:hanging="1920" w:hangingChars="8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法定代表人</w:t>
      </w:r>
      <w:r>
        <w:rPr>
          <w:rFonts w:hint="eastAsia" w:ascii="宋体" w:hAnsi="宋体"/>
          <w:sz w:val="24"/>
          <w:lang w:val="en-US" w:eastAsia="zh-CN"/>
        </w:rPr>
        <w:t>或</w:t>
      </w:r>
      <w:r>
        <w:rPr>
          <w:rFonts w:hint="eastAsia" w:ascii="宋体" w:hAnsi="宋体"/>
          <w:sz w:val="24"/>
        </w:rPr>
        <w:t>授权代表人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签章</w:t>
      </w:r>
      <w:r>
        <w:rPr>
          <w:rFonts w:hint="eastAsia" w:ascii="宋体" w:hAnsi="宋体"/>
          <w:sz w:val="24"/>
          <w:lang w:eastAsia="zh-CN"/>
        </w:rPr>
        <w:t>）</w:t>
      </w:r>
      <w:r>
        <w:rPr>
          <w:rFonts w:hint="eastAsia" w:ascii="宋体" w:hAnsi="宋体"/>
          <w:sz w:val="24"/>
        </w:rPr>
        <w:t>：</w:t>
      </w:r>
    </w:p>
    <w:p w14:paraId="4553F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029" w:leftChars="52" w:hanging="1920" w:hangingChars="800"/>
        <w:textAlignment w:val="auto"/>
        <w:rPr>
          <w:rFonts w:hint="eastAsia" w:ascii="宋体" w:hAnsi="宋体"/>
          <w:sz w:val="24"/>
        </w:rPr>
      </w:pPr>
    </w:p>
    <w:p w14:paraId="45CF8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029" w:leftChars="52" w:hanging="1920" w:hangingChars="8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乙方：浙江正恒房地产土地资产评估咨询有限公司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盖章</w:t>
      </w:r>
      <w:r>
        <w:rPr>
          <w:rFonts w:hint="eastAsia" w:ascii="宋体" w:hAnsi="宋体"/>
          <w:sz w:val="24"/>
          <w:lang w:eastAsia="zh-CN"/>
        </w:rPr>
        <w:t>）</w:t>
      </w:r>
    </w:p>
    <w:p w14:paraId="2B2EC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20" w:firstLineChars="50"/>
        <w:textAlignment w:val="auto"/>
        <w:rPr>
          <w:rFonts w:hint="eastAsia" w:ascii="宋体" w:hAnsi="宋体"/>
          <w:sz w:val="24"/>
        </w:rPr>
      </w:pPr>
    </w:p>
    <w:p w14:paraId="410C2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20" w:firstLineChars="5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法定代表人</w:t>
      </w:r>
      <w:r>
        <w:rPr>
          <w:rFonts w:hint="eastAsia" w:ascii="宋体" w:hAnsi="宋体"/>
          <w:sz w:val="24"/>
          <w:lang w:val="en-US" w:eastAsia="zh-CN"/>
        </w:rPr>
        <w:t>或</w:t>
      </w:r>
      <w:r>
        <w:rPr>
          <w:rFonts w:hint="eastAsia" w:ascii="宋体" w:hAnsi="宋体"/>
          <w:sz w:val="24"/>
        </w:rPr>
        <w:t>授权代表人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签章</w:t>
      </w:r>
      <w:r>
        <w:rPr>
          <w:rFonts w:hint="eastAsia" w:ascii="宋体" w:hAnsi="宋体"/>
          <w:sz w:val="24"/>
          <w:lang w:eastAsia="zh-CN"/>
        </w:rPr>
        <w:t>）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</w:rPr>
        <w:t xml:space="preserve">                             </w:t>
      </w:r>
    </w:p>
    <w:p w14:paraId="5904F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000" w:firstLineChars="125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年    月    日</w:t>
      </w:r>
    </w:p>
    <w:sectPr>
      <w:headerReference r:id="rId3" w:type="default"/>
      <w:footerReference r:id="rId4" w:type="default"/>
      <w:pgSz w:w="11906" w:h="16838"/>
      <w:pgMar w:top="1701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’宋体’">
    <w:altName w:val="汉仪书宋二KW"/>
    <w:panose1 w:val="00000000000000000000"/>
    <w:charset w:val="00"/>
    <w:family w:val="roma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124AE">
    <w:pPr>
      <w:pStyle w:val="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/>
      </w:rPr>
      <w:t>2</w:t>
    </w:r>
    <w:r>
      <w:rPr>
        <w:b/>
        <w:bCs/>
        <w:sz w:val="24"/>
        <w:szCs w:val="24"/>
      </w:rPr>
      <w:fldChar w:fldCharType="end"/>
    </w:r>
  </w:p>
  <w:p w14:paraId="454AD8CB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CCB9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wYzU4NWUyODE0NTIzNjAyMGZhZTE1NDQ1ZjZmZGUifQ=="/>
  </w:docVars>
  <w:rsids>
    <w:rsidRoot w:val="006A2F66"/>
    <w:rsid w:val="000016DD"/>
    <w:rsid w:val="00006CD0"/>
    <w:rsid w:val="00017748"/>
    <w:rsid w:val="00033727"/>
    <w:rsid w:val="00042CA9"/>
    <w:rsid w:val="00044021"/>
    <w:rsid w:val="0004520D"/>
    <w:rsid w:val="00097F1D"/>
    <w:rsid w:val="000B7D68"/>
    <w:rsid w:val="000C5E4A"/>
    <w:rsid w:val="00110310"/>
    <w:rsid w:val="00110AE5"/>
    <w:rsid w:val="0011677F"/>
    <w:rsid w:val="001238A0"/>
    <w:rsid w:val="00131BE6"/>
    <w:rsid w:val="00152266"/>
    <w:rsid w:val="00157A1C"/>
    <w:rsid w:val="001637F8"/>
    <w:rsid w:val="00176885"/>
    <w:rsid w:val="001872DF"/>
    <w:rsid w:val="001F4528"/>
    <w:rsid w:val="00200576"/>
    <w:rsid w:val="002017A2"/>
    <w:rsid w:val="00202BFC"/>
    <w:rsid w:val="00223C5A"/>
    <w:rsid w:val="002334B1"/>
    <w:rsid w:val="00237877"/>
    <w:rsid w:val="00243E36"/>
    <w:rsid w:val="002478A9"/>
    <w:rsid w:val="002728E8"/>
    <w:rsid w:val="00285A35"/>
    <w:rsid w:val="002900F4"/>
    <w:rsid w:val="002D780F"/>
    <w:rsid w:val="002E3BAA"/>
    <w:rsid w:val="002F7EAE"/>
    <w:rsid w:val="0030792A"/>
    <w:rsid w:val="0033241E"/>
    <w:rsid w:val="00333413"/>
    <w:rsid w:val="00342035"/>
    <w:rsid w:val="003544A8"/>
    <w:rsid w:val="00377548"/>
    <w:rsid w:val="00396A66"/>
    <w:rsid w:val="003A1CE8"/>
    <w:rsid w:val="003A6DCD"/>
    <w:rsid w:val="003C4909"/>
    <w:rsid w:val="003E0C59"/>
    <w:rsid w:val="00405F46"/>
    <w:rsid w:val="00435DCD"/>
    <w:rsid w:val="004466B1"/>
    <w:rsid w:val="00446EE4"/>
    <w:rsid w:val="004471A1"/>
    <w:rsid w:val="004566BE"/>
    <w:rsid w:val="004726AC"/>
    <w:rsid w:val="00490FC5"/>
    <w:rsid w:val="004A7F10"/>
    <w:rsid w:val="004B2F44"/>
    <w:rsid w:val="004B7AB3"/>
    <w:rsid w:val="004C1DE5"/>
    <w:rsid w:val="004C466C"/>
    <w:rsid w:val="004C65D2"/>
    <w:rsid w:val="004D2E88"/>
    <w:rsid w:val="004E4185"/>
    <w:rsid w:val="00534E64"/>
    <w:rsid w:val="0055323E"/>
    <w:rsid w:val="00556F2D"/>
    <w:rsid w:val="00572791"/>
    <w:rsid w:val="005816A0"/>
    <w:rsid w:val="00583A9E"/>
    <w:rsid w:val="00583FEF"/>
    <w:rsid w:val="00584571"/>
    <w:rsid w:val="005A0000"/>
    <w:rsid w:val="005A176E"/>
    <w:rsid w:val="005A62FC"/>
    <w:rsid w:val="005C019A"/>
    <w:rsid w:val="005C5A2F"/>
    <w:rsid w:val="005D1557"/>
    <w:rsid w:val="005D15A7"/>
    <w:rsid w:val="005E1C8D"/>
    <w:rsid w:val="005E4CDE"/>
    <w:rsid w:val="006032A5"/>
    <w:rsid w:val="00607614"/>
    <w:rsid w:val="00626D95"/>
    <w:rsid w:val="00634970"/>
    <w:rsid w:val="0064317A"/>
    <w:rsid w:val="0067042F"/>
    <w:rsid w:val="00671819"/>
    <w:rsid w:val="00671DF7"/>
    <w:rsid w:val="00676249"/>
    <w:rsid w:val="00686628"/>
    <w:rsid w:val="00693736"/>
    <w:rsid w:val="006A2F66"/>
    <w:rsid w:val="006C5ABC"/>
    <w:rsid w:val="006D1321"/>
    <w:rsid w:val="006E55C9"/>
    <w:rsid w:val="00707932"/>
    <w:rsid w:val="00712B63"/>
    <w:rsid w:val="007152F4"/>
    <w:rsid w:val="00722958"/>
    <w:rsid w:val="00765A6D"/>
    <w:rsid w:val="0078601F"/>
    <w:rsid w:val="007865E0"/>
    <w:rsid w:val="00796094"/>
    <w:rsid w:val="007D11DF"/>
    <w:rsid w:val="007D170E"/>
    <w:rsid w:val="007F1F51"/>
    <w:rsid w:val="00824F35"/>
    <w:rsid w:val="00834231"/>
    <w:rsid w:val="00857B44"/>
    <w:rsid w:val="008A357E"/>
    <w:rsid w:val="008A573D"/>
    <w:rsid w:val="008D41E9"/>
    <w:rsid w:val="00911624"/>
    <w:rsid w:val="00911BCC"/>
    <w:rsid w:val="00935241"/>
    <w:rsid w:val="00952C41"/>
    <w:rsid w:val="009727E4"/>
    <w:rsid w:val="0097646B"/>
    <w:rsid w:val="009821B9"/>
    <w:rsid w:val="009B0685"/>
    <w:rsid w:val="009B0961"/>
    <w:rsid w:val="009C4257"/>
    <w:rsid w:val="009D12EB"/>
    <w:rsid w:val="009E1035"/>
    <w:rsid w:val="009F5A7C"/>
    <w:rsid w:val="00A00F11"/>
    <w:rsid w:val="00A01A28"/>
    <w:rsid w:val="00A30C26"/>
    <w:rsid w:val="00A30FC6"/>
    <w:rsid w:val="00A42DCD"/>
    <w:rsid w:val="00A64036"/>
    <w:rsid w:val="00A7118E"/>
    <w:rsid w:val="00A755E1"/>
    <w:rsid w:val="00AF57FF"/>
    <w:rsid w:val="00B30861"/>
    <w:rsid w:val="00B3547E"/>
    <w:rsid w:val="00B559D8"/>
    <w:rsid w:val="00B60440"/>
    <w:rsid w:val="00B72685"/>
    <w:rsid w:val="00B80789"/>
    <w:rsid w:val="00B836AC"/>
    <w:rsid w:val="00BA3B1F"/>
    <w:rsid w:val="00BB67FD"/>
    <w:rsid w:val="00BC4FF2"/>
    <w:rsid w:val="00BE2745"/>
    <w:rsid w:val="00BF3120"/>
    <w:rsid w:val="00BF5675"/>
    <w:rsid w:val="00BF7698"/>
    <w:rsid w:val="00C0068B"/>
    <w:rsid w:val="00C32961"/>
    <w:rsid w:val="00C65660"/>
    <w:rsid w:val="00C663E9"/>
    <w:rsid w:val="00CC725B"/>
    <w:rsid w:val="00D176AA"/>
    <w:rsid w:val="00D200AC"/>
    <w:rsid w:val="00D52DB4"/>
    <w:rsid w:val="00D65514"/>
    <w:rsid w:val="00D7731C"/>
    <w:rsid w:val="00DA3D54"/>
    <w:rsid w:val="00DC1DA5"/>
    <w:rsid w:val="00DE4FF3"/>
    <w:rsid w:val="00DF6884"/>
    <w:rsid w:val="00E179AE"/>
    <w:rsid w:val="00E21D12"/>
    <w:rsid w:val="00E24B1E"/>
    <w:rsid w:val="00E2778C"/>
    <w:rsid w:val="00E27F66"/>
    <w:rsid w:val="00E67E40"/>
    <w:rsid w:val="00E82D19"/>
    <w:rsid w:val="00EA42E6"/>
    <w:rsid w:val="00EA6A48"/>
    <w:rsid w:val="00EB499A"/>
    <w:rsid w:val="00ED6EF8"/>
    <w:rsid w:val="00EE0FD2"/>
    <w:rsid w:val="00F251A8"/>
    <w:rsid w:val="00F256BB"/>
    <w:rsid w:val="00F338F5"/>
    <w:rsid w:val="00F414F5"/>
    <w:rsid w:val="00F5571D"/>
    <w:rsid w:val="00F80598"/>
    <w:rsid w:val="00F81FEF"/>
    <w:rsid w:val="00F82717"/>
    <w:rsid w:val="00F85924"/>
    <w:rsid w:val="00FB7CBB"/>
    <w:rsid w:val="00FF6521"/>
    <w:rsid w:val="09BB0FC8"/>
    <w:rsid w:val="14C57501"/>
    <w:rsid w:val="16673C0D"/>
    <w:rsid w:val="18FC7FF6"/>
    <w:rsid w:val="1B9C0EBB"/>
    <w:rsid w:val="2BC52459"/>
    <w:rsid w:val="34062ABC"/>
    <w:rsid w:val="3B2F046A"/>
    <w:rsid w:val="45FF3678"/>
    <w:rsid w:val="586F6C8C"/>
    <w:rsid w:val="5A136CDC"/>
    <w:rsid w:val="66B1690D"/>
    <w:rsid w:val="6D4915BA"/>
    <w:rsid w:val="6D6C3DA9"/>
    <w:rsid w:val="7A313A3B"/>
    <w:rsid w:val="DFF62D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Body Text Indent"/>
    <w:basedOn w:val="1"/>
    <w:uiPriority w:val="0"/>
    <w:pPr>
      <w:spacing w:line="500" w:lineRule="exact"/>
      <w:ind w:firstLine="568" w:firstLineChars="203"/>
    </w:pPr>
    <w:rPr>
      <w:sz w:val="28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脚 字符"/>
    <w:link w:val="5"/>
    <w:uiPriority w:val="99"/>
    <w:rPr>
      <w:kern w:val="2"/>
      <w:sz w:val="18"/>
      <w:szCs w:val="18"/>
    </w:rPr>
  </w:style>
  <w:style w:type="paragraph" w:customStyle="1" w:styleId="10">
    <w:name w:val="p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浦沿街道</Company>
  <Pages>3</Pages>
  <Words>1152</Words>
  <Characters>1237</Characters>
  <Lines>8</Lines>
  <Paragraphs>2</Paragraphs>
  <TotalTime>0</TotalTime>
  <ScaleCrop>false</ScaleCrop>
  <LinksUpToDate>false</LinksUpToDate>
  <CharactersWithSpaces>1339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2006-12-27T11:16:00Z</dcterms:created>
  <dc:creator>微软用户</dc:creator>
  <cp:lastModifiedBy>北城南笙</cp:lastModifiedBy>
  <cp:lastPrinted>2026-05-21T14:39:15Z</cp:lastPrinted>
  <dcterms:modified xsi:type="dcterms:W3CDTF">2026-07-16T16:21:06Z</dcterms:modified>
  <dc:title>拆迁房屋补偿价格委托评估协议书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E878DF73B20DF7367294586A0CD98F66_43</vt:lpwstr>
  </property>
  <property fmtid="{D5CDD505-2E9C-101B-9397-08002B2CF9AE}" pid="4" name="KSOTemplateDocerSaveRecord">
    <vt:lpwstr>eyJoZGlkIjoiMDg2NWI4Nzc3MWRjNmZiYjZlMzJlMWI1OGYxYTdhZGEiLCJ1c2VySWQiOiIxNTkxMTE2NDU5In0=</vt:lpwstr>
  </property>
</Properties>
</file>