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pplemental-table-legends"/>
    <w:p>
      <w:pPr>
        <w:pStyle w:val="Heading1"/>
      </w:pPr>
      <w:r>
        <w:t xml:space="preserve">Supplemental Table Legends</w:t>
      </w:r>
    </w:p>
    <w:p>
      <w:pPr>
        <w:pStyle w:val="FirstParagraph"/>
      </w:pPr>
      <w:r>
        <w:t xml:space="preserve">Sun et al.,</w:t>
      </w:r>
      <w:r>
        <w:t xml:space="preserve"> </w:t>
      </w:r>
      <w:r>
        <w:t xml:space="preserve">“Rim15 orchestrates mitochondrial and cytoplasmic remodeling in</w:t>
      </w:r>
      <w:r>
        <w:t xml:space="preserve"> </w:t>
      </w:r>
      <w:r>
        <w:t xml:space="preserve">quiescent</w:t>
      </w:r>
      <w:r>
        <w:t xml:space="preserve"> </w:t>
      </w:r>
      <w:r>
        <w:rPr>
          <w:i/>
          <w:iCs/>
        </w:rPr>
        <w:t xml:space="preserve">Saccharomyces cerevisiae</w:t>
      </w:r>
      <w:r>
        <w:t xml:space="preserve"> </w:t>
      </w:r>
      <w:r>
        <w:t xml:space="preserve">cells.”</w:t>
      </w:r>
      <w:r>
        <w:t xml:space="preserve"> </w:t>
      </w:r>
      <w:r>
        <w:t xml:space="preserve">PLOS Genetics.</w:t>
      </w:r>
    </w:p>
    <w:p>
      <w:pPr>
        <w:pStyle w:val="BodyText"/>
      </w:pPr>
      <w:r>
        <w:t xml:space="preserve">Tables S3 and S4 are available in the journal submission package. Table S1</w:t>
      </w:r>
      <w:r>
        <w:t xml:space="preserve"> </w:t>
      </w:r>
      <w:r>
        <w:t xml:space="preserve">(122 MB) is regenerated by</w:t>
      </w:r>
      <w:r>
        <w:t xml:space="preserve"> </w:t>
      </w:r>
      <w:r>
        <w:rPr>
          <w:rStyle w:val="VerbatimChar"/>
        </w:rPr>
        <w:t xml:space="preserve">01_data_preparation_qc.Rmd</w:t>
      </w:r>
      <w:r>
        <w:t xml:space="preserve">. All other tables are</w:t>
      </w:r>
      <w:r>
        <w:t xml:space="preserve"> </w:t>
      </w:r>
      <w:r>
        <w:t xml:space="preserve">in this folder and are regenerated by</w:t>
      </w:r>
      <w:r>
        <w:t xml:space="preserve"> </w:t>
      </w:r>
      <w:r>
        <w:rPr>
          <w:rStyle w:val="VerbatimChar"/>
        </w:rPr>
        <w:t xml:space="preserve">make_final_supplemental_tables.R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S1. All protein SILAC quantification data, long format.</w:t>
      </w:r>
      <w:r>
        <w:t xml:space="preserve"> </w:t>
      </w:r>
      <w:r>
        <w:t xml:space="preserve">Complete protein-level SILAC quantification for all detected proteins across</w:t>
      </w:r>
      <w:r>
        <w:t xml:space="preserve"> </w:t>
      </w:r>
      <w:r>
        <w:t xml:space="preserve">all samples, in long format. Each row represents one measurement (one data</w:t>
      </w:r>
      <w:r>
        <w:t xml:space="preserve"> </w:t>
      </w:r>
      <w:r>
        <w:t xml:space="preserve">type for one protein in one sample). Columns:</w:t>
      </w:r>
      <w:r>
        <w:t xml:space="preserve"> </w:t>
      </w:r>
      <w:r>
        <w:rPr>
          <w:i/>
          <w:iCs/>
        </w:rPr>
        <w:t xml:space="preserve">Protein IDs</w:t>
      </w:r>
      <w:r>
        <w:t xml:space="preserve"> </w:t>
      </w:r>
      <w:r>
        <w:t xml:space="preserve">— UniProt</w:t>
      </w:r>
      <w:r>
        <w:t xml:space="preserve"> </w:t>
      </w:r>
      <w:r>
        <w:t xml:space="preserve">accession(s), semicolon-delimited for protein groups;</w:t>
      </w:r>
      <w:r>
        <w:t xml:space="preserve"> </w:t>
      </w:r>
      <w:r>
        <w:rPr>
          <w:i/>
          <w:iCs/>
        </w:rPr>
        <w:t xml:space="preserve">Gene names</w:t>
      </w:r>
      <w:r>
        <w:t xml:space="preserve"> </w:t>
      </w:r>
      <w:r>
        <w:t xml:space="preserve">— standard</w:t>
      </w:r>
      <w:r>
        <w:t xml:space="preserve"> </w:t>
      </w:r>
      <w:r>
        <w:t xml:space="preserve">SGD gene name(s);</w:t>
      </w:r>
      <w:r>
        <w:t xml:space="preserve"> </w:t>
      </w:r>
      <w:r>
        <w:rPr>
          <w:i/>
          <w:iCs/>
        </w:rPr>
        <w:t xml:space="preserve">Protein names</w:t>
      </w:r>
      <w:r>
        <w:t xml:space="preserve"> </w:t>
      </w:r>
      <w:r>
        <w:t xml:space="preserve">— full UniProt protein name;</w:t>
      </w:r>
      <w:r>
        <w:t xml:space="preserve"> </w:t>
      </w:r>
      <w:r>
        <w:rPr>
          <w:i/>
          <w:iCs/>
        </w:rPr>
        <w:t xml:space="preserve">Fasta headers</w:t>
      </w:r>
      <w:r>
        <w:t xml:space="preserve"> </w:t>
      </w:r>
      <w:r>
        <w:t xml:space="preserve">— complete FASTA header from the UniProt reference proteome</w:t>
      </w:r>
      <w:r>
        <w:t xml:space="preserve"> </w:t>
      </w:r>
      <w:r>
        <w:t xml:space="preserve">(UP000002311_559292);</w:t>
      </w:r>
      <w:r>
        <w:t xml:space="preserve"> </w:t>
      </w:r>
      <w:r>
        <w:rPr>
          <w:i/>
          <w:iCs/>
        </w:rPr>
        <w:t xml:space="preserve">nutrient</w:t>
      </w:r>
      <w:r>
        <w:t xml:space="preserve"> </w:t>
      </w:r>
      <w:r>
        <w:t xml:space="preserve">— starvation condition (C = carbon,</w:t>
      </w:r>
      <w:r>
        <w:t xml:space="preserve"> </w:t>
      </w:r>
      <w:r>
        <w:t xml:space="preserve">N = nitrogen, P = phosphorus);</w:t>
      </w:r>
      <w:r>
        <w:t xml:space="preserve"> </w:t>
      </w:r>
      <w:r>
        <w:rPr>
          <w:i/>
          <w:iCs/>
        </w:rPr>
        <w:t xml:space="preserve">samplingTime</w:t>
      </w:r>
      <w:r>
        <w:t xml:space="preserve"> </w:t>
      </w:r>
      <w:r>
        <w:t xml:space="preserve">— timepoint of collection</w:t>
      </w:r>
      <w:r>
        <w:t xml:space="preserve"> </w:t>
      </w:r>
      <w:r>
        <w:t xml:space="preserve">(T00, T06, T16, T30 corresponding to 0, 6, 16, 30 h post nutrient removal);</w:t>
      </w:r>
      <w:r>
        <w:t xml:space="preserve"> </w:t>
      </w:r>
      <w:r>
        <w:rPr>
          <w:i/>
          <w:iCs/>
        </w:rPr>
        <w:t xml:space="preserve">replicate</w:t>
      </w:r>
      <w:r>
        <w:t xml:space="preserve"> </w:t>
      </w:r>
      <w:r>
        <w:t xml:space="preserve">— biological replicate identifier (R1, R2, R3);</w:t>
      </w:r>
      <w:r>
        <w:t xml:space="preserve"> </w:t>
      </w:r>
      <w:r>
        <w:rPr>
          <w:i/>
          <w:iCs/>
        </w:rPr>
        <w:t xml:space="preserve">genotype</w:t>
      </w:r>
      <w:r>
        <w:t xml:space="preserve"> </w:t>
      </w:r>
      <w:r>
        <w:t xml:space="preserve">—</w:t>
      </w:r>
      <w:r>
        <w:t xml:space="preserve"> </w:t>
      </w:r>
      <w:r>
        <w:t xml:space="preserve">strain (WT = prototrophic wild type, rim15KO =</w:t>
      </w:r>
      <w:r>
        <w:t xml:space="preserve"> </w:t>
      </w:r>
      <w:r>
        <w:rPr>
          <w:i/>
          <w:iCs/>
        </w:rPr>
        <w:t xml:space="preserve">rim15Δ</w:t>
      </w:r>
      <w:r>
        <w:t xml:space="preserve"> </w:t>
      </w:r>
      <w:r>
        <w:t xml:space="preserve">mutant, spike-in =</w:t>
      </w:r>
      <w:r>
        <w:t xml:space="preserve"> </w:t>
      </w:r>
      <w:r>
        <w:t xml:space="preserve">common reference);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— measurement type (intensity = raw MS1 intensity,</w:t>
      </w:r>
      <w:r>
        <w:t xml:space="preserve"> </w:t>
      </w:r>
      <w:r>
        <w:t xml:space="preserve">normed_intensity = spike-in-normalized intensity, ratio = raw SILAC ratio</w:t>
      </w:r>
      <w:r>
        <w:t xml:space="preserve"> </w:t>
      </w:r>
      <w:r>
        <w:t xml:space="preserve">relative to spike-in, normed_ratio = normalized SILAC ratio);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—</w:t>
      </w:r>
      <w:r>
        <w:t xml:space="preserve"> </w:t>
      </w:r>
      <w:r>
        <w:t xml:space="preserve">numeric value for the corresponding data type. 551,664 rows total.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S2. All phosphosite SILAC quantification data, long format.</w:t>
      </w:r>
      <w:r>
        <w:t xml:space="preserve"> </w:t>
      </w:r>
      <w:r>
        <w:t xml:space="preserve">Normalized SILAC ratios for all 5,056 detected phosphosites across all</w:t>
      </w:r>
      <w:r>
        <w:t xml:space="preserve"> </w:t>
      </w:r>
      <w:r>
        <w:t xml:space="preserve">samples, in long format. Assembled by pivoting the wide-format Table S6.</w:t>
      </w:r>
      <w:r>
        <w:t xml:space="preserve"> </w:t>
      </w:r>
      <w:r>
        <w:t xml:space="preserve">Each row represents one phosphosite measurement in one sample. Columns:</w:t>
      </w:r>
      <w:r>
        <w:t xml:space="preserve"> </w:t>
      </w:r>
      <w:r>
        <w:rPr>
          <w:i/>
          <w:iCs/>
        </w:rPr>
        <w:t xml:space="preserve">pSite</w:t>
      </w:r>
      <w:r>
        <w:t xml:space="preserve"> </w:t>
      </w:r>
      <w:r>
        <w:t xml:space="preserve">— phosphosite identifier in GENE_position format (e.g., IGO2_64);</w:t>
      </w:r>
      <w:r>
        <w:t xml:space="preserve"> </w:t>
      </w:r>
      <w:r>
        <w:rPr>
          <w:i/>
          <w:iCs/>
        </w:rPr>
        <w:t xml:space="preserve">Proteins</w:t>
      </w:r>
      <w:r>
        <w:t xml:space="preserve"> </w:t>
      </w:r>
      <w:r>
        <w:t xml:space="preserve">— UniProt accession(s) of the host protein;</w:t>
      </w:r>
      <w:r>
        <w:t xml:space="preserve"> </w:t>
      </w:r>
      <w:r>
        <w:rPr>
          <w:i/>
          <w:iCs/>
        </w:rPr>
        <w:t xml:space="preserve">Leading proteins</w:t>
      </w:r>
      <w:r>
        <w:t xml:space="preserve"> </w:t>
      </w:r>
      <w:r>
        <w:t xml:space="preserve">—</w:t>
      </w:r>
      <w:r>
        <w:t xml:space="preserve"> </w:t>
      </w:r>
      <w:r>
        <w:t xml:space="preserve">primary UniProt accession used for mapping;</w:t>
      </w:r>
      <w:r>
        <w:t xml:space="preserve"> </w:t>
      </w:r>
      <w:r>
        <w:rPr>
          <w:i/>
          <w:iCs/>
        </w:rPr>
        <w:t xml:space="preserve">Gene names</w:t>
      </w:r>
      <w:r>
        <w:t xml:space="preserve"> </w:t>
      </w:r>
      <w:r>
        <w:t xml:space="preserve">— standard SGD gene</w:t>
      </w:r>
      <w:r>
        <w:t xml:space="preserve"> </w:t>
      </w:r>
      <w:r>
        <w:t xml:space="preserve">name;</w:t>
      </w:r>
      <w:r>
        <w:t xml:space="preserve"> </w:t>
      </w:r>
      <w:r>
        <w:rPr>
          <w:i/>
          <w:iCs/>
        </w:rPr>
        <w:t xml:space="preserve">Protein names</w:t>
      </w:r>
      <w:r>
        <w:t xml:space="preserve"> </w:t>
      </w:r>
      <w:r>
        <w:t xml:space="preserve">— full UniProt protein name;</w:t>
      </w:r>
      <w:r>
        <w:t xml:space="preserve"> </w:t>
      </w:r>
      <w:r>
        <w:rPr>
          <w:i/>
          <w:iCs/>
        </w:rPr>
        <w:t xml:space="preserve">genotype</w:t>
      </w:r>
      <w:r>
        <w:t xml:space="preserve"> </w:t>
      </w:r>
      <w:r>
        <w:t xml:space="preserve">— strain</w:t>
      </w:r>
      <w:r>
        <w:t xml:space="preserve"> </w:t>
      </w:r>
      <w:r>
        <w:t xml:space="preserve">(rim15KO =</w:t>
      </w:r>
      <w:r>
        <w:t xml:space="preserve"> </w:t>
      </w:r>
      <w:r>
        <w:rPr>
          <w:i/>
          <w:iCs/>
        </w:rPr>
        <w:t xml:space="preserve">rim15Δ</w:t>
      </w:r>
      <w:r>
        <w:t xml:space="preserve">, WT = wild type);</w:t>
      </w:r>
      <w:r>
        <w:t xml:space="preserve"> </w:t>
      </w:r>
      <w:r>
        <w:rPr>
          <w:i/>
          <w:iCs/>
        </w:rPr>
        <w:t xml:space="preserve">nutrient</w:t>
      </w:r>
      <w:r>
        <w:t xml:space="preserve"> </w:t>
      </w:r>
      <w:r>
        <w:t xml:space="preserve">— starvation condition</w:t>
      </w:r>
      <w:r>
        <w:t xml:space="preserve"> </w:t>
      </w:r>
      <w:r>
        <w:t xml:space="preserve">(C = carbon, P = phosphorus; note that nitrogen starvation was not profiled</w:t>
      </w:r>
      <w:r>
        <w:t xml:space="preserve"> </w:t>
      </w:r>
      <w:r>
        <w:t xml:space="preserve">by phosphoproteomics);</w:t>
      </w:r>
      <w:r>
        <w:t xml:space="preserve"> </w:t>
      </w:r>
      <w:r>
        <w:rPr>
          <w:i/>
          <w:iCs/>
        </w:rPr>
        <w:t xml:space="preserve">timepoint_h</w:t>
      </w:r>
      <w:r>
        <w:t xml:space="preserve"> </w:t>
      </w:r>
      <w:r>
        <w:t xml:space="preserve">— timepoint in hours (0, 6, 16, 30);</w:t>
      </w:r>
      <w:r>
        <w:t xml:space="preserve"> </w:t>
      </w:r>
      <w:r>
        <w:rPr>
          <w:i/>
          <w:iCs/>
        </w:rPr>
        <w:t xml:space="preserve">replicate</w:t>
      </w:r>
      <w:r>
        <w:t xml:space="preserve"> </w:t>
      </w:r>
      <w:r>
        <w:t xml:space="preserve">— biological replicate (R1, R2, R3);</w:t>
      </w:r>
      <w:r>
        <w:t xml:space="preserve"> </w:t>
      </w:r>
      <w:r>
        <w:rPr>
          <w:i/>
          <w:iCs/>
        </w:rPr>
        <w:t xml:space="preserve">normalized_ratio</w:t>
      </w:r>
      <w:r>
        <w:t xml:space="preserve"> </w:t>
      </w:r>
      <w:r>
        <w:t xml:space="preserve">—</w:t>
      </w:r>
      <w:r>
        <w:t xml:space="preserve"> </w:t>
      </w:r>
      <w:r>
        <w:t xml:space="preserve">MaxQuant-normalized SILAC ratio of the phosphopeptide relative to the common</w:t>
      </w:r>
      <w:r>
        <w:t xml:space="preserve"> </w:t>
      </w:r>
      <w:r>
        <w:t xml:space="preserve">mid-log spike-in reference (WT or rim15KO channel / spike-in). This ratio</w:t>
      </w:r>
      <w:r>
        <w:t xml:space="preserve"> </w:t>
      </w:r>
      <w:r>
        <w:t xml:space="preserve">reflects phosphopeptide abundance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corrected for changes in total</w:t>
      </w:r>
      <w:r>
        <w:t xml:space="preserve"> </w:t>
      </w:r>
      <w:r>
        <w:t xml:space="preserve">protein abundance; it therefore conflates changes in phosphorylation</w:t>
      </w:r>
      <w:r>
        <w:t xml:space="preserve"> </w:t>
      </w:r>
      <w:r>
        <w:t xml:space="preserve">stoichiometry with changes in protein level. To isolate occupancy changes,</w:t>
      </w:r>
      <w:r>
        <w:t xml:space="preserve"> </w:t>
      </w:r>
      <w:r>
        <w:t xml:space="preserve">subtract the corresponding protein log2FC (Table S16) from the phosphosite</w:t>
      </w:r>
      <w:r>
        <w:t xml:space="preserve"> </w:t>
      </w:r>
      <w:r>
        <w:t xml:space="preserve">log2FC. 242,688 rows total.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S3. Proteins upregulated in carbon starvation that are required for</w:t>
      </w:r>
      <w:r>
        <w:rPr>
          <w:b/>
          <w:bCs/>
        </w:rPr>
        <w:t xml:space="preserve"> </w:t>
      </w:r>
      <w:r>
        <w:rPr>
          <w:b/>
          <w:bCs/>
        </w:rPr>
        <w:t xml:space="preserve">quiescence survival.</w:t>
      </w:r>
      <w:r>
        <w:t xml:space="preserve"> </w:t>
      </w:r>
      <w:r>
        <w:t xml:space="preserve">The 11 proteins significantly upregulated in</w:t>
      </w:r>
      <w:r>
        <w:t xml:space="preserve"> </w:t>
      </w:r>
      <w:r>
        <w:rPr>
          <w:i/>
          <w:iCs/>
        </w:rPr>
        <w:t xml:space="preserve">rim15Δ</w:t>
      </w:r>
      <w:r>
        <w:t xml:space="preserve"> </w:t>
      </w:r>
      <w:r>
        <w:t xml:space="preserve">cells relative to WT</w:t>
      </w:r>
      <w:r>
        <w:t xml:space="preserve"> </w:t>
      </w:r>
      <w:r>
        <w:t xml:space="preserve">(q ≤ 0.05) during carbon starvation that are also genetically required for</w:t>
      </w:r>
      <w:r>
        <w:t xml:space="preserve"> </w:t>
      </w:r>
      <w:r>
        <w:t xml:space="preserve">long-term quiescence survival (Sun et al. 2020). Available in the journal</w:t>
      </w:r>
      <w:r>
        <w:t xml:space="preserve"> </w:t>
      </w:r>
      <w:r>
        <w:t xml:space="preserve">submission package. Columns: ORF — SGD systematic name; Gene name — standard</w:t>
      </w:r>
      <w:r>
        <w:t xml:space="preserve"> </w:t>
      </w:r>
      <w:r>
        <w:t xml:space="preserve">gene name; Function — brief functional annotation.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S4. Proteins upregulated in phosphorus starvation that are required</w:t>
      </w:r>
      <w:r>
        <w:rPr>
          <w:b/>
          <w:bCs/>
        </w:rPr>
        <w:t xml:space="preserve"> </w:t>
      </w:r>
      <w:r>
        <w:rPr>
          <w:b/>
          <w:bCs/>
        </w:rPr>
        <w:t xml:space="preserve">for quiescence survival.</w:t>
      </w:r>
      <w:r>
        <w:t xml:space="preserve"> </w:t>
      </w:r>
      <w:r>
        <w:t xml:space="preserve">The 13 proteins significantly upregulated in</w:t>
      </w:r>
      <w:r>
        <w:t xml:space="preserve"> </w:t>
      </w:r>
      <w:r>
        <w:rPr>
          <w:i/>
          <w:iCs/>
        </w:rPr>
        <w:t xml:space="preserve">rim15Δ</w:t>
      </w:r>
      <w:r>
        <w:t xml:space="preserve"> </w:t>
      </w:r>
      <w:r>
        <w:t xml:space="preserve">cells relative to WT</w:t>
      </w:r>
      <w:r>
        <w:t xml:space="preserve"> </w:t>
      </w:r>
      <w:r>
        <w:t xml:space="preserve">(q ≤ 0.05) during phosphorus starvation that are also genetically required for</w:t>
      </w:r>
      <w:r>
        <w:t xml:space="preserve"> </w:t>
      </w:r>
      <w:r>
        <w:t xml:space="preserve">long-term quiescence survival (Sun et al. 2020). Available in the journal</w:t>
      </w:r>
      <w:r>
        <w:t xml:space="preserve"> </w:t>
      </w:r>
      <w:r>
        <w:t xml:space="preserve">submission package. Columns: ORF — SGD systematic name; Gene name — standard</w:t>
      </w:r>
      <w:r>
        <w:t xml:space="preserve"> </w:t>
      </w:r>
      <w:r>
        <w:t xml:space="preserve">gene name; Function — brief functional annotation.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S5. Normalized protein SILAC ratios, wide format.</w:t>
      </w:r>
      <w:r>
        <w:t xml:space="preserve"> </w:t>
      </w:r>
      <w:r>
        <w:t xml:space="preserve">Normalized SILAC ratios for 1,276 proteins detected across all conditions,</w:t>
      </w:r>
      <w:r>
        <w:t xml:space="preserve"> </w:t>
      </w:r>
      <w:r>
        <w:t xml:space="preserve">in wide format. Each row is one protein; each data column is one sample.</w:t>
      </w:r>
      <w:r>
        <w:t xml:space="preserve"> </w:t>
      </w:r>
      <w:r>
        <w:t xml:space="preserve">Columns:</w:t>
      </w:r>
      <w:r>
        <w:t xml:space="preserve"> </w:t>
      </w:r>
      <w:r>
        <w:rPr>
          <w:i/>
          <w:iCs/>
        </w:rPr>
        <w:t xml:space="preserve">Protein IDs</w:t>
      </w:r>
      <w:r>
        <w:t xml:space="preserve"> </w:t>
      </w:r>
      <w:r>
        <w:t xml:space="preserve">— UniProt accession;</w:t>
      </w:r>
      <w:r>
        <w:t xml:space="preserve"> </w:t>
      </w:r>
      <w:r>
        <w:rPr>
          <w:i/>
          <w:iCs/>
        </w:rPr>
        <w:t xml:space="preserve">Gene names</w:t>
      </w:r>
      <w:r>
        <w:t xml:space="preserve"> </w:t>
      </w:r>
      <w:r>
        <w:t xml:space="preserve">— standard SGD gene</w:t>
      </w:r>
      <w:r>
        <w:t xml:space="preserve"> </w:t>
      </w:r>
      <w:r>
        <w:t xml:space="preserve">name; remaining columns — normalized SILAC ratio for each sample, named</w:t>
      </w:r>
      <w:r>
        <w:t xml:space="preserve"> </w:t>
      </w:r>
      <w:r>
        <w:t xml:space="preserve">genotype_nutrient_timepoint_replicate (e.g., rim15KO_C_T00_R1 =</w:t>
      </w:r>
      <w:r>
        <w:t xml:space="preserve"> </w:t>
      </w:r>
      <w:r>
        <w:rPr>
          <w:i/>
          <w:iCs/>
        </w:rPr>
        <w:t xml:space="preserve">rim15Δ</w:t>
      </w:r>
      <w:r>
        <w:t xml:space="preserve"> </w:t>
      </w:r>
      <w:r>
        <w:t xml:space="preserve">carbon starvation 0 h replicate 1; WT_P_T30_R2 = wild type phosphorus</w:t>
      </w:r>
      <w:r>
        <w:t xml:space="preserve"> </w:t>
      </w:r>
      <w:r>
        <w:t xml:space="preserve">starvation 30 h replicate 2). Values are ratios relative to the common mid-log</w:t>
      </w:r>
      <w:r>
        <w:t xml:space="preserve"> </w:t>
      </w:r>
      <w:r>
        <w:t xml:space="preserve">spike-in reference; NA indicates the protein was not quantified in that sample.</w:t>
      </w:r>
      <w:r>
        <w:t xml:space="preserve"> </w:t>
      </w:r>
      <w:r>
        <w:t xml:space="preserve">1,276 rows × 74 sample columns.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S6. Normalized phosphosite SILAC ratios, wide format.</w:t>
      </w:r>
      <w:r>
        <w:t xml:space="preserve"> </w:t>
      </w:r>
      <w:r>
        <w:t xml:space="preserve">Normalized SILAC ratios for 5,056 phosphosites, in wide format. Each row is</w:t>
      </w:r>
      <w:r>
        <w:t xml:space="preserve"> </w:t>
      </w:r>
      <w:r>
        <w:t xml:space="preserve">one phosphosite; each data column is one sample. Columns:</w:t>
      </w:r>
      <w:r>
        <w:t xml:space="preserve"> </w:t>
      </w:r>
      <w:r>
        <w:rPr>
          <w:i/>
          <w:iCs/>
        </w:rPr>
        <w:t xml:space="preserve">Proteins</w:t>
      </w:r>
      <w:r>
        <w:t xml:space="preserve"> </w:t>
      </w:r>
      <w:r>
        <w:t xml:space="preserve">— UniProt</w:t>
      </w:r>
      <w:r>
        <w:t xml:space="preserve"> </w:t>
      </w:r>
      <w:r>
        <w:t xml:space="preserve">accession(s);</w:t>
      </w:r>
      <w:r>
        <w:t xml:space="preserve"> </w:t>
      </w:r>
      <w:r>
        <w:rPr>
          <w:i/>
          <w:iCs/>
        </w:rPr>
        <w:t xml:space="preserve">pSite</w:t>
      </w:r>
      <w:r>
        <w:t xml:space="preserve"> </w:t>
      </w:r>
      <w:r>
        <w:t xml:space="preserve">— phosphosite identifier (GENE_position);</w:t>
      </w:r>
      <w:r>
        <w:t xml:space="preserve"> </w:t>
      </w:r>
      <w:r>
        <w:rPr>
          <w:i/>
          <w:iCs/>
        </w:rPr>
        <w:t xml:space="preserve">Leading</w:t>
      </w:r>
      <w:r>
        <w:rPr>
          <w:i/>
          <w:iCs/>
        </w:rPr>
        <w:t xml:space="preserve"> </w:t>
      </w:r>
      <w:r>
        <w:rPr>
          <w:i/>
          <w:iCs/>
        </w:rPr>
        <w:t xml:space="preserve">proteins</w:t>
      </w:r>
      <w:r>
        <w:t xml:space="preserve"> </w:t>
      </w:r>
      <w:r>
        <w:t xml:space="preserve">— primary UniProt accession;</w:t>
      </w:r>
      <w:r>
        <w:t xml:space="preserve"> </w:t>
      </w:r>
      <w:r>
        <w:rPr>
          <w:i/>
          <w:iCs/>
        </w:rPr>
        <w:t xml:space="preserve">Gene names</w:t>
      </w:r>
      <w:r>
        <w:t xml:space="preserve"> </w:t>
      </w:r>
      <w:r>
        <w:t xml:space="preserve">— standard SGD gene name;</w:t>
      </w:r>
      <w:r>
        <w:t xml:space="preserve"> </w:t>
      </w:r>
      <w:r>
        <w:rPr>
          <w:i/>
          <w:iCs/>
        </w:rPr>
        <w:t xml:space="preserve">Protein names</w:t>
      </w:r>
      <w:r>
        <w:t xml:space="preserve"> </w:t>
      </w:r>
      <w:r>
        <w:t xml:space="preserve">— full protein name; remaining columns — normalized SILAC</w:t>
      </w:r>
      <w:r>
        <w:t xml:space="preserve"> </w:t>
      </w:r>
      <w:r>
        <w:t xml:space="preserve">ratio per sample, named genotype_nutrient_timepoint_replicate. Carbon (C) and</w:t>
      </w:r>
      <w:r>
        <w:t xml:space="preserve"> </w:t>
      </w:r>
      <w:r>
        <w:t xml:space="preserve">phosphorus (P) starvation only; the additional columns</w:t>
      </w:r>
      <w:r>
        <w:t xml:space="preserve"> </w:t>
      </w:r>
      <w:r>
        <w:rPr>
          <w:i/>
          <w:iCs/>
        </w:rPr>
        <w:t xml:space="preserve">WT/rim15KO_C_T</w:t>
      </w:r>
      <w:r>
        <w:t xml:space="preserve">…</w:t>
      </w:r>
      <w:r>
        <w:t xml:space="preserve"> </w:t>
      </w:r>
      <w:r>
        <w:t xml:space="preserve">contain pre-computed genotype ratios (WT channel / rim15KO channel). Values</w:t>
      </w:r>
      <w:r>
        <w:t xml:space="preserve"> </w:t>
      </w:r>
      <w:r>
        <w:t xml:space="preserve">are NA where a site was not quantified. 5,056 rows × 72 sample columns.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S7. ANCOVA results for genotype and nutrient effects on protein</w:t>
      </w:r>
      <w:r>
        <w:rPr>
          <w:b/>
          <w:bCs/>
        </w:rPr>
        <w:t xml:space="preserve"> </w:t>
      </w:r>
      <w:r>
        <w:rPr>
          <w:b/>
          <w:bCs/>
        </w:rPr>
        <w:t xml:space="preserve">abundance.</w:t>
      </w:r>
      <w:r>
        <w:t xml:space="preserve"> </w:t>
      </w:r>
      <w:r>
        <w:t xml:space="preserve">Linear model (ANCOVA) coefficients testing the effect of genotype and nutrient</w:t>
      </w:r>
      <w:r>
        <w:t xml:space="preserve"> </w:t>
      </w:r>
      <w:r>
        <w:t xml:space="preserve">on normalized SILAC ratios, with sampling time as a covariate. Each row</w:t>
      </w:r>
      <w:r>
        <w:t xml:space="preserve"> </w:t>
      </w:r>
      <w:r>
        <w:t xml:space="preserve">reports one model term for one protein in one condition. Columns:</w:t>
      </w:r>
      <w:r>
        <w:t xml:space="preserve"> </w:t>
      </w:r>
      <w:r>
        <w:rPr>
          <w:i/>
          <w:iCs/>
        </w:rPr>
        <w:t xml:space="preserve">Protein IDs</w:t>
      </w:r>
      <w:r>
        <w:t xml:space="preserve"> </w:t>
      </w:r>
      <w:r>
        <w:t xml:space="preserve">— UniProt accession;</w:t>
      </w:r>
      <w:r>
        <w:t xml:space="preserve"> </w:t>
      </w:r>
      <w:r>
        <w:rPr>
          <w:i/>
          <w:iCs/>
        </w:rPr>
        <w:t xml:space="preserve">Gene names</w:t>
      </w:r>
      <w:r>
        <w:t xml:space="preserve"> </w:t>
      </w:r>
      <w:r>
        <w:t xml:space="preserve">— standard SGD gene name;</w:t>
      </w:r>
      <w:r>
        <w:t xml:space="preserve"> </w:t>
      </w:r>
      <w:r>
        <w:rPr>
          <w:i/>
          <w:iCs/>
        </w:rPr>
        <w:t xml:space="preserve">comparison</w:t>
      </w:r>
      <w:r>
        <w:t xml:space="preserve"> </w:t>
      </w:r>
      <w:r>
        <w:t xml:space="preserve">—</w:t>
      </w:r>
      <w:r>
        <w:t xml:space="preserve"> </w:t>
      </w:r>
      <w:r>
        <w:t xml:space="preserve">model type (</w:t>
      </w:r>
      <w:r>
        <w:t xml:space="preserve">“genotype (per nutrient)”</w:t>
      </w:r>
      <w:r>
        <w:t xml:space="preserve"> </w:t>
      </w:r>
      <w:r>
        <w:t xml:space="preserve">tests WT vs</w:t>
      </w:r>
      <w:r>
        <w:t xml:space="preserve"> </w:t>
      </w:r>
      <w:r>
        <w:rPr>
          <w:i/>
          <w:iCs/>
        </w:rPr>
        <w:t xml:space="preserve">rim15Δ</w:t>
      </w:r>
      <w:r>
        <w:t xml:space="preserve"> </w:t>
      </w:r>
      <w:r>
        <w:t xml:space="preserve">within each</w:t>
      </w:r>
      <w:r>
        <w:t xml:space="preserve"> </w:t>
      </w:r>
      <w:r>
        <w:t xml:space="preserve">starvation condition;</w:t>
      </w:r>
      <w:r>
        <w:t xml:space="preserve"> </w:t>
      </w:r>
      <w:r>
        <w:t xml:space="preserve">“nutrient (per genotype)”</w:t>
      </w:r>
      <w:r>
        <w:t xml:space="preserve"> </w:t>
      </w:r>
      <w:r>
        <w:t xml:space="preserve">tests C vs P within each</w:t>
      </w:r>
      <w:r>
        <w:t xml:space="preserve"> </w:t>
      </w:r>
      <w:r>
        <w:t xml:space="preserve">genotype);</w:t>
      </w:r>
      <w:r>
        <w:t xml:space="preserve"> </w:t>
      </w:r>
      <w:r>
        <w:rPr>
          <w:i/>
          <w:iCs/>
        </w:rPr>
        <w:t xml:space="preserve">condition</w:t>
      </w:r>
      <w:r>
        <w:t xml:space="preserve"> </w:t>
      </w:r>
      <w:r>
        <w:t xml:space="preserve">— starvation condition or genotype for which the model</w:t>
      </w:r>
      <w:r>
        <w:t xml:space="preserve"> </w:t>
      </w:r>
      <w:r>
        <w:t xml:space="preserve">was fit;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— regression term (genotypeWT or nutrientP = main effect</w:t>
      </w:r>
      <w:r>
        <w:t xml:space="preserve"> </w:t>
      </w:r>
      <w:r>
        <w:t xml:space="preserve">coefficient; samplingTime = time covariate; interaction terms = time × genotype</w:t>
      </w:r>
      <w:r>
        <w:t xml:space="preserve"> </w:t>
      </w:r>
      <w:r>
        <w:t xml:space="preserve">or time × nutrient);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— regression coefficient;</w:t>
      </w:r>
      <w:r>
        <w:t xml:space="preserve"> </w:t>
      </w:r>
      <w:r>
        <w:rPr>
          <w:i/>
          <w:iCs/>
        </w:rPr>
        <w:t xml:space="preserve">std.error</w:t>
      </w:r>
      <w:r>
        <w:t xml:space="preserve"> </w:t>
      </w:r>
      <w:r>
        <w:t xml:space="preserve">—</w:t>
      </w:r>
      <w:r>
        <w:t xml:space="preserve"> </w:t>
      </w:r>
      <w:r>
        <w:t xml:space="preserve">standard error;</w:t>
      </w:r>
      <w:r>
        <w:t xml:space="preserve"> </w:t>
      </w:r>
      <w:r>
        <w:rPr>
          <w:i/>
          <w:iCs/>
        </w:rPr>
        <w:t xml:space="preserve">statistic</w:t>
      </w:r>
      <w:r>
        <w:t xml:space="preserve"> </w:t>
      </w:r>
      <w:r>
        <w:t xml:space="preserve">— t-statistic;</w:t>
      </w:r>
      <w:r>
        <w:t xml:space="preserve"> </w:t>
      </w:r>
      <w:r>
        <w:rPr>
          <w:i/>
          <w:iCs/>
        </w:rPr>
        <w:t xml:space="preserve">p.value</w:t>
      </w:r>
      <w:r>
        <w:t xml:space="preserve"> </w:t>
      </w:r>
      <w:r>
        <w:t xml:space="preserve">— nominal p-value;</w:t>
      </w:r>
      <w:r>
        <w:t xml:space="preserve"> </w:t>
      </w:r>
      <w:r>
        <w:rPr>
          <w:i/>
          <w:iCs/>
        </w:rPr>
        <w:t xml:space="preserve">qvalue</w:t>
      </w:r>
      <w:r>
        <w:t xml:space="preserve"> </w:t>
      </w:r>
      <w:r>
        <w:t xml:space="preserve">— Benjamini–Hochberg FDR-corrected q-value;</w:t>
      </w:r>
      <w:r>
        <w:t xml:space="preserve"> </w:t>
      </w:r>
      <w:r>
        <w:rPr>
          <w:i/>
          <w:iCs/>
        </w:rPr>
        <w:t xml:space="preserve">df</w:t>
      </w:r>
      <w:r>
        <w:t xml:space="preserve"> </w:t>
      </w:r>
      <w:r>
        <w:t xml:space="preserve">— degrees of freedom</w:t>
      </w:r>
      <w:r>
        <w:t xml:space="preserve"> </w:t>
      </w:r>
      <w:r>
        <w:t xml:space="preserve">(reported for ANOVA-style rows only). 11,492 rows.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S8. WGCNA module membership, wide format.</w:t>
      </w:r>
      <w:r>
        <w:t xml:space="preserve"> </w:t>
      </w:r>
      <w:r>
        <w:t xml:space="preserve">Module assignments for 927 proteins detected in the WGCNA co-expression</w:t>
      </w:r>
      <w:r>
        <w:t xml:space="preserve"> </w:t>
      </w:r>
      <w:r>
        <w:t xml:space="preserve">analysis, in wide format. Four separate weighted gene co-expression networks</w:t>
      </w:r>
      <w:r>
        <w:t xml:space="preserve"> </w:t>
      </w:r>
      <w:r>
        <w:t xml:space="preserve">were constructed: WT carbon starvation (C_WT),</w:t>
      </w:r>
      <w:r>
        <w:t xml:space="preserve"> </w:t>
      </w:r>
      <w:r>
        <w:rPr>
          <w:i/>
          <w:iCs/>
        </w:rPr>
        <w:t xml:space="preserve">rim15Δ</w:t>
      </w:r>
      <w:r>
        <w:t xml:space="preserve"> </w:t>
      </w:r>
      <w:r>
        <w:t xml:space="preserve">carbon starvation</w:t>
      </w:r>
      <w:r>
        <w:t xml:space="preserve"> </w:t>
      </w:r>
      <w:r>
        <w:t xml:space="preserve">(C_rim15), WT phosphorus starvation (P_WT), and</w:t>
      </w:r>
      <w:r>
        <w:t xml:space="preserve"> </w:t>
      </w:r>
      <w:r>
        <w:rPr>
          <w:i/>
          <w:iCs/>
        </w:rPr>
        <w:t xml:space="preserve">rim15Δ</w:t>
      </w:r>
      <w:r>
        <w:t xml:space="preserve"> </w:t>
      </w:r>
      <w:r>
        <w:t xml:space="preserve">phosphorus starvation</w:t>
      </w:r>
      <w:r>
        <w:t xml:space="preserve"> </w:t>
      </w:r>
      <w:r>
        <w:t xml:space="preserve">(P_rim15). Columns:</w:t>
      </w:r>
      <w:r>
        <w:t xml:space="preserve"> </w:t>
      </w:r>
      <w:r>
        <w:rPr>
          <w:i/>
          <w:iCs/>
        </w:rPr>
        <w:t xml:space="preserve">Protein IDs</w:t>
      </w:r>
      <w:r>
        <w:t xml:space="preserve"> </w:t>
      </w:r>
      <w:r>
        <w:t xml:space="preserve">— UniProt accession;</w:t>
      </w:r>
      <w:r>
        <w:t xml:space="preserve"> </w:t>
      </w:r>
      <w:r>
        <w:rPr>
          <w:i/>
          <w:iCs/>
        </w:rPr>
        <w:t xml:space="preserve">Gene names</w:t>
      </w:r>
      <w:r>
        <w:t xml:space="preserve"> </w:t>
      </w:r>
      <w:r>
        <w:t xml:space="preserve">— standard</w:t>
      </w:r>
      <w:r>
        <w:t xml:space="preserve"> </w:t>
      </w:r>
      <w:r>
        <w:t xml:space="preserve">SGD gene name;</w:t>
      </w:r>
      <w:r>
        <w:t xml:space="preserve"> </w:t>
      </w:r>
      <w:r>
        <w:rPr>
          <w:i/>
          <w:iCs/>
        </w:rPr>
        <w:t xml:space="preserve">C_WT_module</w:t>
      </w:r>
      <w:r>
        <w:t xml:space="preserve">,</w:t>
      </w:r>
      <w:r>
        <w:t xml:space="preserve"> </w:t>
      </w:r>
      <w:r>
        <w:rPr>
          <w:i/>
          <w:iCs/>
        </w:rPr>
        <w:t xml:space="preserve">C_rim15_module</w:t>
      </w:r>
      <w:r>
        <w:t xml:space="preserve">,</w:t>
      </w:r>
      <w:r>
        <w:t xml:space="preserve"> </w:t>
      </w:r>
      <w:r>
        <w:rPr>
          <w:i/>
          <w:iCs/>
        </w:rPr>
        <w:t xml:space="preserve">P_WT_module</w:t>
      </w:r>
      <w:r>
        <w:t xml:space="preserve">,</w:t>
      </w:r>
      <w:r>
        <w:t xml:space="preserve"> </w:t>
      </w:r>
      <w:r>
        <w:rPr>
          <w:i/>
          <w:iCs/>
        </w:rPr>
        <w:t xml:space="preserve">P_rim15_module</w:t>
      </w:r>
      <w:r>
        <w:t xml:space="preserve"> </w:t>
      </w:r>
      <w:r>
        <w:t xml:space="preserve">— color-coded module label in each network (e.g.,</w:t>
      </w:r>
      <w:r>
        <w:t xml:space="preserve"> </w:t>
      </w:r>
      <w:r>
        <w:t xml:space="preserve">“blue”</w:t>
      </w:r>
      <w:r>
        <w:t xml:space="preserve">,</w:t>
      </w:r>
      <w:r>
        <w:t xml:space="preserve"> </w:t>
      </w:r>
      <w:r>
        <w:t xml:space="preserve">“turquoise”</w:t>
      </w:r>
      <w:r>
        <w:t xml:space="preserve">,</w:t>
      </w:r>
      <w:r>
        <w:t xml:space="preserve"> </w:t>
      </w:r>
      <w:r>
        <w:t xml:space="preserve">“brown”</w:t>
      </w:r>
      <w:r>
        <w:t xml:space="preserve">); NA indicates the protein was not included in that</w:t>
      </w:r>
      <w:r>
        <w:t xml:space="preserve"> </w:t>
      </w:r>
      <w:r>
        <w:t xml:space="preserve">network (below detection threshold). 927 rows.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S9. SILAC isotope incorporation, label validation experiment.</w:t>
      </w:r>
      <w:r>
        <w:t xml:space="preserve"> </w:t>
      </w:r>
      <w:r>
        <w:t xml:space="preserve">Normalized SILAC ratios from the label-incorporation validation experiment used</w:t>
      </w:r>
      <w:r>
        <w:t xml:space="preserve"> </w:t>
      </w:r>
      <w:r>
        <w:t xml:space="preserve">to confirm that prototrophic cells incorporate heavy and medium SILAC amino</w:t>
      </w:r>
      <w:r>
        <w:t xml:space="preserve"> </w:t>
      </w:r>
      <w:r>
        <w:t xml:space="preserve">acids comparably to auxotrophic cells, and that</w:t>
      </w:r>
      <w:r>
        <w:t xml:space="preserve"> </w:t>
      </w:r>
      <w:r>
        <w:rPr>
          <w:i/>
          <w:iCs/>
        </w:rPr>
        <w:t xml:space="preserve">rim15Δ</w:t>
      </w:r>
      <w:r>
        <w:t xml:space="preserve"> </w:t>
      </w:r>
      <w:r>
        <w:t xml:space="preserve">cells are</w:t>
      </w:r>
      <w:r>
        <w:t xml:space="preserve"> </w:t>
      </w:r>
      <w:r>
        <w:t xml:space="preserve">quantitatively comparable to WT. Source data for Fig. 1B and Fig. S1A–C.</w:t>
      </w:r>
      <w:r>
        <w:t xml:space="preserve"> </w:t>
      </w:r>
      <w:r>
        <w:t xml:space="preserve">Contaminants and decoy sequences are excluded. Columns:</w:t>
      </w:r>
      <w:r>
        <w:t xml:space="preserve"> </w:t>
      </w:r>
      <w:r>
        <w:rPr>
          <w:i/>
          <w:iCs/>
        </w:rPr>
        <w:t xml:space="preserve">Protein IDs</w:t>
      </w:r>
      <w:r>
        <w:t xml:space="preserve"> </w:t>
      </w:r>
      <w:r>
        <w:t xml:space="preserve">—</w:t>
      </w:r>
      <w:r>
        <w:t xml:space="preserve"> </w:t>
      </w:r>
      <w:r>
        <w:t xml:space="preserve">UniProt accession(s);</w:t>
      </w:r>
      <w:r>
        <w:t xml:space="preserve"> </w:t>
      </w:r>
      <w:r>
        <w:rPr>
          <w:i/>
          <w:iCs/>
        </w:rPr>
        <w:t xml:space="preserve">comparison</w:t>
      </w:r>
      <w:r>
        <w:t xml:space="preserve"> </w:t>
      </w:r>
      <w:r>
        <w:t xml:space="preserve">— experimental pairing</w:t>
      </w:r>
      <w:r>
        <w:t xml:space="preserve"> </w:t>
      </w:r>
      <w:r>
        <w:t xml:space="preserve">(ProtoWT_H_vs_AuxoWT_H = prototrophic WT grown in heavy medium vs.</w:t>
      </w:r>
      <w:r>
        <w:t xml:space="preserve"> </w:t>
      </w:r>
      <w:r>
        <w:t xml:space="preserve">auxotrophic WT grown in heavy medium; ProtoWT_M_vs_AuxoWT_M = same comparison</w:t>
      </w:r>
      <w:r>
        <w:t xml:space="preserve"> </w:t>
      </w:r>
      <w:r>
        <w:t xml:space="preserve">in medium-isotope channel; ProtoWT_H_vs_rim15_M = prototrophic WT heavy</w:t>
      </w:r>
      <w:r>
        <w:t xml:space="preserve"> </w:t>
      </w:r>
      <w:r>
        <w:t xml:space="preserve">channel vs. </w:t>
      </w:r>
      <w:r>
        <w:rPr>
          <w:i/>
          <w:iCs/>
        </w:rPr>
        <w:t xml:space="preserve">rim15Δ</w:t>
      </w:r>
      <w:r>
        <w:t xml:space="preserve"> </w:t>
      </w:r>
      <w:r>
        <w:t xml:space="preserve">medium channel);</w:t>
      </w:r>
      <w:r>
        <w:t xml:space="preserve"> </w:t>
      </w:r>
      <w:r>
        <w:rPr>
          <w:i/>
          <w:iCs/>
        </w:rPr>
        <w:t xml:space="preserve">normalized_ratio</w:t>
      </w:r>
      <w:r>
        <w:t xml:space="preserve"> </w:t>
      </w:r>
      <w:r>
        <w:t xml:space="preserve">— MaxQuant normalized</w:t>
      </w:r>
      <w:r>
        <w:t xml:space="preserve"> </w:t>
      </w:r>
      <w:r>
        <w:t xml:space="preserve">SILAC ratio computed across all peptide-level evidence from both experimental</w:t>
      </w:r>
      <w:r>
        <w:t xml:space="preserve"> </w:t>
      </w:r>
      <w:r>
        <w:t xml:space="preserve">runs simultaneously (peptide-median approach); more robust than per-replicate</w:t>
      </w:r>
      <w:r>
        <w:t xml:space="preserve"> </w:t>
      </w:r>
      <w:r>
        <w:t xml:space="preserve">ratios and is the value used in the figures.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S10. Growth curves.</w:t>
      </w:r>
      <w:r>
        <w:t xml:space="preserve"> </w:t>
      </w:r>
      <w:r>
        <w:t xml:space="preserve">Population growth dynamics for WT and</w:t>
      </w:r>
      <w:r>
        <w:t xml:space="preserve"> </w:t>
      </w:r>
      <w:r>
        <w:rPr>
          <w:i/>
          <w:iCs/>
        </w:rPr>
        <w:t xml:space="preserve">rim15Δ</w:t>
      </w:r>
      <w:r>
        <w:t xml:space="preserve"> </w:t>
      </w:r>
      <w:r>
        <w:t xml:space="preserve">cells following transfer to</w:t>
      </w:r>
      <w:r>
        <w:t xml:space="preserve"> </w:t>
      </w:r>
      <w:r>
        <w:t xml:space="preserve">nutrient-depleted medium. Source data for Fig. 1C. Columns:</w:t>
      </w:r>
      <w:r>
        <w:t xml:space="preserve"> </w:t>
      </w:r>
      <w:r>
        <w:rPr>
          <w:i/>
          <w:iCs/>
        </w:rPr>
        <w:t xml:space="preserve">strain</w:t>
      </w:r>
      <w:r>
        <w:t xml:space="preserve"> </w:t>
      </w:r>
      <w:r>
        <w:t xml:space="preserve">— strain</w:t>
      </w:r>
      <w:r>
        <w:t xml:space="preserve"> </w:t>
      </w:r>
      <w:r>
        <w:t xml:space="preserve">(wt = wild type, rim15 =</w:t>
      </w:r>
      <w:r>
        <w:t xml:space="preserve"> </w:t>
      </w:r>
      <w:r>
        <w:rPr>
          <w:i/>
          <w:iCs/>
        </w:rPr>
        <w:t xml:space="preserve">rim15Δ</w:t>
      </w:r>
      <w:r>
        <w:t xml:space="preserve">);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— hours post nutrient removal;</w:t>
      </w:r>
      <w:r>
        <w:t xml:space="preserve"> </w:t>
      </w:r>
      <w:r>
        <w:rPr>
          <w:i/>
          <w:iCs/>
        </w:rPr>
        <w:t xml:space="preserve">nutrient</w:t>
      </w:r>
      <w:r>
        <w:t xml:space="preserve"> </w:t>
      </w:r>
      <w:r>
        <w:t xml:space="preserve">— starvation condition (C = carbon, N = nitrogen, P = phosphorus);</w:t>
      </w:r>
      <w:r>
        <w:t xml:space="preserve"> </w:t>
      </w:r>
      <w:r>
        <w:rPr>
          <w:i/>
          <w:iCs/>
        </w:rPr>
        <w:t xml:space="preserve">counts</w:t>
      </w:r>
      <w:r>
        <w:t xml:space="preserve"> </w:t>
      </w:r>
      <w:r>
        <w:t xml:space="preserve">— cell counts (cells/mL);</w:t>
      </w:r>
      <w:r>
        <w:t xml:space="preserve"> </w:t>
      </w:r>
      <w:r>
        <w:rPr>
          <w:i/>
          <w:iCs/>
        </w:rPr>
        <w:t xml:space="preserve">replicate</w:t>
      </w:r>
      <w:r>
        <w:t xml:space="preserve"> </w:t>
      </w:r>
      <w:r>
        <w:t xml:space="preserve">— biological replicate number.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S11. Bud index.</w:t>
      </w:r>
      <w:r>
        <w:t xml:space="preserve"> </w:t>
      </w:r>
      <w:r>
        <w:t xml:space="preserve">Fraction of budded cells over time for WT and</w:t>
      </w:r>
      <w:r>
        <w:t xml:space="preserve"> </w:t>
      </w:r>
      <w:r>
        <w:rPr>
          <w:i/>
          <w:iCs/>
        </w:rPr>
        <w:t xml:space="preserve">rim15Δ</w:t>
      </w:r>
      <w:r>
        <w:t xml:space="preserve"> </w:t>
      </w:r>
      <w:r>
        <w:t xml:space="preserve">cells in three</w:t>
      </w:r>
      <w:r>
        <w:t xml:space="preserve"> </w:t>
      </w:r>
      <w:r>
        <w:t xml:space="preserve">starvation conditions. Source data for Fig. 1D. Columns:</w:t>
      </w:r>
      <w:r>
        <w:t xml:space="preserve"> </w:t>
      </w:r>
      <w:r>
        <w:rPr>
          <w:i/>
          <w:iCs/>
        </w:rPr>
        <w:t xml:space="preserve">strain</w:t>
      </w:r>
      <w:r>
        <w:t xml:space="preserve"> </w:t>
      </w:r>
      <w:r>
        <w:t xml:space="preserve">— strain</w:t>
      </w:r>
      <w:r>
        <w:t xml:space="preserve"> </w:t>
      </w:r>
      <w:r>
        <w:t xml:space="preserve">(wt = wild type, rim15 =</w:t>
      </w:r>
      <w:r>
        <w:t xml:space="preserve"> </w:t>
      </w:r>
      <w:r>
        <w:rPr>
          <w:i/>
          <w:iCs/>
        </w:rPr>
        <w:t xml:space="preserve">rim15Δ</w:t>
      </w:r>
      <w:r>
        <w:t xml:space="preserve">);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— hours post nutrient removal;</w:t>
      </w:r>
      <w:r>
        <w:t xml:space="preserve"> </w:t>
      </w:r>
      <w:r>
        <w:rPr>
          <w:i/>
          <w:iCs/>
        </w:rPr>
        <w:t xml:space="preserve">bud index</w:t>
      </w:r>
      <w:r>
        <w:t xml:space="preserve"> </w:t>
      </w:r>
      <w:r>
        <w:t xml:space="preserve">— fraction of cells with a visible bud (0–1);</w:t>
      </w:r>
      <w:r>
        <w:t xml:space="preserve"> </w:t>
      </w:r>
      <w:r>
        <w:rPr>
          <w:i/>
          <w:iCs/>
        </w:rPr>
        <w:t xml:space="preserve">nutrient</w:t>
      </w:r>
      <w:r>
        <w:t xml:space="preserve"> </w:t>
      </w:r>
      <w:r>
        <w:t xml:space="preserve">—</w:t>
      </w:r>
      <w:r>
        <w:t xml:space="preserve"> </w:t>
      </w:r>
      <w:r>
        <w:t xml:space="preserve">starvation condition (C, N, P);</w:t>
      </w:r>
      <w:r>
        <w:t xml:space="preserve"> </w:t>
      </w:r>
      <w:r>
        <w:rPr>
          <w:i/>
          <w:iCs/>
        </w:rPr>
        <w:t xml:space="preserve">replicate</w:t>
      </w:r>
      <w:r>
        <w:t xml:space="preserve"> </w:t>
      </w:r>
      <w:r>
        <w:t xml:space="preserve">— biological replicate number.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S12. 1N DNA content percentage per genotype, condition, and</w:t>
      </w:r>
      <w:r>
        <w:rPr>
          <w:b/>
          <w:bCs/>
        </w:rPr>
        <w:t xml:space="preserve"> </w:t>
      </w:r>
      <w:r>
        <w:rPr>
          <w:b/>
          <w:bCs/>
        </w:rPr>
        <w:t xml:space="preserve">timepoint.</w:t>
      </w:r>
      <w:r>
        <w:t xml:space="preserve"> </w:t>
      </w:r>
      <w:r>
        <w:t xml:space="preserve">Mean percentage of cells with 1N DNA content (G1 phase) quantified by SYTOX</w:t>
      </w:r>
      <w:r>
        <w:t xml:space="preserve"> </w:t>
      </w:r>
      <w:r>
        <w:t xml:space="preserve">Green flow cytometry, averaged across biological replicates. Source data for</w:t>
      </w:r>
      <w:r>
        <w:t xml:space="preserve"> </w:t>
      </w:r>
      <w:r>
        <w:t xml:space="preserve">Fig. 1E. Columns:</w:t>
      </w:r>
      <w:r>
        <w:t xml:space="preserve"> </w:t>
      </w:r>
      <w:r>
        <w:rPr>
          <w:i/>
          <w:iCs/>
        </w:rPr>
        <w:t xml:space="preserve">Strain</w:t>
      </w:r>
      <w:r>
        <w:t xml:space="preserve"> </w:t>
      </w:r>
      <w:r>
        <w:t xml:space="preserve">— strain (WT, RIM15Δ0, DGY1 = haploid control,</w:t>
      </w:r>
      <w:r>
        <w:t xml:space="preserve"> </w:t>
      </w:r>
      <w:r>
        <w:t xml:space="preserve">DGY3 = diploid control);</w:t>
      </w:r>
      <w:r>
        <w:t xml:space="preserve"> </w:t>
      </w:r>
      <w:r>
        <w:rPr>
          <w:i/>
          <w:iCs/>
        </w:rPr>
        <w:t xml:space="preserve">Media</w:t>
      </w:r>
      <w:r>
        <w:t xml:space="preserve"> </w:t>
      </w:r>
      <w:r>
        <w:t xml:space="preserve">— starvation condition (C, N, P);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—</w:t>
      </w:r>
      <w:r>
        <w:t xml:space="preserve"> </w:t>
      </w:r>
      <w:r>
        <w:t xml:space="preserve">timepoint in hours (0, 6, 16, 30, 46);</w:t>
      </w:r>
      <w:r>
        <w:t xml:space="preserve"> </w:t>
      </w:r>
      <w:r>
        <w:rPr>
          <w:i/>
          <w:iCs/>
        </w:rPr>
        <w:t xml:space="preserve">mean_pct</w:t>
      </w:r>
      <w:r>
        <w:t xml:space="preserve"> </w:t>
      </w:r>
      <w:r>
        <w:t xml:space="preserve">— mean percentage of cells</w:t>
      </w:r>
      <w:r>
        <w:t xml:space="preserve"> </w:t>
      </w:r>
      <w:r>
        <w:t xml:space="preserve">in the 1N gate across replicates;</w:t>
      </w:r>
      <w:r>
        <w:t xml:space="preserve"> </w:t>
      </w:r>
      <w:r>
        <w:rPr>
          <w:i/>
          <w:iCs/>
        </w:rPr>
        <w:t xml:space="preserve">sem_pct</w:t>
      </w:r>
      <w:r>
        <w:t xml:space="preserve"> </w:t>
      </w:r>
      <w:r>
        <w:t xml:space="preserve">— standard error of the mean.</w:t>
      </w:r>
      <w:r>
        <w:t xml:space="preserve"> </w:t>
      </w:r>
      <w:r>
        <w:t xml:space="preserve">DGY1 and DGY3 control rows have NA for Media and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S13. Two-way ANOVA on 1N DNA content trajectories.</w:t>
      </w:r>
      <w:r>
        <w:t xml:space="preserve"> </w:t>
      </w:r>
      <w:r>
        <w:t xml:space="preserve">Results of two-way ANOVA (time × genotype) on the percentage of 1N cells over</w:t>
      </w:r>
      <w:r>
        <w:t xml:space="preserve"> </w:t>
      </w:r>
      <w:r>
        <w:t xml:space="preserve">the starvation time course, fit separately for each starvation condition.</w:t>
      </w:r>
      <w:r>
        <w:t xml:space="preserve"> </w:t>
      </w:r>
      <w:r>
        <w:t xml:space="preserve">Includes both ANOVA table rows and linear model coefficient rows. Source data</w:t>
      </w:r>
      <w:r>
        <w:t xml:space="preserve"> </w:t>
      </w:r>
      <w:r>
        <w:t xml:space="preserve">for Fig. 1E statistical comparisons. Columns:</w:t>
      </w:r>
      <w:r>
        <w:t xml:space="preserve"> </w:t>
      </w:r>
      <w:r>
        <w:rPr>
          <w:i/>
          <w:iCs/>
        </w:rPr>
        <w:t xml:space="preserve">Media</w:t>
      </w:r>
      <w:r>
        <w:t xml:space="preserve"> </w:t>
      </w:r>
      <w:r>
        <w:t xml:space="preserve">— starvation condition</w:t>
      </w:r>
      <w:r>
        <w:t xml:space="preserve"> </w:t>
      </w:r>
      <w:r>
        <w:t xml:space="preserve">(C, N, P);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— model term;</w:t>
      </w:r>
      <w:r>
        <w:t xml:space="preserve"> </w:t>
      </w:r>
      <w:r>
        <w:rPr>
          <w:i/>
          <w:iCs/>
        </w:rPr>
        <w:t xml:space="preserve">df</w:t>
      </w:r>
      <w:r>
        <w:t xml:space="preserve"> </w:t>
      </w:r>
      <w:r>
        <w:t xml:space="preserve">— degrees of freedom (ANOVA rows only);</w:t>
      </w:r>
      <w:r>
        <w:t xml:space="preserve"> </w:t>
      </w:r>
      <w:r>
        <w:rPr>
          <w:i/>
          <w:iCs/>
        </w:rPr>
        <w:t xml:space="preserve">sumsq</w:t>
      </w:r>
      <w:r>
        <w:t xml:space="preserve"> </w:t>
      </w:r>
      <w:r>
        <w:t xml:space="preserve">— sum of squares (ANOVA rows only);</w:t>
      </w:r>
      <w:r>
        <w:t xml:space="preserve"> </w:t>
      </w:r>
      <w:r>
        <w:rPr>
          <w:i/>
          <w:iCs/>
        </w:rPr>
        <w:t xml:space="preserve">meansq</w:t>
      </w:r>
      <w:r>
        <w:t xml:space="preserve"> </w:t>
      </w:r>
      <w:r>
        <w:t xml:space="preserve">— mean square (ANOVA</w:t>
      </w:r>
      <w:r>
        <w:t xml:space="preserve"> </w:t>
      </w:r>
      <w:r>
        <w:t xml:space="preserve">rows only);</w:t>
      </w:r>
      <w:r>
        <w:t xml:space="preserve"> </w:t>
      </w:r>
      <w:r>
        <w:rPr>
          <w:i/>
          <w:iCs/>
        </w:rPr>
        <w:t xml:space="preserve">statistic</w:t>
      </w:r>
      <w:r>
        <w:t xml:space="preserve"> </w:t>
      </w:r>
      <w:r>
        <w:t xml:space="preserve">— F-statistic (ANOVA rows) or t-statistic (coefficient</w:t>
      </w:r>
      <w:r>
        <w:t xml:space="preserve"> </w:t>
      </w:r>
      <w:r>
        <w:t xml:space="preserve">rows);</w:t>
      </w:r>
      <w:r>
        <w:t xml:space="preserve"> </w:t>
      </w:r>
      <w:r>
        <w:rPr>
          <w:i/>
          <w:iCs/>
        </w:rPr>
        <w:t xml:space="preserve">p.value</w:t>
      </w:r>
      <w:r>
        <w:t xml:space="preserve"> </w:t>
      </w:r>
      <w:r>
        <w:t xml:space="preserve">— nominal p-value;</w:t>
      </w:r>
      <w:r>
        <w:t xml:space="preserve"> </w:t>
      </w:r>
      <w:r>
        <w:rPr>
          <w:i/>
          <w:iCs/>
        </w:rPr>
        <w:t xml:space="preserve">table</w:t>
      </w:r>
      <w:r>
        <w:t xml:space="preserve"> </w:t>
      </w:r>
      <w:r>
        <w:t xml:space="preserve">— source of the row (</w:t>
      </w:r>
      <w:r>
        <w:t xml:space="preserve">“anova”</w:t>
      </w:r>
      <w:r>
        <w:t xml:space="preserve"> </w:t>
      </w:r>
      <w:r>
        <w:t xml:space="preserve">=</w:t>
      </w:r>
      <w:r>
        <w:t xml:space="preserve"> </w:t>
      </w:r>
      <w:r>
        <w:t xml:space="preserve">ANOVA decomposition,</w:t>
      </w:r>
      <w:r>
        <w:t xml:space="preserve"> </w:t>
      </w:r>
      <w:r>
        <w:t xml:space="preserve">“lm_coefs”</w:t>
      </w:r>
      <w:r>
        <w:t xml:space="preserve"> </w:t>
      </w:r>
      <w:r>
        <w:t xml:space="preserve">= regression coefficients);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—</w:t>
      </w:r>
      <w:r>
        <w:t xml:space="preserve"> </w:t>
      </w:r>
      <w:r>
        <w:t xml:space="preserve">regression coefficient (lm_coefs only);</w:t>
      </w:r>
      <w:r>
        <w:t xml:space="preserve"> </w:t>
      </w:r>
      <w:r>
        <w:rPr>
          <w:i/>
          <w:iCs/>
        </w:rPr>
        <w:t xml:space="preserve">std.error</w:t>
      </w:r>
      <w:r>
        <w:t xml:space="preserve"> </w:t>
      </w:r>
      <w:r>
        <w:t xml:space="preserve">— standard error</w:t>
      </w:r>
      <w:r>
        <w:t xml:space="preserve"> </w:t>
      </w:r>
      <w:r>
        <w:t xml:space="preserve">(lm_coefs only);</w:t>
      </w:r>
      <w:r>
        <w:t xml:space="preserve"> </w:t>
      </w:r>
      <w:r>
        <w:rPr>
          <w:i/>
          <w:iCs/>
        </w:rPr>
        <w:t xml:space="preserve">conf.low</w:t>
      </w:r>
      <w:r>
        <w:t xml:space="preserve">,</w:t>
      </w:r>
      <w:r>
        <w:t xml:space="preserve"> </w:t>
      </w:r>
      <w:r>
        <w:rPr>
          <w:i/>
          <w:iCs/>
        </w:rPr>
        <w:t xml:space="preserve">conf.high</w:t>
      </w:r>
      <w:r>
        <w:t xml:space="preserve"> </w:t>
      </w:r>
      <w:r>
        <w:t xml:space="preserve">— 95% confidence interval bounds</w:t>
      </w:r>
      <w:r>
        <w:t xml:space="preserve"> </w:t>
      </w:r>
      <w:r>
        <w:t xml:space="preserve">(lm_coefs only). The reference level for genotype is WT; the reference level</w:t>
      </w:r>
      <w:r>
        <w:t xml:space="preserve"> </w:t>
      </w:r>
      <w:r>
        <w:t xml:space="preserve">for time is T0 (0 h).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S14. Cell viability over time.</w:t>
      </w:r>
      <w:r>
        <w:t xml:space="preserve"> </w:t>
      </w:r>
      <w:r>
        <w:t xml:space="preserve">Viability of WT and</w:t>
      </w:r>
      <w:r>
        <w:t xml:space="preserve"> </w:t>
      </w:r>
      <w:r>
        <w:rPr>
          <w:i/>
          <w:iCs/>
        </w:rPr>
        <w:t xml:space="preserve">rim15Δ</w:t>
      </w:r>
      <w:r>
        <w:t xml:space="preserve"> </w:t>
      </w:r>
      <w:r>
        <w:t xml:space="preserve">cells measured by PI/Syto9 dual staining and</w:t>
      </w:r>
      <w:r>
        <w:t xml:space="preserve"> </w:t>
      </w:r>
      <w:r>
        <w:t xml:space="preserve">flow cytometry. Source data for Fig. 1F. Columns:</w:t>
      </w:r>
      <w:r>
        <w:t xml:space="preserve"> </w:t>
      </w:r>
      <w:r>
        <w:rPr>
          <w:i/>
          <w:iCs/>
        </w:rPr>
        <w:t xml:space="preserve">strain</w:t>
      </w:r>
      <w:r>
        <w:t xml:space="preserve"> </w:t>
      </w:r>
      <w:r>
        <w:t xml:space="preserve">— strain</w:t>
      </w:r>
      <w:r>
        <w:t xml:space="preserve"> </w:t>
      </w:r>
      <w:r>
        <w:t xml:space="preserve">(wt = wild type, rim15 =</w:t>
      </w:r>
      <w:r>
        <w:t xml:space="preserve"> </w:t>
      </w:r>
      <w:r>
        <w:rPr>
          <w:i/>
          <w:iCs/>
        </w:rPr>
        <w:t xml:space="preserve">rim15Δ</w:t>
      </w:r>
      <w:r>
        <w:t xml:space="preserve">);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— hours post nutrient removal;</w:t>
      </w:r>
      <w:r>
        <w:t xml:space="preserve"> </w:t>
      </w:r>
      <w:r>
        <w:rPr>
          <w:i/>
          <w:iCs/>
        </w:rPr>
        <w:t xml:space="preserve">nutrient</w:t>
      </w:r>
      <w:r>
        <w:t xml:space="preserve"> </w:t>
      </w:r>
      <w:r>
        <w:t xml:space="preserve">— starvation condition (C, N, P);</w:t>
      </w:r>
      <w:r>
        <w:t xml:space="preserve"> </w:t>
      </w:r>
      <w:r>
        <w:rPr>
          <w:i/>
          <w:iCs/>
        </w:rPr>
        <w:t xml:space="preserve">counts</w:t>
      </w:r>
      <w:r>
        <w:t xml:space="preserve"> </w:t>
      </w:r>
      <w:r>
        <w:t xml:space="preserve">— total cell counts;</w:t>
      </w:r>
      <w:r>
        <w:t xml:space="preserve"> </w:t>
      </w:r>
      <w:r>
        <w:rPr>
          <w:i/>
          <w:iCs/>
        </w:rPr>
        <w:t xml:space="preserve">replicate</w:t>
      </w:r>
      <w:r>
        <w:t xml:space="preserve"> </w:t>
      </w:r>
      <w:r>
        <w:t xml:space="preserve">— biological replicate number;</w:t>
      </w:r>
      <w:r>
        <w:t xml:space="preserve"> </w:t>
      </w:r>
      <w:r>
        <w:rPr>
          <w:i/>
          <w:iCs/>
        </w:rPr>
        <w:t xml:space="preserve">viability</w:t>
      </w:r>
      <w:r>
        <w:t xml:space="preserve"> </w:t>
      </w:r>
      <w:r>
        <w:t xml:space="preserve">— percentage of viable</w:t>
      </w:r>
      <w:r>
        <w:t xml:space="preserve"> </w:t>
      </w:r>
      <w:r>
        <w:t xml:space="preserve">cells (PI-negative, Syto9-positive).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S15. Cell size (FSC-A) over time.</w:t>
      </w:r>
      <w:r>
        <w:t xml:space="preserve"> </w:t>
      </w:r>
      <w:r>
        <w:t xml:space="preserve">Median forward scatter area (FSC-A), a proxy for cell size, for WT and</w:t>
      </w:r>
      <w:r>
        <w:t xml:space="preserve"> </w:t>
      </w:r>
      <w:r>
        <w:rPr>
          <w:i/>
          <w:iCs/>
        </w:rPr>
        <w:t xml:space="preserve">rim15Δ</w:t>
      </w:r>
      <w:r>
        <w:t xml:space="preserve"> </w:t>
      </w:r>
      <w:r>
        <w:t xml:space="preserve">cells in each starvation condition. Source data for Fig. S1D.</w:t>
      </w:r>
      <w:r>
        <w:t xml:space="preserve"> </w:t>
      </w:r>
      <w:r>
        <w:t xml:space="preserve">Columns:</w:t>
      </w:r>
      <w:r>
        <w:t xml:space="preserve"> </w:t>
      </w:r>
      <w:r>
        <w:rPr>
          <w:i/>
          <w:iCs/>
        </w:rPr>
        <w:t xml:space="preserve">Strain</w:t>
      </w:r>
      <w:r>
        <w:t xml:space="preserve"> </w:t>
      </w:r>
      <w:r>
        <w:t xml:space="preserve">— strain (WT, RIM15Δ0);</w:t>
      </w:r>
      <w:r>
        <w:t xml:space="preserve"> </w:t>
      </w:r>
      <w:r>
        <w:rPr>
          <w:i/>
          <w:iCs/>
        </w:rPr>
        <w:t xml:space="preserve">Media</w:t>
      </w:r>
      <w:r>
        <w:t xml:space="preserve"> </w:t>
      </w:r>
      <w:r>
        <w:t xml:space="preserve">— starvation condition</w:t>
      </w:r>
      <w:r>
        <w:t xml:space="preserve"> </w:t>
      </w:r>
      <w:r>
        <w:t xml:space="preserve">(C, N, P);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— timepoint in hours (0, 6, 16, 30, 46);</w:t>
      </w:r>
      <w:r>
        <w:t xml:space="preserve"> </w:t>
      </w:r>
      <w:r>
        <w:rPr>
          <w:i/>
          <w:iCs/>
        </w:rPr>
        <w:t xml:space="preserve">mean_fsc</w:t>
      </w:r>
      <w:r>
        <w:t xml:space="preserve"> </w:t>
      </w:r>
      <w:r>
        <w:t xml:space="preserve">—</w:t>
      </w:r>
      <w:r>
        <w:t xml:space="preserve"> </w:t>
      </w:r>
      <w:r>
        <w:t xml:space="preserve">mean FSC-A value (arbitrary units) averaged across biological replicates;</w:t>
      </w:r>
      <w:r>
        <w:t xml:space="preserve"> </w:t>
      </w:r>
      <w:r>
        <w:rPr>
          <w:i/>
          <w:iCs/>
        </w:rPr>
        <w:t xml:space="preserve">sem_fsc</w:t>
      </w:r>
      <w:r>
        <w:t xml:space="preserve"> </w:t>
      </w:r>
      <w:r>
        <w:t xml:space="preserve">— standard error of the mean.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S16. Differentially expressed proteins by genotype.</w:t>
      </w:r>
      <w:r>
        <w:t xml:space="preserve"> </w:t>
      </w:r>
      <w:r>
        <w:t xml:space="preserve">Results of ANCOVA testing for differential protein abundance between WT and</w:t>
      </w:r>
      <w:r>
        <w:t xml:space="preserve"> </w:t>
      </w:r>
      <w:r>
        <w:rPr>
          <w:i/>
          <w:iCs/>
        </w:rPr>
        <w:t xml:space="preserve">rim15Δ</w:t>
      </w:r>
      <w:r>
        <w:t xml:space="preserve"> </w:t>
      </w:r>
      <w:r>
        <w:t xml:space="preserve">cells, fit separately for each starvation condition and timepoint.</w:t>
      </w:r>
      <w:r>
        <w:t xml:space="preserve"> </w:t>
      </w:r>
      <w:r>
        <w:t xml:space="preserve">Source data for Figs. S3B–E and S4. Columns:</w:t>
      </w:r>
      <w:r>
        <w:t xml:space="preserve"> </w:t>
      </w:r>
      <w:r>
        <w:rPr>
          <w:i/>
          <w:iCs/>
        </w:rPr>
        <w:t xml:space="preserve">Protein IDs</w:t>
      </w:r>
      <w:r>
        <w:t xml:space="preserve"> </w:t>
      </w:r>
      <w:r>
        <w:t xml:space="preserve">— UniProt</w:t>
      </w:r>
      <w:r>
        <w:t xml:space="preserve"> </w:t>
      </w:r>
      <w:r>
        <w:t xml:space="preserve">accession(s);</w:t>
      </w:r>
      <w:r>
        <w:t xml:space="preserve"> </w:t>
      </w:r>
      <w:r>
        <w:rPr>
          <w:i/>
          <w:iCs/>
        </w:rPr>
        <w:t xml:space="preserve">Protein names</w:t>
      </w:r>
      <w:r>
        <w:t xml:space="preserve"> </w:t>
      </w:r>
      <w:r>
        <w:t xml:space="preserve">— full UniProt protein name;</w:t>
      </w:r>
      <w:r>
        <w:t xml:space="preserve"> </w:t>
      </w:r>
      <w:r>
        <w:rPr>
          <w:i/>
          <w:iCs/>
        </w:rPr>
        <w:t xml:space="preserve">Gene names</w:t>
      </w:r>
      <w:r>
        <w:t xml:space="preserve"> </w:t>
      </w:r>
      <w:r>
        <w:t xml:space="preserve">—</w:t>
      </w:r>
      <w:r>
        <w:t xml:space="preserve"> </w:t>
      </w:r>
      <w:r>
        <w:t xml:space="preserve">standard SGD gene name;</w:t>
      </w:r>
      <w:r>
        <w:t xml:space="preserve"> </w:t>
      </w:r>
      <w:r>
        <w:rPr>
          <w:i/>
          <w:iCs/>
        </w:rPr>
        <w:t xml:space="preserve">Fasta headers</w:t>
      </w:r>
      <w:r>
        <w:t xml:space="preserve"> </w:t>
      </w:r>
      <w:r>
        <w:t xml:space="preserve">— full FASTA header;</w:t>
      </w:r>
      <w:r>
        <w:t xml:space="preserve"> </w:t>
      </w:r>
      <w:r>
        <w:rPr>
          <w:i/>
          <w:iCs/>
        </w:rPr>
        <w:t xml:space="preserve">nutrient</w:t>
      </w:r>
      <w:r>
        <w:t xml:space="preserve"> </w:t>
      </w:r>
      <w:r>
        <w:t xml:space="preserve">—</w:t>
      </w:r>
      <w:r>
        <w:t xml:space="preserve"> </w:t>
      </w:r>
      <w:r>
        <w:t xml:space="preserve">starvation condition (C, N, P);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— timepoint (T00, T06, T16, T30);</w:t>
      </w:r>
      <w:r>
        <w:t xml:space="preserve"> </w:t>
      </w:r>
      <w:r>
        <w:rPr>
          <w:i/>
          <w:iCs/>
        </w:rPr>
        <w:t xml:space="preserve">pvalue</w:t>
      </w:r>
      <w:r>
        <w:t xml:space="preserve"> </w:t>
      </w:r>
      <w:r>
        <w:t xml:space="preserve">— nominal p-value;</w:t>
      </w:r>
      <w:r>
        <w:t xml:space="preserve"> </w:t>
      </w:r>
      <w:r>
        <w:rPr>
          <w:i/>
          <w:iCs/>
        </w:rPr>
        <w:t xml:space="preserve">qvalue</w:t>
      </w:r>
      <w:r>
        <w:t xml:space="preserve"> </w:t>
      </w:r>
      <w:r>
        <w:t xml:space="preserve">— Benjamini–Hochberg FDR-corrected</w:t>
      </w:r>
      <w:r>
        <w:t xml:space="preserve"> </w:t>
      </w:r>
      <w:r>
        <w:t xml:space="preserve">q-value;</w:t>
      </w:r>
      <w:r>
        <w:t xml:space="preserve"> </w:t>
      </w:r>
      <w:r>
        <w:rPr>
          <w:i/>
          <w:iCs/>
        </w:rPr>
        <w:t xml:space="preserve">log2FC</w:t>
      </w:r>
      <w:r>
        <w:t xml:space="preserve"> </w:t>
      </w:r>
      <w:r>
        <w:t xml:space="preserve">— log2 fold change (WT/rim15Δ) at the specified timepoint.</w:t>
      </w:r>
      <w:r>
        <w:t xml:space="preserve"> </w:t>
      </w:r>
      <w:r>
        <w:t xml:space="preserve">11,514 rows (1,276 proteins × 3 nutrients × up to 4 timepoints, with some</w:t>
      </w:r>
      <w:r>
        <w:t xml:space="preserve"> </w:t>
      </w:r>
      <w:r>
        <w:t xml:space="preserve">missing values where proteins were not quantified).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S17. Differentially expressed proteins by nutrient condition.</w:t>
      </w:r>
      <w:r>
        <w:t xml:space="preserve"> </w:t>
      </w:r>
      <w:r>
        <w:t xml:space="preserve">Results of tests for differential protein abundance between carbon and</w:t>
      </w:r>
      <w:r>
        <w:t xml:space="preserve"> </w:t>
      </w:r>
      <w:r>
        <w:t xml:space="preserve">phosphorus starvation, fit separately for each genotype, timepoint, and</w:t>
      </w:r>
      <w:r>
        <w:t xml:space="preserve"> </w:t>
      </w:r>
      <w:r>
        <w:t xml:space="preserve">quantification data type. Columns:</w:t>
      </w:r>
      <w:r>
        <w:t xml:space="preserve"> </w:t>
      </w:r>
      <w:r>
        <w:rPr>
          <w:i/>
          <w:iCs/>
        </w:rPr>
        <w:t xml:space="preserve">Protein IDs</w:t>
      </w:r>
      <w:r>
        <w:t xml:space="preserve"> </w:t>
      </w:r>
      <w:r>
        <w:t xml:space="preserve">— UniProt accession(s);</w:t>
      </w:r>
      <w:r>
        <w:t xml:space="preserve"> </w:t>
      </w:r>
      <w:r>
        <w:rPr>
          <w:i/>
          <w:iCs/>
        </w:rPr>
        <w:t xml:space="preserve">Protein names</w:t>
      </w:r>
      <w:r>
        <w:t xml:space="preserve"> </w:t>
      </w:r>
      <w:r>
        <w:t xml:space="preserve">— full protein name;</w:t>
      </w:r>
      <w:r>
        <w:t xml:space="preserve"> </w:t>
      </w:r>
      <w:r>
        <w:rPr>
          <w:i/>
          <w:iCs/>
        </w:rPr>
        <w:t xml:space="preserve">Gene names</w:t>
      </w:r>
      <w:r>
        <w:t xml:space="preserve"> </w:t>
      </w:r>
      <w:r>
        <w:t xml:space="preserve">— standard SGD gene name;</w:t>
      </w:r>
      <w:r>
        <w:t xml:space="preserve"> </w:t>
      </w:r>
      <w:r>
        <w:rPr>
          <w:i/>
          <w:iCs/>
        </w:rPr>
        <w:t xml:space="preserve">Fasta headers</w:t>
      </w:r>
      <w:r>
        <w:t xml:space="preserve"> </w:t>
      </w:r>
      <w:r>
        <w:t xml:space="preserve">— full FASTA header;</w:t>
      </w:r>
      <w:r>
        <w:t xml:space="preserve"> </w:t>
      </w:r>
      <w:r>
        <w:rPr>
          <w:i/>
          <w:iCs/>
        </w:rPr>
        <w:t xml:space="preserve">genotype</w:t>
      </w:r>
      <w:r>
        <w:t xml:space="preserve"> </w:t>
      </w:r>
      <w:r>
        <w:t xml:space="preserve">— strain (WT, rim15KO);</w:t>
      </w:r>
      <w:r>
        <w:t xml:space="preserve"> </w:t>
      </w:r>
      <w:r>
        <w:rPr>
          <w:i/>
          <w:iCs/>
        </w:rPr>
        <w:t xml:space="preserve">samplingTime</w:t>
      </w:r>
      <w:r>
        <w:t xml:space="preserve"> </w:t>
      </w:r>
      <w:r>
        <w:t xml:space="preserve">— timepoint (T06, T16, T30; T00 is the shared reference and</w:t>
      </w:r>
      <w:r>
        <w:t xml:space="preserve"> </w:t>
      </w:r>
      <w:r>
        <w:t xml:space="preserve">is excluded);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— quantification type used (intensity, normed_intensity,</w:t>
      </w:r>
      <w:r>
        <w:t xml:space="preserve"> </w:t>
      </w:r>
      <w:r>
        <w:t xml:space="preserve">normed_ratio, ratio);</w:t>
      </w:r>
      <w:r>
        <w:t xml:space="preserve"> </w:t>
      </w:r>
      <w:r>
        <w:rPr>
          <w:i/>
          <w:iCs/>
        </w:rPr>
        <w:t xml:space="preserve">pvalue</w:t>
      </w:r>
      <w:r>
        <w:t xml:space="preserve"> </w:t>
      </w:r>
      <w:r>
        <w:t xml:space="preserve">— nominal p-value;</w:t>
      </w:r>
      <w:r>
        <w:t xml:space="preserve"> </w:t>
      </w:r>
      <w:r>
        <w:rPr>
          <w:i/>
          <w:iCs/>
        </w:rPr>
        <w:t xml:space="preserve">qvalue</w:t>
      </w:r>
      <w:r>
        <w:t xml:space="preserve"> </w:t>
      </w:r>
      <w:r>
        <w:t xml:space="preserve">—</w:t>
      </w:r>
      <w:r>
        <w:t xml:space="preserve"> </w:t>
      </w:r>
      <w:r>
        <w:t xml:space="preserve">Benjamini–Hochberg FDR-corrected q-value;</w:t>
      </w:r>
      <w:r>
        <w:t xml:space="preserve"> </w:t>
      </w:r>
      <w:r>
        <w:rPr>
          <w:i/>
          <w:iCs/>
        </w:rPr>
        <w:t xml:space="preserve">meanDF</w:t>
      </w:r>
      <w:r>
        <w:t xml:space="preserve"> </w:t>
      </w:r>
      <w:r>
        <w:t xml:space="preserve">— mean degrees of freedom</w:t>
      </w:r>
      <w:r>
        <w:t xml:space="preserve"> </w:t>
      </w:r>
      <w:r>
        <w:t xml:space="preserve">across tests;</w:t>
      </w:r>
      <w:r>
        <w:t xml:space="preserve"> </w:t>
      </w:r>
      <w:r>
        <w:rPr>
          <w:i/>
          <w:iCs/>
        </w:rPr>
        <w:t xml:space="preserve">log2FC</w:t>
      </w:r>
      <w:r>
        <w:t xml:space="preserve"> </w:t>
      </w:r>
      <w:r>
        <w:t xml:space="preserve">— log2 fold change (carbon / phosphorus), i.e. log₂[mean(C) / mean(P)]; positive values indicate higher abundance in carbon starvation.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S18. WGCNA module eigengenes.</w:t>
      </w:r>
      <w:r>
        <w:t xml:space="preserve"> </w:t>
      </w:r>
      <w:r>
        <w:t xml:space="preserve">Eigengene values (first principal component of expression within each module)</w:t>
      </w:r>
      <w:r>
        <w:t xml:space="preserve"> </w:t>
      </w:r>
      <w:r>
        <w:t xml:space="preserve">for all modules in all four WGCNA networks, per sample. Source data for</w:t>
      </w:r>
      <w:r>
        <w:t xml:space="preserve"> </w:t>
      </w:r>
      <w:r>
        <w:t xml:space="preserve">Fig. 3B–C. Columns:</w:t>
      </w:r>
      <w:r>
        <w:t xml:space="preserve"> </w:t>
      </w:r>
      <w:r>
        <w:rPr>
          <w:i/>
          <w:iCs/>
        </w:rPr>
        <w:t xml:space="preserve">network</w:t>
      </w:r>
      <w:r>
        <w:t xml:space="preserve"> </w:t>
      </w:r>
      <w:r>
        <w:t xml:space="preserve">— network identifier (C_WT, C_rim15, P_WT,</w:t>
      </w:r>
      <w:r>
        <w:t xml:space="preserve"> </w:t>
      </w:r>
      <w:r>
        <w:t xml:space="preserve">P_rim15);</w:t>
      </w:r>
      <w:r>
        <w:t xml:space="preserve"> </w:t>
      </w:r>
      <w:r>
        <w:rPr>
          <w:i/>
          <w:iCs/>
        </w:rPr>
        <w:t xml:space="preserve">nutrient</w:t>
      </w:r>
      <w:r>
        <w:t xml:space="preserve"> </w:t>
      </w:r>
      <w:r>
        <w:t xml:space="preserve">— starvation condition (C, P);</w:t>
      </w:r>
      <w:r>
        <w:t xml:space="preserve"> </w:t>
      </w:r>
      <w:r>
        <w:rPr>
          <w:i/>
          <w:iCs/>
        </w:rPr>
        <w:t xml:space="preserve">genotype</w:t>
      </w:r>
      <w:r>
        <w:t xml:space="preserve"> </w:t>
      </w:r>
      <w:r>
        <w:t xml:space="preserve">— strain (WT,</w:t>
      </w:r>
      <w:r>
        <w:t xml:space="preserve"> </w:t>
      </w:r>
      <w:r>
        <w:t xml:space="preserve">rim15 =</w:t>
      </w:r>
      <w:r>
        <w:t xml:space="preserve"> </w:t>
      </w:r>
      <w:r>
        <w:rPr>
          <w:i/>
          <w:iCs/>
        </w:rPr>
        <w:t xml:space="preserve">rim15Δ</w:t>
      </w:r>
      <w:r>
        <w:t xml:space="preserve">);</w:t>
      </w:r>
      <w:r>
        <w:t xml:space="preserve"> </w:t>
      </w:r>
      <w:r>
        <w:rPr>
          <w:i/>
          <w:iCs/>
        </w:rPr>
        <w:t xml:space="preserve">timepoint_h</w:t>
      </w:r>
      <w:r>
        <w:t xml:space="preserve"> </w:t>
      </w:r>
      <w:r>
        <w:t xml:space="preserve">— timepoint in hours (0, 6, 16, 30);</w:t>
      </w:r>
      <w:r>
        <w:t xml:space="preserve"> </w:t>
      </w:r>
      <w:r>
        <w:rPr>
          <w:i/>
          <w:iCs/>
        </w:rPr>
        <w:t xml:space="preserve">replicate</w:t>
      </w:r>
      <w:r>
        <w:t xml:space="preserve"> </w:t>
      </w:r>
      <w:r>
        <w:t xml:space="preserve">— biological replicate (R1, R2, R3);</w:t>
      </w:r>
      <w:r>
        <w:t xml:space="preserve"> </w:t>
      </w:r>
      <w:r>
        <w:rPr>
          <w:i/>
          <w:iCs/>
        </w:rPr>
        <w:t xml:space="preserve">module</w:t>
      </w:r>
      <w:r>
        <w:t xml:space="preserve"> </w:t>
      </w:r>
      <w:r>
        <w:t xml:space="preserve">— color-coded</w:t>
      </w:r>
      <w:r>
        <w:t xml:space="preserve"> </w:t>
      </w:r>
      <w:r>
        <w:t xml:space="preserve">module label (arbitrary WGCNA color identifier; same color in different</w:t>
      </w:r>
      <w:r>
        <w:t xml:space="preserve"> </w:t>
      </w:r>
      <w:r>
        <w:t xml:space="preserve">networks reflects different biology);</w:t>
      </w:r>
      <w:r>
        <w:t xml:space="preserve"> </w:t>
      </w:r>
      <w:r>
        <w:rPr>
          <w:i/>
          <w:iCs/>
        </w:rPr>
        <w:t xml:space="preserve">module_description</w:t>
      </w:r>
      <w:r>
        <w:t xml:space="preserve"> </w:t>
      </w:r>
      <w:r>
        <w:t xml:space="preserve">— plain-language</w:t>
      </w:r>
      <w:r>
        <w:t xml:space="preserve"> </w:t>
      </w:r>
      <w:r>
        <w:t xml:space="preserve">summary of the module’s eigengene trajectory (e.g. </w:t>
      </w:r>
      <w:r>
        <w:t xml:space="preserve">“Upregulated during carbon</w:t>
      </w:r>
      <w:r>
        <w:t xml:space="preserve"> </w:t>
      </w:r>
      <w:r>
        <w:t xml:space="preserve">starvation”</w:t>
      </w:r>
      <w:r>
        <w:t xml:space="preserve">);</w:t>
      </w:r>
      <w:r>
        <w:t xml:space="preserve"> </w:t>
      </w:r>
      <w:r>
        <w:rPr>
          <w:i/>
          <w:iCs/>
        </w:rPr>
        <w:t xml:space="preserve">eigengene</w:t>
      </w:r>
      <w:r>
        <w:t xml:space="preserve"> </w:t>
      </w:r>
      <w:r>
        <w:t xml:space="preserve">— module eigengene value for this sample (positive</w:t>
      </w:r>
      <w:r>
        <w:t xml:space="preserve"> </w:t>
      </w:r>
      <w:r>
        <w:t xml:space="preserve">values indicate above-average module expression).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S19. Differentially expressed phosphosites by genotype.</w:t>
      </w:r>
      <w:r>
        <w:t xml:space="preserve"> </w:t>
      </w:r>
      <w:r>
        <w:t xml:space="preserve">Results of tests for differential phosphosite abundance between WT and</w:t>
      </w:r>
      <w:r>
        <w:t xml:space="preserve"> </w:t>
      </w:r>
      <w:r>
        <w:rPr>
          <w:i/>
          <w:iCs/>
        </w:rPr>
        <w:t xml:space="preserve">rim15Δ</w:t>
      </w:r>
      <w:r>
        <w:t xml:space="preserve"> </w:t>
      </w:r>
      <w:r>
        <w:t xml:space="preserve">cells, fit for each nutrient condition and timepoint. Source data</w:t>
      </w:r>
      <w:r>
        <w:t xml:space="preserve"> </w:t>
      </w:r>
      <w:r>
        <w:t xml:space="preserve">for Figs. 4A–F and S4A–B. Phosphoproteomics was performed for carbon (C) and</w:t>
      </w:r>
      <w:r>
        <w:t xml:space="preserve"> </w:t>
      </w:r>
      <w:r>
        <w:t xml:space="preserve">phosphorus (P) starvation only. Columns:</w:t>
      </w:r>
      <w:r>
        <w:t xml:space="preserve"> </w:t>
      </w:r>
      <w:r>
        <w:rPr>
          <w:i/>
          <w:iCs/>
        </w:rPr>
        <w:t xml:space="preserve">Proteins</w:t>
      </w:r>
      <w:r>
        <w:t xml:space="preserve"> </w:t>
      </w:r>
      <w:r>
        <w:t xml:space="preserve">— UniProt accession(s);</w:t>
      </w:r>
      <w:r>
        <w:t xml:space="preserve"> </w:t>
      </w:r>
      <w:r>
        <w:rPr>
          <w:i/>
          <w:iCs/>
        </w:rPr>
        <w:t xml:space="preserve">Leading proteins</w:t>
      </w:r>
      <w:r>
        <w:t xml:space="preserve"> </w:t>
      </w:r>
      <w:r>
        <w:t xml:space="preserve">— primary UniProt accession used for site mapping;</w:t>
      </w:r>
      <w:r>
        <w:t xml:space="preserve"> </w:t>
      </w:r>
      <w:r>
        <w:rPr>
          <w:i/>
          <w:iCs/>
        </w:rPr>
        <w:t xml:space="preserve">Protein names</w:t>
      </w:r>
      <w:r>
        <w:t xml:space="preserve"> </w:t>
      </w:r>
      <w:r>
        <w:t xml:space="preserve">— full protein name;</w:t>
      </w:r>
      <w:r>
        <w:t xml:space="preserve"> </w:t>
      </w:r>
      <w:r>
        <w:rPr>
          <w:i/>
          <w:iCs/>
        </w:rPr>
        <w:t xml:space="preserve">Gene names</w:t>
      </w:r>
      <w:r>
        <w:t xml:space="preserve"> </w:t>
      </w:r>
      <w:r>
        <w:t xml:space="preserve">— standard SGD gene name;</w:t>
      </w:r>
      <w:r>
        <w:t xml:space="preserve"> </w:t>
      </w:r>
      <w:r>
        <w:rPr>
          <w:i/>
          <w:iCs/>
        </w:rPr>
        <w:t xml:space="preserve">pSite</w:t>
      </w:r>
      <w:r>
        <w:t xml:space="preserve"> </w:t>
      </w:r>
      <w:r>
        <w:t xml:space="preserve">— phosphosite identifier (GENE_position);</w:t>
      </w:r>
      <w:r>
        <w:t xml:space="preserve"> </w:t>
      </w:r>
      <w:r>
        <w:rPr>
          <w:i/>
          <w:iCs/>
        </w:rPr>
        <w:t xml:space="preserve">Fasta headers</w:t>
      </w:r>
      <w:r>
        <w:t xml:space="preserve"> </w:t>
      </w:r>
      <w:r>
        <w:t xml:space="preserve">— full</w:t>
      </w:r>
      <w:r>
        <w:t xml:space="preserve"> </w:t>
      </w:r>
      <w:r>
        <w:t xml:space="preserve">FASTA header;</w:t>
      </w:r>
      <w:r>
        <w:t xml:space="preserve"> </w:t>
      </w:r>
      <w:r>
        <w:rPr>
          <w:i/>
          <w:iCs/>
        </w:rPr>
        <w:t xml:space="preserve">nutrient</w:t>
      </w:r>
      <w:r>
        <w:t xml:space="preserve"> </w:t>
      </w:r>
      <w:r>
        <w:t xml:space="preserve">— starvation condition (C, P);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— timepoint</w:t>
      </w:r>
      <w:r>
        <w:t xml:space="preserve"> </w:t>
      </w:r>
      <w:r>
        <w:t xml:space="preserve">(T00, T06, T16, T30);</w:t>
      </w:r>
      <w:r>
        <w:t xml:space="preserve"> </w:t>
      </w:r>
      <w:r>
        <w:rPr>
          <w:i/>
          <w:iCs/>
        </w:rPr>
        <w:t xml:space="preserve">pvalue</w:t>
      </w:r>
      <w:r>
        <w:t xml:space="preserve"> </w:t>
      </w:r>
      <w:r>
        <w:t xml:space="preserve">— nominal p-value;</w:t>
      </w:r>
      <w:r>
        <w:t xml:space="preserve"> </w:t>
      </w:r>
      <w:r>
        <w:rPr>
          <w:i/>
          <w:iCs/>
        </w:rPr>
        <w:t xml:space="preserve">qvalue</w:t>
      </w:r>
      <w:r>
        <w:t xml:space="preserve"> </w:t>
      </w:r>
      <w:r>
        <w:t xml:space="preserve">—</w:t>
      </w:r>
      <w:r>
        <w:t xml:space="preserve"> </w:t>
      </w:r>
      <w:r>
        <w:t xml:space="preserve">Benjamini–Hochberg FDR-corrected q-value;</w:t>
      </w:r>
      <w:r>
        <w:t xml:space="preserve"> </w:t>
      </w:r>
      <w:r>
        <w:rPr>
          <w:i/>
          <w:iCs/>
        </w:rPr>
        <w:t xml:space="preserve">log2FC</w:t>
      </w:r>
      <w:r>
        <w:t xml:space="preserve"> </w:t>
      </w:r>
      <w:r>
        <w:t xml:space="preserve">— log2 fold change</w:t>
      </w:r>
      <w:r>
        <w:t xml:space="preserve"> </w:t>
      </w:r>
      <w:r>
        <w:t xml:space="preserve">(WT/rim15Δ). 40,232 rows (5,056 phosphosites × 2 nutrients × 4 timepoints).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S20. Phosphorylation sequence motif enrichment (q &lt; 0.01).</w:t>
      </w:r>
      <w:r>
        <w:t xml:space="preserve"> </w:t>
      </w:r>
      <w:r>
        <w:t xml:space="preserve">Phosphosites with significant sequence motifs enriched among Rim15-dependent</w:t>
      </w:r>
      <w:r>
        <w:t xml:space="preserve"> </w:t>
      </w:r>
      <w:r>
        <w:t xml:space="preserve">phosphorylation events (q ≤ 0.01), identified using rmotifx. Each row is one</w:t>
      </w:r>
      <w:r>
        <w:t xml:space="preserve"> </w:t>
      </w:r>
      <w:r>
        <w:t xml:space="preserve">phosphosite that contributes to a significant motif. Source data for Fig. 4C.</w:t>
      </w:r>
      <w:r>
        <w:t xml:space="preserve"> </w:t>
      </w:r>
      <w:r>
        <w:t xml:space="preserve">Columns:</w:t>
      </w:r>
      <w:r>
        <w:t xml:space="preserve"> </w:t>
      </w:r>
      <w:r>
        <w:rPr>
          <w:i/>
          <w:iCs/>
        </w:rPr>
        <w:t xml:space="preserve">Proteins</w:t>
      </w:r>
      <w:r>
        <w:t xml:space="preserve"> </w:t>
      </w:r>
      <w:r>
        <w:t xml:space="preserve">— UniProt accession(s);</w:t>
      </w:r>
      <w:r>
        <w:t xml:space="preserve"> </w:t>
      </w:r>
      <w:r>
        <w:rPr>
          <w:i/>
          <w:iCs/>
        </w:rPr>
        <w:t xml:space="preserve">id</w:t>
      </w:r>
      <w:r>
        <w:t xml:space="preserve"> </w:t>
      </w:r>
      <w:r>
        <w:t xml:space="preserve">— MaxQuant internal site ID;</w:t>
      </w:r>
      <w:r>
        <w:t xml:space="preserve"> </w:t>
      </w:r>
      <w:r>
        <w:rPr>
          <w:i/>
          <w:iCs/>
        </w:rPr>
        <w:t xml:space="preserve">pSite</w:t>
      </w:r>
      <w:r>
        <w:t xml:space="preserve"> </w:t>
      </w:r>
      <w:r>
        <w:t xml:space="preserve">— phosphosite identifier;</w:t>
      </w:r>
      <w:r>
        <w:t xml:space="preserve"> </w:t>
      </w:r>
      <w:r>
        <w:rPr>
          <w:i/>
          <w:iCs/>
        </w:rPr>
        <w:t xml:space="preserve">Leading proteins</w:t>
      </w:r>
      <w:r>
        <w:t xml:space="preserve"> </w:t>
      </w:r>
      <w:r>
        <w:t xml:space="preserve">— primary UniProt</w:t>
      </w:r>
      <w:r>
        <w:t xml:space="preserve"> </w:t>
      </w:r>
      <w:r>
        <w:t xml:space="preserve">accession;</w:t>
      </w:r>
      <w:r>
        <w:t xml:space="preserve"> </w:t>
      </w:r>
      <w:r>
        <w:rPr>
          <w:i/>
          <w:iCs/>
        </w:rPr>
        <w:t xml:space="preserve">Protein names</w:t>
      </w:r>
      <w:r>
        <w:t xml:space="preserve"> </w:t>
      </w:r>
      <w:r>
        <w:t xml:space="preserve">— full protein name;</w:t>
      </w:r>
      <w:r>
        <w:t xml:space="preserve"> </w:t>
      </w:r>
      <w:r>
        <w:rPr>
          <w:i/>
          <w:iCs/>
        </w:rPr>
        <w:t xml:space="preserve">Gene names</w:t>
      </w:r>
      <w:r>
        <w:t xml:space="preserve"> </w:t>
      </w:r>
      <w:r>
        <w:t xml:space="preserve">— standard SGD</w:t>
      </w:r>
      <w:r>
        <w:t xml:space="preserve"> </w:t>
      </w:r>
      <w:r>
        <w:t xml:space="preserve">gene name;</w:t>
      </w:r>
      <w:r>
        <w:t xml:space="preserve"> </w:t>
      </w:r>
      <w:r>
        <w:rPr>
          <w:i/>
          <w:iCs/>
        </w:rPr>
        <w:t xml:space="preserve">Fasta headers</w:t>
      </w:r>
      <w:r>
        <w:t xml:space="preserve"> </w:t>
      </w:r>
      <w:r>
        <w:t xml:space="preserve">— full FASTA header;</w:t>
      </w:r>
      <w:r>
        <w:t xml:space="preserve"> </w:t>
      </w:r>
      <w:r>
        <w:rPr>
          <w:i/>
          <w:iCs/>
        </w:rPr>
        <w:t xml:space="preserve">Sequence window</w:t>
      </w:r>
      <w:r>
        <w:t xml:space="preserve"> </w:t>
      </w:r>
      <w:r>
        <w:t xml:space="preserve">— 31-amino</w:t>
      </w:r>
      <w:r>
        <w:t xml:space="preserve"> </w:t>
      </w:r>
      <w:r>
        <w:t xml:space="preserve">acid window centered on the phosphorylated residue (positions −15 to +15);</w:t>
      </w:r>
      <w:r>
        <w:t xml:space="preserve"> </w:t>
      </w:r>
      <w:r>
        <w:rPr>
          <w:i/>
          <w:iCs/>
        </w:rPr>
        <w:t xml:space="preserve">motif</w:t>
      </w:r>
      <w:r>
        <w:t xml:space="preserve"> </w:t>
      </w:r>
      <w:r>
        <w:t xml:space="preserve">— full motif sequence identified by rmotifx;</w:t>
      </w:r>
      <w:r>
        <w:t xml:space="preserve"> </w:t>
      </w:r>
      <w:r>
        <w:rPr>
          <w:i/>
          <w:iCs/>
        </w:rPr>
        <w:t xml:space="preserve">shortmotif</w:t>
      </w:r>
      <w:r>
        <w:t xml:space="preserve"> </w:t>
      </w:r>
      <w:r>
        <w:t xml:space="preserve">— compact</w:t>
      </w:r>
      <w:r>
        <w:t xml:space="preserve"> </w:t>
      </w:r>
      <w:r>
        <w:t xml:space="preserve">motif representation (e.g.,</w:t>
      </w:r>
      <w:r>
        <w:t xml:space="preserve"> </w:t>
      </w:r>
      <w:r>
        <w:t xml:space="preserve">“SP”</w:t>
      </w:r>
      <w:r>
        <w:t xml:space="preserve"> </w:t>
      </w:r>
      <w:r>
        <w:t xml:space="preserve">= serine-proline);</w:t>
      </w:r>
      <w:r>
        <w:t xml:space="preserve"> </w:t>
      </w:r>
      <w:r>
        <w:rPr>
          <w:i/>
          <w:iCs/>
        </w:rPr>
        <w:t xml:space="preserve">nutrient</w:t>
      </w:r>
      <w:r>
        <w:t xml:space="preserve"> </w:t>
      </w:r>
      <w:r>
        <w:t xml:space="preserve">— starvation</w:t>
      </w:r>
      <w:r>
        <w:t xml:space="preserve"> </w:t>
      </w:r>
      <w:r>
        <w:t xml:space="preserve">condition;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— timepoint;</w:t>
      </w:r>
      <w:r>
        <w:t xml:space="preserve"> </w:t>
      </w:r>
      <w:r>
        <w:rPr>
          <w:i/>
          <w:iCs/>
        </w:rPr>
        <w:t xml:space="preserve">pvalue</w:t>
      </w:r>
      <w:r>
        <w:t xml:space="preserve"> </w:t>
      </w:r>
      <w:r>
        <w:t xml:space="preserve">— nominal p-value from differential</w:t>
      </w:r>
      <w:r>
        <w:t xml:space="preserve"> </w:t>
      </w:r>
      <w:r>
        <w:t xml:space="preserve">phosphorylation test;</w:t>
      </w:r>
      <w:r>
        <w:t xml:space="preserve"> </w:t>
      </w:r>
      <w:r>
        <w:rPr>
          <w:i/>
          <w:iCs/>
        </w:rPr>
        <w:t xml:space="preserve">qvalue</w:t>
      </w:r>
      <w:r>
        <w:t xml:space="preserve"> </w:t>
      </w:r>
      <w:r>
        <w:t xml:space="preserve">— FDR-corrected q-value;</w:t>
      </w:r>
      <w:r>
        <w:t xml:space="preserve"> </w:t>
      </w:r>
      <w:r>
        <w:rPr>
          <w:i/>
          <w:iCs/>
        </w:rPr>
        <w:t xml:space="preserve">log2FC</w:t>
      </w:r>
      <w:r>
        <w:t xml:space="preserve"> </w:t>
      </w:r>
      <w:r>
        <w:t xml:space="preserve">— log2 fold</w:t>
      </w:r>
      <w:r>
        <w:t xml:space="preserve"> </w:t>
      </w:r>
      <w:r>
        <w:t xml:space="preserve">change (WT/rim15Δ).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S21. Cross-dataset phosphosite overlap membership.</w:t>
      </w:r>
      <w:r>
        <w:t xml:space="preserve"> </w:t>
      </w:r>
      <w:r>
        <w:t xml:space="preserve">Binary membership table indicating which Rim15-regulated phosphosites from this</w:t>
      </w:r>
      <w:r>
        <w:t xml:space="preserve"> </w:t>
      </w:r>
      <w:r>
        <w:t xml:space="preserve">study are also present in four published datasets. Phosphosites are harmonized</w:t>
      </w:r>
      <w:r>
        <w:t xml:space="preserve"> </w:t>
      </w:r>
      <w:r>
        <w:t xml:space="preserve">to SGD systematic ORF names and absolute residue positions. Source data for</w:t>
      </w:r>
      <w:r>
        <w:t xml:space="preserve"> </w:t>
      </w:r>
      <w:r>
        <w:t xml:space="preserve">the revision cross-dataset comparison figure (Reviewer points R1.3/R2.5).</w:t>
      </w:r>
      <w:r>
        <w:t xml:space="preserve"> </w:t>
      </w:r>
      <w:r>
        <w:t xml:space="preserve">Columns:</w:t>
      </w:r>
      <w:r>
        <w:t xml:space="preserve"> </w:t>
      </w:r>
      <w:r>
        <w:rPr>
          <w:i/>
          <w:iCs/>
        </w:rPr>
        <w:t xml:space="preserve">key</w:t>
      </w:r>
      <w:r>
        <w:t xml:space="preserve"> </w:t>
      </w:r>
      <w:r>
        <w:t xml:space="preserve">— site identifier (ORF_residueLetter+position, e.g.,</w:t>
      </w:r>
      <w:r>
        <w:t xml:space="preserve"> </w:t>
      </w:r>
      <w:r>
        <w:t xml:space="preserve">YNL157W_S64);</w:t>
      </w:r>
      <w:r>
        <w:t xml:space="preserve"> </w:t>
      </w:r>
      <w:r>
        <w:rPr>
          <w:i/>
          <w:iCs/>
        </w:rPr>
        <w:t xml:space="preserve">orf</w:t>
      </w:r>
      <w:r>
        <w:t xml:space="preserve"> </w:t>
      </w:r>
      <w:r>
        <w:t xml:space="preserve">— SGD systematic ORF name;</w:t>
      </w:r>
      <w:r>
        <w:t xml:space="preserve"> </w:t>
      </w:r>
      <w:r>
        <w:rPr>
          <w:i/>
          <w:iCs/>
        </w:rPr>
        <w:t xml:space="preserve">gene</w:t>
      </w:r>
      <w:r>
        <w:t xml:space="preserve"> </w:t>
      </w:r>
      <w:r>
        <w:t xml:space="preserve">— standard gene name;</w:t>
      </w:r>
      <w:r>
        <w:t xml:space="preserve"> </w:t>
      </w:r>
      <w:r>
        <w:rPr>
          <w:i/>
          <w:iCs/>
        </w:rPr>
        <w:t xml:space="preserve">aa</w:t>
      </w:r>
      <w:r>
        <w:t xml:space="preserve"> </w:t>
      </w:r>
      <w:r>
        <w:t xml:space="preserve">— phosphorylated amino acid (S, T, or Y);</w:t>
      </w:r>
      <w:r>
        <w:t xml:space="preserve"> </w:t>
      </w:r>
      <w:r>
        <w:rPr>
          <w:i/>
          <w:iCs/>
        </w:rPr>
        <w:t xml:space="preserve">position</w:t>
      </w:r>
      <w:r>
        <w:t xml:space="preserve"> </w:t>
      </w:r>
      <w:r>
        <w:t xml:space="preserve">— position of the</w:t>
      </w:r>
      <w:r>
        <w:t xml:space="preserve"> </w:t>
      </w:r>
      <w:r>
        <w:t xml:space="preserve">phosphorylated residue in the canonical protein sequence;</w:t>
      </w:r>
      <w:r>
        <w:t xml:space="preserve"> </w:t>
      </w:r>
      <w:r>
        <w:rPr>
          <w:i/>
          <w:iCs/>
        </w:rPr>
        <w:t xml:space="preserve">ThisStudy</w:t>
      </w:r>
      <w:r>
        <w:t xml:space="preserve"> </w:t>
      </w:r>
      <w:r>
        <w:t xml:space="preserve">— 1 if</w:t>
      </w:r>
      <w:r>
        <w:t xml:space="preserve"> </w:t>
      </w:r>
      <w:r>
        <w:t xml:space="preserve">the site was detected as Rim15-dependent (q ≤ 0.05) in this study, 0</w:t>
      </w:r>
      <w:r>
        <w:t xml:space="preserve"> </w:t>
      </w:r>
      <w:r>
        <w:t xml:space="preserve">otherwise;</w:t>
      </w:r>
      <w:r>
        <w:t xml:space="preserve"> </w:t>
      </w:r>
      <w:r>
        <w:rPr>
          <w:i/>
          <w:iCs/>
        </w:rPr>
        <w:t xml:space="preserve">Li2019</w:t>
      </w:r>
      <w:r>
        <w:t xml:space="preserve"> </w:t>
      </w:r>
      <w:r>
        <w:t xml:space="preserve">— 1 if present in Li et al. 2019 (</w:t>
      </w:r>
      <w:r>
        <w:rPr>
          <w:i/>
          <w:iCs/>
        </w:rPr>
        <w:t xml:space="preserve">rim15Δ</w:t>
      </w:r>
      <w:r>
        <w:t xml:space="preserve">-regulated</w:t>
      </w:r>
      <w:r>
        <w:t xml:space="preserve"> </w:t>
      </w:r>
      <w:r>
        <w:t xml:space="preserve">phosphosites);</w:t>
      </w:r>
      <w:r>
        <w:t xml:space="preserve"> </w:t>
      </w:r>
      <w:r>
        <w:rPr>
          <w:i/>
          <w:iCs/>
        </w:rPr>
        <w:t xml:space="preserve">Dokladal2021</w:t>
      </w:r>
      <w:r>
        <w:t xml:space="preserve"> </w:t>
      </w:r>
      <w:r>
        <w:t xml:space="preserve">— 1 if present in Dokladal et al. 2021 (Rim15</w:t>
      </w:r>
      <w:r>
        <w:t xml:space="preserve"> </w:t>
      </w:r>
      <w:r>
        <w:t xml:space="preserve">high-confidence targets);</w:t>
      </w:r>
      <w:r>
        <w:t xml:space="preserve"> </w:t>
      </w:r>
      <w:r>
        <w:rPr>
          <w:i/>
          <w:iCs/>
        </w:rPr>
        <w:t xml:space="preserve">Baro2018</w:t>
      </w:r>
      <w:r>
        <w:t xml:space="preserve"> </w:t>
      </w:r>
      <w:r>
        <w:t xml:space="preserve">— 1 if present in Baro et al. 2018</w:t>
      </w:r>
      <w:r>
        <w:t xml:space="preserve"> </w:t>
      </w:r>
      <w:r>
        <w:t xml:space="preserve">(PP2A-Cdc55 hyperphosphorylated sites);</w:t>
      </w:r>
      <w:r>
        <w:t xml:space="preserve"> </w:t>
      </w:r>
      <w:r>
        <w:rPr>
          <w:i/>
          <w:iCs/>
        </w:rPr>
        <w:t xml:space="preserve">Plank_Cdc55AID</w:t>
      </w:r>
      <w:r>
        <w:t xml:space="preserve"> </w:t>
      </w:r>
      <w:r>
        <w:t xml:space="preserve">— 1 if present in</w:t>
      </w:r>
      <w:r>
        <w:t xml:space="preserve"> </w:t>
      </w:r>
      <w:r>
        <w:t xml:space="preserve">Plank et al. 2020 (Cdc55 auxin-depletion, nominal p ≤ 0.05);</w:t>
      </w:r>
      <w:r>
        <w:t xml:space="preserve"> </w:t>
      </w:r>
      <w:r>
        <w:rPr>
          <w:i/>
          <w:iCs/>
        </w:rPr>
        <w:t xml:space="preserve">n_published</w:t>
      </w:r>
      <w:r>
        <w:t xml:space="preserve"> </w:t>
      </w:r>
      <w:r>
        <w:t xml:space="preserve">—</w:t>
      </w:r>
      <w:r>
        <w:t xml:space="preserve"> </w:t>
      </w:r>
      <w:r>
        <w:t xml:space="preserve">number of published datasets (0–4) in which the site appears;</w:t>
      </w:r>
      <w:r>
        <w:t xml:space="preserve"> </w:t>
      </w:r>
      <w:r>
        <w:rPr>
          <w:i/>
          <w:iCs/>
        </w:rPr>
        <w:t xml:space="preserve">category</w:t>
      </w:r>
      <w:r>
        <w:t xml:space="preserve"> </w:t>
      </w:r>
      <w:r>
        <w:t xml:space="preserve">—</w:t>
      </w:r>
      <w:r>
        <w:t xml:space="preserve"> </w:t>
      </w:r>
      <w:r>
        <w:t xml:space="preserve">consensus (≥ 2 published datasets), shared (1 published dataset),</w:t>
      </w:r>
      <w:r>
        <w:t xml:space="preserve"> </w:t>
      </w:r>
      <w:r>
        <w:t xml:space="preserve">novel_this_study (0 published datasets), or published_only (not in this study).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S22. Cross-dataset phosphoprotein overlap membership.</w:t>
      </w:r>
      <w:r>
        <w:t xml:space="preserve"> </w:t>
      </w:r>
      <w:r>
        <w:t xml:space="preserve">Binary membership table at the protein level for the same cross-dataset</w:t>
      </w:r>
      <w:r>
        <w:t xml:space="preserve"> </w:t>
      </w:r>
      <w:r>
        <w:t xml:space="preserve">comparison as Table S21, including all phosphoproteins from any dataset. For</w:t>
      </w:r>
      <w:r>
        <w:t xml:space="preserve"> </w:t>
      </w:r>
      <w:r>
        <w:t xml:space="preserve">Plank et al. 2020, proteins with any significant phosphopeptide (nominal</w:t>
      </w:r>
      <w:r>
        <w:t xml:space="preserve"> </w:t>
      </w:r>
      <w:r>
        <w:t xml:space="preserve">p ≤ 0.05) are included regardless of exact site assignment. Columns:</w:t>
      </w:r>
      <w:r>
        <w:t xml:space="preserve"> </w:t>
      </w:r>
      <w:r>
        <w:rPr>
          <w:i/>
          <w:iCs/>
        </w:rPr>
        <w:t xml:space="preserve">orf</w:t>
      </w:r>
      <w:r>
        <w:t xml:space="preserve"> </w:t>
      </w:r>
      <w:r>
        <w:t xml:space="preserve">—</w:t>
      </w:r>
      <w:r>
        <w:t xml:space="preserve"> </w:t>
      </w:r>
      <w:r>
        <w:t xml:space="preserve">SGD systematic ORF name;</w:t>
      </w:r>
      <w:r>
        <w:t xml:space="preserve"> </w:t>
      </w:r>
      <w:r>
        <w:rPr>
          <w:i/>
          <w:iCs/>
        </w:rPr>
        <w:t xml:space="preserve">gene</w:t>
      </w:r>
      <w:r>
        <w:t xml:space="preserve"> </w:t>
      </w:r>
      <w:r>
        <w:t xml:space="preserve">— standard gene name;</w:t>
      </w:r>
      <w:r>
        <w:t xml:space="preserve"> </w:t>
      </w:r>
      <w:r>
        <w:rPr>
          <w:i/>
          <w:iCs/>
        </w:rPr>
        <w:t xml:space="preserve">ThisStudy</w:t>
      </w:r>
      <w:r>
        <w:t xml:space="preserve">,</w:t>
      </w:r>
      <w:r>
        <w:t xml:space="preserve"> </w:t>
      </w:r>
      <w:r>
        <w:rPr>
          <w:i/>
          <w:iCs/>
        </w:rPr>
        <w:t xml:space="preserve">Li2019</w:t>
      </w:r>
      <w:r>
        <w:t xml:space="preserve">,</w:t>
      </w:r>
      <w:r>
        <w:t xml:space="preserve"> </w:t>
      </w:r>
      <w:r>
        <w:rPr>
          <w:i/>
          <w:iCs/>
        </w:rPr>
        <w:t xml:space="preserve">Dokladal2021</w:t>
      </w:r>
      <w:r>
        <w:t xml:space="preserve">,</w:t>
      </w:r>
      <w:r>
        <w:t xml:space="preserve"> </w:t>
      </w:r>
      <w:r>
        <w:rPr>
          <w:i/>
          <w:iCs/>
        </w:rPr>
        <w:t xml:space="preserve">Baro2018</w:t>
      </w:r>
      <w:r>
        <w:t xml:space="preserve">,</w:t>
      </w:r>
      <w:r>
        <w:t xml:space="preserve"> </w:t>
      </w:r>
      <w:r>
        <w:rPr>
          <w:i/>
          <w:iCs/>
        </w:rPr>
        <w:t xml:space="preserve">Plank_Cdc55AID</w:t>
      </w:r>
      <w:r>
        <w:t xml:space="preserve"> </w:t>
      </w:r>
      <w:r>
        <w:t xml:space="preserve">— binary indicators</w:t>
      </w:r>
      <w:r>
        <w:t xml:space="preserve"> </w:t>
      </w:r>
      <w:r>
        <w:t xml:space="preserve">(1/0) for presence in each dataset;</w:t>
      </w:r>
      <w:r>
        <w:t xml:space="preserve"> </w:t>
      </w:r>
      <w:r>
        <w:rPr>
          <w:i/>
          <w:iCs/>
        </w:rPr>
        <w:t xml:space="preserve">n_published</w:t>
      </w:r>
      <w:r>
        <w:t xml:space="preserve"> </w:t>
      </w:r>
      <w:r>
        <w:t xml:space="preserve">— number of published</w:t>
      </w:r>
      <w:r>
        <w:t xml:space="preserve"> </w:t>
      </w:r>
      <w:r>
        <w:t xml:space="preserve">datasets in which the protein’s phosphorylation is reported. 735 rows.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S23. Mitochondrial proteome coverage by subcompartment.</w:t>
      </w:r>
      <w:r>
        <w:t xml:space="preserve"> </w:t>
      </w:r>
      <w:r>
        <w:t xml:space="preserve">Coverage of the curated yeast mitochondrial proteome reference (Morgenstern</w:t>
      </w:r>
      <w:r>
        <w:t xml:space="preserve"> </w:t>
      </w:r>
      <w:r>
        <w:t xml:space="preserve">et al. 2017) by the proteome detected in this study, broken down by</w:t>
      </w:r>
      <w:r>
        <w:t xml:space="preserve"> </w:t>
      </w:r>
      <w:r>
        <w:t xml:space="preserve">mitochondrial subcompartment. Source data for the revision mitochondrial</w:t>
      </w:r>
      <w:r>
        <w:t xml:space="preserve"> </w:t>
      </w:r>
      <w:r>
        <w:t xml:space="preserve">reconciliation figure (Reviewer point R2.7). Columns:</w:t>
      </w:r>
      <w:r>
        <w:t xml:space="preserve"> </w:t>
      </w:r>
      <w:r>
        <w:rPr>
          <w:i/>
          <w:iCs/>
        </w:rPr>
        <w:t xml:space="preserve">subloc</w:t>
      </w:r>
      <w:r>
        <w:t xml:space="preserve"> </w:t>
      </w:r>
      <w:r>
        <w:t xml:space="preserve">—</w:t>
      </w:r>
      <w:r>
        <w:t xml:space="preserve"> </w:t>
      </w:r>
      <w:r>
        <w:t xml:space="preserve">mitochondrial subcompartment (IMS/IM = inner membrane space / inner membrane,</w:t>
      </w:r>
      <w:r>
        <w:t xml:space="preserve"> </w:t>
      </w:r>
      <w:r>
        <w:t xml:space="preserve">Matrix/IM = matrix / inner membrane, OM = outer membrane, Unassigned = no</w:t>
      </w:r>
      <w:r>
        <w:t xml:space="preserve"> </w:t>
      </w:r>
      <w:r>
        <w:t xml:space="preserve">subcompartment annotation);</w:t>
      </w:r>
      <w:r>
        <w:t xml:space="preserve"> </w:t>
      </w:r>
      <w:r>
        <w:rPr>
          <w:i/>
          <w:iCs/>
        </w:rPr>
        <w:t xml:space="preserve">n_reference</w:t>
      </w:r>
      <w:r>
        <w:t xml:space="preserve"> </w:t>
      </w:r>
      <w:r>
        <w:t xml:space="preserve">— number of proteins in the</w:t>
      </w:r>
      <w:r>
        <w:t xml:space="preserve"> </w:t>
      </w:r>
      <w:r>
        <w:t xml:space="preserve">Morgenstern 2017 reference list for this subcompartment;</w:t>
      </w:r>
      <w:r>
        <w:t xml:space="preserve"> </w:t>
      </w:r>
      <w:r>
        <w:rPr>
          <w:i/>
          <w:iCs/>
        </w:rPr>
        <w:t xml:space="preserve">n_detected</w:t>
      </w:r>
      <w:r>
        <w:t xml:space="preserve"> </w:t>
      </w:r>
      <w:r>
        <w:t xml:space="preserve">—</w:t>
      </w:r>
      <w:r>
        <w:t xml:space="preserve"> </w:t>
      </w:r>
      <w:r>
        <w:t xml:space="preserve">number of those reference proteins detected in this study’s proteome;</w:t>
      </w:r>
      <w:r>
        <w:t xml:space="preserve"> </w:t>
      </w:r>
      <w:r>
        <w:rPr>
          <w:i/>
          <w:iCs/>
        </w:rPr>
        <w:t xml:space="preserve">pct_detected</w:t>
      </w:r>
      <w:r>
        <w:t xml:space="preserve"> </w:t>
      </w:r>
      <w:r>
        <w:t xml:space="preserve">— percentage detected (n_detected / n_reference × 100).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S24. Mitochondrial protein log2 fold change by functional class and</w:t>
      </w:r>
      <w:r>
        <w:rPr>
          <w:b/>
          <w:bCs/>
        </w:rPr>
        <w:t xml:space="preserve"> </w:t>
      </w:r>
      <w:r>
        <w:rPr>
          <w:b/>
          <w:bCs/>
        </w:rPr>
        <w:t xml:space="preserve">subcompartment.</w:t>
      </w:r>
      <w:r>
        <w:t xml:space="preserve"> </w:t>
      </w:r>
      <w:r>
        <w:t xml:space="preserve">Mean log2 fold change in protein abundance over the quiescence time course</w:t>
      </w:r>
      <w:r>
        <w:t xml:space="preserve"> </w:t>
      </w:r>
      <w:r>
        <w:t xml:space="preserve">(WT starved/mid-log reference), averaged across proteins within each</w:t>
      </w:r>
      <w:r>
        <w:t xml:space="preserve"> </w:t>
      </w:r>
      <w:r>
        <w:t xml:space="preserve">functional class and mitochondrial subcompartment, at each timepoint. Source</w:t>
      </w:r>
      <w:r>
        <w:t xml:space="preserve"> </w:t>
      </w:r>
      <w:r>
        <w:t xml:space="preserve">data for the revision mitochondrial proteome figure (Reviewer point R2.7).</w:t>
      </w:r>
      <w:r>
        <w:t xml:space="preserve"> </w:t>
      </w:r>
      <w:r>
        <w:t xml:space="preserve">Columns:</w:t>
      </w:r>
      <w:r>
        <w:t xml:space="preserve"> </w:t>
      </w:r>
      <w:r>
        <w:rPr>
          <w:i/>
          <w:iCs/>
        </w:rPr>
        <w:t xml:space="preserve">func_class</w:t>
      </w:r>
      <w:r>
        <w:t xml:space="preserve"> </w:t>
      </w:r>
      <w:r>
        <w:t xml:space="preserve">— functional classification of mitochondrial proteins</w:t>
      </w:r>
      <w:r>
        <w:t xml:space="preserve"> </w:t>
      </w:r>
      <w:r>
        <w:t xml:space="preserve">(e.g., Carriers, Ribosome, OXPHOS Complex I–V, TCA cycle);</w:t>
      </w:r>
      <w:r>
        <w:t xml:space="preserve"> </w:t>
      </w:r>
      <w:r>
        <w:rPr>
          <w:i/>
          <w:iCs/>
        </w:rPr>
        <w:t xml:space="preserve">subloc</w:t>
      </w:r>
      <w:r>
        <w:t xml:space="preserve"> </w:t>
      </w:r>
      <w:r>
        <w:t xml:space="preserve">—</w:t>
      </w:r>
      <w:r>
        <w:t xml:space="preserve"> </w:t>
      </w:r>
      <w:r>
        <w:t xml:space="preserve">mitochondrial subcompartment (IMS/IM, Matrix/IM, OM, Unassigned);</w:t>
      </w:r>
      <w:r>
        <w:t xml:space="preserve"> </w:t>
      </w:r>
      <w:r>
        <w:rPr>
          <w:i/>
          <w:iCs/>
        </w:rPr>
        <w:t xml:space="preserve">samplingTime</w:t>
      </w:r>
      <w:r>
        <w:t xml:space="preserve"> </w:t>
      </w:r>
      <w:r>
        <w:t xml:space="preserve">— timepoint code (T00, T06, T16, T30);</w:t>
      </w:r>
      <w:r>
        <w:t xml:space="preserve"> </w:t>
      </w:r>
      <w:r>
        <w:rPr>
          <w:i/>
          <w:iCs/>
        </w:rPr>
        <w:t xml:space="preserve">mean_log2fc</w:t>
      </w:r>
      <w:r>
        <w:t xml:space="preserve"> </w:t>
      </w:r>
      <w:r>
        <w:t xml:space="preserve">— mean</w:t>
      </w:r>
      <w:r>
        <w:t xml:space="preserve"> </w:t>
      </w:r>
      <w:r>
        <w:t xml:space="preserve">log2 fold change across proteins in this class/subcompartment at this</w:t>
      </w:r>
      <w:r>
        <w:t xml:space="preserve"> </w:t>
      </w:r>
      <w:r>
        <w:t xml:space="preserve">timepoint;</w:t>
      </w:r>
      <w:r>
        <w:t xml:space="preserve"> </w:t>
      </w:r>
      <w:r>
        <w:rPr>
          <w:i/>
          <w:iCs/>
        </w:rPr>
        <w:t xml:space="preserve">sem_log2fc</w:t>
      </w:r>
      <w:r>
        <w:t xml:space="preserve"> </w:t>
      </w:r>
      <w:r>
        <w:t xml:space="preserve">— standard error of the mean;</w:t>
      </w:r>
      <w:r>
        <w:t xml:space="preserve"> </w:t>
      </w:r>
      <w:r>
        <w:rPr>
          <w:i/>
          <w:iCs/>
        </w:rPr>
        <w:t xml:space="preserve">n_proteins</w:t>
      </w:r>
      <w:r>
        <w:t xml:space="preserve"> </w:t>
      </w:r>
      <w:r>
        <w:t xml:space="preserve">— number</w:t>
      </w:r>
      <w:r>
        <w:t xml:space="preserve"> </w:t>
      </w:r>
      <w:r>
        <w:t xml:space="preserve">of proteins contributing to the mean;</w:t>
      </w:r>
      <w:r>
        <w:t xml:space="preserve"> </w:t>
      </w:r>
      <w:r>
        <w:rPr>
          <w:i/>
          <w:iCs/>
        </w:rPr>
        <w:t xml:space="preserve">time_h</w:t>
      </w:r>
      <w:r>
        <w:t xml:space="preserve"> </w:t>
      </w:r>
      <w:r>
        <w:t xml:space="preserve">— timepoint in hours (0, 6,</w:t>
      </w:r>
      <w:r>
        <w:t xml:space="preserve"> </w:t>
      </w:r>
      <w:r>
        <w:t xml:space="preserve">16, 30).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S25. Cross-dataset proteome coverage.</w:t>
      </w:r>
      <w:r>
        <w:t xml:space="preserve"> </w:t>
      </w:r>
      <w:r>
        <w:t xml:space="preserve">Binary membership table indicating which proteins were detected in each of</w:t>
      </w:r>
      <w:r>
        <w:t xml:space="preserve"> </w:t>
      </w:r>
      <w:r>
        <w:t xml:space="preserve">three yeast proteomics studies. Generated by</w:t>
      </w:r>
      <w:r>
        <w:t xml:space="preserve"> </w:t>
      </w:r>
      <w:r>
        <w:rPr>
          <w:rStyle w:val="VerbatimChar"/>
        </w:rPr>
        <w:t xml:space="preserve">revision3/R03_proteome_overlap.Rmd</w:t>
      </w:r>
      <w:r>
        <w:t xml:space="preserve">.</w:t>
      </w:r>
      <w:r>
        <w:t xml:space="preserve"> </w:t>
      </w:r>
      <w:r>
        <w:t xml:space="preserve">Source for this study: Table S5 (</w:t>
      </w:r>
      <w:r>
        <w:rPr>
          <w:rStyle w:val="VerbatimChar"/>
        </w:rPr>
        <w:t xml:space="preserve">tables/supplemental/S5_normalized_protein_ratios.csv</w:t>
      </w:r>
      <w:r>
        <w:t xml:space="preserve">).</w:t>
      </w:r>
      <w:r>
        <w:t xml:space="preserve"> </w:t>
      </w:r>
      <w:r>
        <w:t xml:space="preserve">Published datasets: Paulo et al. 2015 (label-free quant of quiescent yeast,</w:t>
      </w:r>
      <w:r>
        <w:t xml:space="preserve"> </w:t>
      </w:r>
      <w:r>
        <w:rPr>
          <w:rStyle w:val="VerbatimChar"/>
        </w:rPr>
        <w:t xml:space="preserve">NIHMS464126-supplement-2_si_001.xlsx</w:t>
      </w:r>
      <w:r>
        <w:t xml:space="preserve">, all detected ORFs) and den Ridder et</w:t>
      </w:r>
      <w:r>
        <w:t xml:space="preserve"> </w:t>
      </w:r>
      <w:r>
        <w:t xml:space="preserve">al. 2023 (TMT proteome of</w:t>
      </w:r>
      <w:r>
        <w:t xml:space="preserve"> </w:t>
      </w:r>
      <w:r>
        <w:rPr>
          <w:i/>
          <w:iCs/>
        </w:rPr>
        <w:t xml:space="preserve">S. cerevisiae</w:t>
      </w:r>
      <w:r>
        <w:t xml:space="preserve"> </w:t>
      </w:r>
      <w:r>
        <w:t xml:space="preserve">under aerobic/anaerobic conditions,</w:t>
      </w:r>
      <w:r>
        <w:t xml:space="preserve"> </w:t>
      </w:r>
      <w:r>
        <w:rPr>
          <w:rStyle w:val="VerbatimChar"/>
        </w:rPr>
        <w:t xml:space="preserve">mmc7.xlsx</w:t>
      </w:r>
      <w:r>
        <w:t xml:space="preserve">; included for coverage comparison only, not a quiescence study).</w:t>
      </w:r>
      <w:r>
        <w:t xml:space="preserve"> </w:t>
      </w:r>
      <w:r>
        <w:t xml:space="preserve">Columns:</w:t>
      </w:r>
      <w:r>
        <w:t xml:space="preserve"> </w:t>
      </w:r>
      <w:r>
        <w:rPr>
          <w:i/>
          <w:iCs/>
        </w:rPr>
        <w:t xml:space="preserve">orf</w:t>
      </w:r>
      <w:r>
        <w:t xml:space="preserve"> </w:t>
      </w:r>
      <w:r>
        <w:t xml:space="preserve">— SGD systematic ORF name;</w:t>
      </w:r>
      <w:r>
        <w:t xml:space="preserve"> </w:t>
      </w:r>
      <w:r>
        <w:rPr>
          <w:i/>
          <w:iCs/>
        </w:rPr>
        <w:t xml:space="preserve">gene</w:t>
      </w:r>
      <w:r>
        <w:t xml:space="preserve"> </w:t>
      </w:r>
      <w:r>
        <w:t xml:space="preserve">— standard gene name (from</w:t>
      </w:r>
      <w:r>
        <w:t xml:space="preserve"> </w:t>
      </w:r>
      <w:r>
        <w:t xml:space="preserve">this study where available);</w:t>
      </w:r>
      <w:r>
        <w:t xml:space="preserve"> </w:t>
      </w:r>
      <w:r>
        <w:rPr>
          <w:i/>
          <w:iCs/>
        </w:rPr>
        <w:t xml:space="preserve">ThisStudy</w:t>
      </w:r>
      <w:r>
        <w:t xml:space="preserve"> </w:t>
      </w:r>
      <w:r>
        <w:t xml:space="preserve">— 1 if detected in this study,</w:t>
      </w:r>
      <w:r>
        <w:t xml:space="preserve"> </w:t>
      </w:r>
      <w:r>
        <w:t xml:space="preserve">0 otherwise;</w:t>
      </w:r>
      <w:r>
        <w:t xml:space="preserve"> </w:t>
      </w:r>
      <w:r>
        <w:rPr>
          <w:i/>
          <w:iCs/>
        </w:rPr>
        <w:t xml:space="preserve">Paulo2015</w:t>
      </w:r>
      <w:r>
        <w:t xml:space="preserve"> </w:t>
      </w:r>
      <w:r>
        <w:t xml:space="preserve">— 1 if detected by Paulo et al. 2015, 0 otherwise;</w:t>
      </w:r>
      <w:r>
        <w:t xml:space="preserve"> </w:t>
      </w:r>
      <w:r>
        <w:rPr>
          <w:i/>
          <w:iCs/>
        </w:rPr>
        <w:t xml:space="preserve">denRidder2023</w:t>
      </w:r>
      <w:r>
        <w:t xml:space="preserve"> </w:t>
      </w:r>
      <w:r>
        <w:t xml:space="preserve">— 1 if detected by den Ridder et al. 2023, 0 otherwise.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S26. Quiescence-regulation protein overlap.</w:t>
      </w:r>
      <w:r>
        <w:t xml:space="preserve"> </w:t>
      </w:r>
      <w:r>
        <w:t xml:space="preserve">Binary membership and category assignment comparing rim15Δ-regulated proteins</w:t>
      </w:r>
      <w:r>
        <w:t xml:space="preserve"> </w:t>
      </w:r>
      <w:r>
        <w:t xml:space="preserve">from this study with quiescent-enriched proteins from Paulo et al. 2015.</w:t>
      </w:r>
      <w:r>
        <w:t xml:space="preserve"> </w:t>
      </w:r>
      <w:r>
        <w:t xml:space="preserve">Generated by</w:t>
      </w:r>
      <w:r>
        <w:t xml:space="preserve"> </w:t>
      </w:r>
      <w:r>
        <w:rPr>
          <w:rStyle w:val="VerbatimChar"/>
        </w:rPr>
        <w:t xml:space="preserve">revision3/R03_proteome_overlap.Rmd</w:t>
      </w:r>
      <w:r>
        <w:t xml:space="preserve">. Source for this study:</w:t>
      </w:r>
      <w:r>
        <w:t xml:space="preserve"> </w:t>
      </w:r>
      <w:r>
        <w:t xml:space="preserve">Table S16 (</w:t>
      </w:r>
      <w:r>
        <w:rPr>
          <w:rStyle w:val="VerbatimChar"/>
        </w:rPr>
        <w:t xml:space="preserve">tables/DE_proteins_byGenotype.csv</w:t>
      </w:r>
      <w:r>
        <w:t xml:space="preserve">, q ≤ 0.05 in any contrast).</w:t>
      </w:r>
      <w:r>
        <w:t xml:space="preserve"> </w:t>
      </w:r>
      <w:r>
        <w:t xml:space="preserve">Published data: Paulo et al. 2015</w:t>
      </w:r>
      <w:r>
        <w:t xml:space="preserve"> </w:t>
      </w:r>
      <w:r>
        <w:rPr>
          <w:rStyle w:val="VerbatimChar"/>
        </w:rPr>
        <w:t xml:space="preserve">NIHMS464126-supplement-3_si_003.xlsx</w:t>
      </w:r>
      <w:r>
        <w:t xml:space="preserve"> </w:t>
      </w:r>
      <w:r>
        <w:t xml:space="preserve">sheet</w:t>
      </w:r>
      <w:r>
        <w:t xml:space="preserve"> </w:t>
      </w:r>
      <w:r>
        <w:t xml:space="preserve">“2X or more Up in Quiescent”</w:t>
      </w:r>
      <w:r>
        <w:t xml:space="preserve"> </w:t>
      </w:r>
      <w:r>
        <w:t xml:space="preserve">(proteins ≥2-fold enriched in quiescent</w:t>
      </w:r>
      <w:r>
        <w:t xml:space="preserve"> </w:t>
      </w:r>
      <w:r>
        <w:t xml:space="preserve">vs upper-fraction cells). Columns:</w:t>
      </w:r>
      <w:r>
        <w:t xml:space="preserve"> </w:t>
      </w:r>
      <w:r>
        <w:rPr>
          <w:i/>
          <w:iCs/>
        </w:rPr>
        <w:t xml:space="preserve">orf</w:t>
      </w:r>
      <w:r>
        <w:t xml:space="preserve"> </w:t>
      </w:r>
      <w:r>
        <w:t xml:space="preserve">— SGD systematic ORF name;</w:t>
      </w:r>
      <w:r>
        <w:t xml:space="preserve"> </w:t>
      </w:r>
      <w:r>
        <w:rPr>
          <w:i/>
          <w:iCs/>
        </w:rPr>
        <w:t xml:space="preserve">gene</w:t>
      </w:r>
      <w:r>
        <w:t xml:space="preserve"> </w:t>
      </w:r>
      <w:r>
        <w:t xml:space="preserve">—</w:t>
      </w:r>
      <w:r>
        <w:t xml:space="preserve"> </w:t>
      </w:r>
      <w:r>
        <w:t xml:space="preserve">standard gene name;</w:t>
      </w:r>
      <w:r>
        <w:t xml:space="preserve"> </w:t>
      </w:r>
      <w:r>
        <w:rPr>
          <w:i/>
          <w:iCs/>
        </w:rPr>
        <w:t xml:space="preserve">ThisStudy_rim15reg</w:t>
      </w:r>
      <w:r>
        <w:t xml:space="preserve"> </w:t>
      </w:r>
      <w:r>
        <w:t xml:space="preserve">— 1 if significantly regulated in</w:t>
      </w:r>
      <w:r>
        <w:t xml:space="preserve"> </w:t>
      </w:r>
      <w:r>
        <w:t xml:space="preserve">rim15Δ (q ≤ 0.05), 0 otherwise;</w:t>
      </w:r>
      <w:r>
        <w:t xml:space="preserve"> </w:t>
      </w:r>
      <w:r>
        <w:rPr>
          <w:i/>
          <w:iCs/>
        </w:rPr>
        <w:t xml:space="preserve">Paulo2015_qsnt</w:t>
      </w:r>
      <w:r>
        <w:t xml:space="preserve"> </w:t>
      </w:r>
      <w:r>
        <w:t xml:space="preserve">— 1 if ≥2-fold enriched in</w:t>
      </w:r>
      <w:r>
        <w:t xml:space="preserve"> </w:t>
      </w:r>
      <w:r>
        <w:t xml:space="preserve">Paulo 2015 quiescent fraction, 0 otherwise;</w:t>
      </w:r>
      <w:r>
        <w:t xml:space="preserve"> </w:t>
      </w:r>
      <w:r>
        <w:rPr>
          <w:i/>
          <w:iCs/>
        </w:rPr>
        <w:t xml:space="preserve">category</w:t>
      </w:r>
      <w:r>
        <w:t xml:space="preserve"> </w:t>
      </w:r>
      <w:r>
        <w:t xml:space="preserve">—</w:t>
      </w:r>
      <w:r>
        <w:t xml:space="preserve"> </w:t>
      </w:r>
      <w:r>
        <w:t xml:space="preserve">“shared”</w:t>
      </w:r>
      <w:r>
        <w:t xml:space="preserve"> </w:t>
      </w:r>
      <w:r>
        <w:t xml:space="preserve">(in both</w:t>
      </w:r>
      <w:r>
        <w:t xml:space="preserve"> </w:t>
      </w:r>
      <w:r>
        <w:t xml:space="preserve">sets),</w:t>
      </w:r>
      <w:r>
        <w:t xml:space="preserve"> </w:t>
      </w:r>
      <w:r>
        <w:t xml:space="preserve">“novel_this_study”</w:t>
      </w:r>
      <w:r>
        <w:t xml:space="preserve"> </w:t>
      </w:r>
      <w:r>
        <w:t xml:space="preserve">(rim15Δ-regulated but not in Paulo quiescent set),</w:t>
      </w:r>
      <w:r>
        <w:t xml:space="preserve"> </w:t>
      </w:r>
      <w:r>
        <w:t xml:space="preserve">or</w:t>
      </w:r>
      <w:r>
        <w:t xml:space="preserve"> </w:t>
      </w:r>
      <w:r>
        <w:t xml:space="preserve">“paulo_only”</w:t>
      </w:r>
      <w:r>
        <w:t xml:space="preserve"> </w:t>
      </w:r>
      <w:r>
        <w:t xml:space="preserve">(Paulo quiescent-enriched but not rim15Δ-regulated in this</w:t>
      </w:r>
      <w:r>
        <w:t xml:space="preserve"> </w:t>
      </w:r>
      <w:r>
        <w:t xml:space="preserve">study).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2026-08-30T19:59:33Z</dcterms:created>
  <dcterms:modified xsi:type="dcterms:W3CDTF">2026-08-30T19:59:33Z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