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b90b18f46927f379c1df4ed056c94cf47d67b1"/>
    <w:p>
      <w:pPr>
        <w:pStyle w:val="Heading1"/>
      </w:pPr>
      <w:r>
        <w:t xml:space="preserve">Response letter text — R1.3 &amp; R2.5 cross-dataset comparisons</w:t>
      </w:r>
    </w:p>
    <w:p>
      <w:pPr>
        <w:pStyle w:val="FirstParagraph"/>
      </w:pPr>
      <w:r>
        <w:t xml:space="preserve">Sun et al., PLOS Genetics PGENETICS-D-25-01150R1</w:t>
      </w:r>
    </w:p>
    <w:p>
      <w:pPr>
        <w:pStyle w:val="BodyText"/>
      </w:pPr>
      <w:r>
        <w:t xml:space="preserve">Generated from analyses in</w:t>
      </w:r>
      <w:r>
        <w:t xml:space="preserve"> </w:t>
      </w:r>
      <w:r>
        <w:rPr>
          <w:rStyle w:val="VerbatimChar"/>
        </w:rPr>
        <w:t xml:space="preserve">revision3/R02_phosphosite_overlap.Rmd</w:t>
      </w:r>
      <w:r>
        <w:t xml:space="preserve"> </w:t>
      </w:r>
      <w:r>
        <w:t xml:space="preserve">(phosphosite</w:t>
      </w:r>
      <w:r>
        <w:t xml:space="preserve"> </w:t>
      </w:r>
      <w:r>
        <w:t xml:space="preserve">overlap) and</w:t>
      </w:r>
      <w:r>
        <w:t xml:space="preserve"> </w:t>
      </w:r>
      <w:r>
        <w:rPr>
          <w:rStyle w:val="VerbatimChar"/>
        </w:rPr>
        <w:t xml:space="preserve">revision3/R03_proteome_overlap.Rmd</w:t>
      </w:r>
      <w:r>
        <w:t xml:space="preserve"> </w:t>
      </w:r>
      <w:r>
        <w:t xml:space="preserve">(proteome coverage).</w:t>
      </w:r>
    </w:p>
    <w:p>
      <w:r>
        <w:pict>
          <v:rect style="width:0;height:1.5pt" o:hralign="center" o:hrstd="t" o:hr="t"/>
        </w:pict>
      </w:r>
    </w:p>
    <w:bookmarkStart w:id="9" w:name="Xec9d248250a4360686c37cd533481d7d2e80294"/>
    <w:p>
      <w:pPr>
        <w:pStyle w:val="Heading2"/>
      </w:pPr>
      <w:r>
        <w:t xml:space="preserve">R1.3 &amp; R2.5 — Quantitative comparison to published phosphoproteome datasets</w:t>
      </w:r>
    </w:p>
    <w:p>
      <w:pPr>
        <w:pStyle w:val="FirstParagraph"/>
      </w:pPr>
      <w:r>
        <w:t xml:space="preserve">We thank both reviewers for this suggestion, which substantially strengthens the</w:t>
      </w:r>
      <w:r>
        <w:t xml:space="preserve"> </w:t>
      </w:r>
      <w:r>
        <w:t xml:space="preserve">contextualization of our results. We have now performed a comprehensive</w:t>
      </w:r>
      <w:r>
        <w:t xml:space="preserve"> </w:t>
      </w:r>
      <w:r>
        <w:t xml:space="preserve">cross-dataset comparison of our Rim15-regulated phosphosites against four</w:t>
      </w:r>
      <w:r>
        <w:t xml:space="preserve"> </w:t>
      </w:r>
      <w:r>
        <w:t xml:space="preserve">published Rim15/PP2A-Cdc55 phosphoproteomic datasets: Li et al. (2019), who</w:t>
      </w:r>
      <w:r>
        <w:t xml:space="preserve"> </w:t>
      </w:r>
      <w:r>
        <w:t xml:space="preserve">profiled the phosphoproteome of a</w:t>
      </w:r>
      <w:r>
        <w:t xml:space="preserve"> </w:t>
      </w:r>
      <w:r>
        <w:rPr>
          <w:i/>
          <w:iCs/>
        </w:rPr>
        <w:t xml:space="preserve">rim15Δ</w:t>
      </w:r>
      <w:r>
        <w:t xml:space="preserve"> </w:t>
      </w:r>
      <w:r>
        <w:t xml:space="preserve">strain under rich-medium conditions;</w:t>
      </w:r>
      <w:r>
        <w:t xml:space="preserve"> </w:t>
      </w:r>
      <w:r>
        <w:t xml:space="preserve">Dokladal et al. (2021), who identified high-confidence Rim15 substrates using a</w:t>
      </w:r>
      <w:r>
        <w:t xml:space="preserve"> </w:t>
      </w:r>
      <w:r>
        <w:t xml:space="preserve">thermal-shift proteomics approach; Baro et al. (2018), who catalogued</w:t>
      </w:r>
      <w:r>
        <w:t xml:space="preserve"> </w:t>
      </w:r>
      <w:r>
        <w:t xml:space="preserve">hyperphosphorylated peptides of putative PP2A-Cdc55 substrates; and Plank et al.</w:t>
      </w:r>
      <w:r>
        <w:t xml:space="preserve"> </w:t>
      </w:r>
      <w:r>
        <w:t xml:space="preserve">(2020), who profiled the phosphoproteome following acute auxin-mediated depletion</w:t>
      </w:r>
      <w:r>
        <w:t xml:space="preserve"> </w:t>
      </w:r>
      <w:r>
        <w:t xml:space="preserve">of the PP2A regulatory subunit Cdc55.</w:t>
      </w:r>
    </w:p>
    <w:p>
      <w:pPr>
        <w:pStyle w:val="BodyText"/>
      </w:pPr>
      <w:r>
        <w:t xml:space="preserve">All datasets were harmonized to SGD systematic ORF names and absolute residue</w:t>
      </w:r>
      <w:r>
        <w:t xml:space="preserve"> </w:t>
      </w:r>
      <w:r>
        <w:t xml:space="preserve">positions in the canonical UniProt reference proteome (UP000002311), enabling</w:t>
      </w:r>
      <w:r>
        <w:t xml:space="preserve"> </w:t>
      </w:r>
      <w:r>
        <w:t xml:space="preserve">exact-site-level comparison. We validated the harmonization by confirming the</w:t>
      </w:r>
      <w:r>
        <w:t xml:space="preserve"> </w:t>
      </w:r>
      <w:r>
        <w:t xml:space="preserve">recovery of Igo1 S64 — the canonical, best-characterized Rim15 substrate site</w:t>
      </w:r>
      <w:r>
        <w:t xml:space="preserve"> </w:t>
      </w:r>
      <w:r>
        <w:t xml:space="preserve">(Talarek et al. 2010) — across multiple datasets. We present the overlap structure</w:t>
      </w:r>
      <w:r>
        <w:t xml:space="preserve"> </w:t>
      </w:r>
      <w:r>
        <w:t xml:space="preserve">as an UpSet plot (new Fig. SX) and provide a supplementary membership table</w:t>
      </w:r>
      <w:r>
        <w:t xml:space="preserve"> </w:t>
      </w:r>
      <w:r>
        <w:t xml:space="preserve">identifying every site and its dataset membership at two resolutions: exact site</w:t>
      </w:r>
      <w:r>
        <w:t xml:space="preserve"> </w:t>
      </w:r>
      <w:r>
        <w:t xml:space="preserve">(ORF + residue letter + position; Table S21) and protein level (Table S22).</w:t>
      </w:r>
      <w:r>
        <w:t xml:space="preserve"> </w:t>
      </w:r>
      <w:r>
        <w:t xml:space="preserve">Table S28 additionally provides side-by-side quantitative fold-change values from</w:t>
      </w:r>
      <w:r>
        <w:t xml:space="preserve"> </w:t>
      </w:r>
      <w:r>
        <w:t xml:space="preserve">each study for the overlapping sites.</w:t>
      </w:r>
    </w:p>
    <w:p>
      <w:pPr>
        <w:pStyle w:val="BodyText"/>
      </w:pPr>
      <w:r>
        <w:t xml:space="preserve">We identified 30 phosphosites with significant Rim15-dependent regulation</w:t>
      </w:r>
      <w:r>
        <w:t xml:space="preserve"> </w:t>
      </w:r>
      <w:r>
        <w:t xml:space="preserve">(q ≤ 0.05) in carbon or phosphorus starvation, out of 4,941 phosphosites detected</w:t>
      </w:r>
      <w:r>
        <w:t xml:space="preserve"> </w:t>
      </w:r>
      <w:r>
        <w:t xml:space="preserve">in our experiment. Chi-square tests, using all detected sites as the universe,</w:t>
      </w:r>
      <w:r>
        <w:t xml:space="preserve"> </w:t>
      </w:r>
      <w:r>
        <w:t xml:space="preserve">showed that our Rim15-regulated sites were significantly enriched among those</w:t>
      </w:r>
      <w:r>
        <w:t xml:space="preserve"> </w:t>
      </w:r>
      <w:r>
        <w:t xml:space="preserve">reported by Dokladal et al. (2021; 3/30 sites overlap, 10.0% vs. 0.4% expected</w:t>
      </w:r>
      <w:r>
        <w:t xml:space="preserve"> </w:t>
      </w:r>
      <w:r>
        <w:t xml:space="preserve">from non-significant sites; χ² = 38.5, p = 5.6 × 10⁻¹⁰) and Baro et al. (2018;</w:t>
      </w:r>
      <w:r>
        <w:t xml:space="preserve"> </w:t>
      </w:r>
      <w:r>
        <w:t xml:space="preserve">9/30 sites, 30.0% vs. 10.9%; χ² = 9.3, p = 0.002). Overlap with Li et al. (2019;</w:t>
      </w:r>
      <w:r>
        <w:t xml:space="preserve"> </w:t>
      </w:r>
      <w:r>
        <w:t xml:space="preserve">1/30 sites, χ² = 0.3, p = 0.572) and Plank et al. (2020; 0/30 sites, p = 1.0)</w:t>
      </w:r>
      <w:r>
        <w:t xml:space="preserve"> </w:t>
      </w:r>
      <w:r>
        <w:t xml:space="preserve">was not statistically significant. Significant enrichment in two independent</w:t>
      </w:r>
      <w:r>
        <w:t xml:space="preserve"> </w:t>
      </w:r>
      <w:r>
        <w:t xml:space="preserve">datasets using distinct experimental strategies supports the validity of our</w:t>
      </w:r>
      <w:r>
        <w:t xml:space="preserve"> </w:t>
      </w:r>
      <w:r>
        <w:t xml:space="preserve">phosphoproteomic approach for identifying Rim15-dependent phosphorylation events.</w:t>
      </w:r>
      <w:r>
        <w:t xml:space="preserve"> </w:t>
      </w:r>
      <w:r>
        <w:t xml:space="preserve">The non-significant overlap with Li et al. and Plank et al. is not unexpected: Li</w:t>
      </w:r>
      <w:r>
        <w:t xml:space="preserve"> </w:t>
      </w:r>
      <w:r>
        <w:t xml:space="preserve">et al. used a different genetic background and profiled cells in rich medium rather</w:t>
      </w:r>
      <w:r>
        <w:t xml:space="preserve"> </w:t>
      </w:r>
      <w:r>
        <w:t xml:space="preserve">than starvation, and Plank et al.’s 10-minute Cdc55 depletion produced very few</w:t>
      </w:r>
      <w:r>
        <w:t xml:space="preserve"> </w:t>
      </w:r>
      <w:r>
        <w:t xml:space="preserve">robustly quantified exact sites (14 total), severely limiting power to detect</w:t>
      </w:r>
      <w:r>
        <w:t xml:space="preserve"> </w:t>
      </w:r>
      <w:r>
        <w:t xml:space="preserve">overlap with our starvation time-course data.</w:t>
      </w:r>
    </w:p>
    <w:p>
      <w:pPr>
        <w:pStyle w:val="BodyText"/>
      </w:pPr>
      <w:r>
        <w:t xml:space="preserve">Of the 30 sites in our study, 10 (33%) appear in at least one published dataset</w:t>
      </w:r>
      <w:r>
        <w:t xml:space="preserve"> </w:t>
      </w:r>
      <w:r>
        <w:t xml:space="preserve">and 3 (10%) appear in two or more (consensus sites), including Igo1 S64 and sites</w:t>
      </w:r>
      <w:r>
        <w:t xml:space="preserve"> </w:t>
      </w:r>
      <w:r>
        <w:t xml:space="preserve">on the stress-responsive kinase targets Bcy1 and Sic1. The 20 sites unique to this</w:t>
      </w:r>
      <w:r>
        <w:t xml:space="preserve"> </w:t>
      </w:r>
      <w:r>
        <w:t xml:space="preserve">study represent candidate condition-specific Rim15 substrates under nutrient</w:t>
      </w:r>
      <w:r>
        <w:t xml:space="preserve"> </w:t>
      </w:r>
      <w:r>
        <w:t xml:space="preserve">starvation that were not observed in prior rich-medium profiling experiments. We</w:t>
      </w:r>
      <w:r>
        <w:t xml:space="preserve"> </w:t>
      </w:r>
      <w:r>
        <w:t xml:space="preserve">have rewritten the corresponding Discussion passage to reference this comparison</w:t>
      </w:r>
      <w:r>
        <w:t xml:space="preserve"> </w:t>
      </w:r>
      <w:r>
        <w:t xml:space="preserve">directly and to distinguish the consensus Rim15 targets from the condition-specific</w:t>
      </w:r>
      <w:r>
        <w:t xml:space="preserve"> </w:t>
      </w:r>
      <w:r>
        <w:t xml:space="preserve">sites identified here.</w:t>
      </w:r>
    </w:p>
    <w:p>
      <w:r>
        <w:pict>
          <v:rect style="width:0;height:1.5pt" o:hralign="center" o:hrstd="t" o:hr="t"/>
        </w:pict>
      </w:r>
    </w:p>
    <w:bookmarkEnd w:id="9"/>
    <w:bookmarkStart w:id="10" w:name="proteome-coverage-supporting-paragraph"/>
    <w:p>
      <w:pPr>
        <w:pStyle w:val="Heading2"/>
      </w:pPr>
      <w:r>
        <w:t xml:space="preserve">Proteome coverage — supporting paragraph</w:t>
      </w:r>
    </w:p>
    <w:p>
      <w:pPr>
        <w:pStyle w:val="FirstParagraph"/>
      </w:pPr>
      <w:r>
        <w:rPr>
          <w:i/>
          <w:iCs/>
        </w:rPr>
        <w:t xml:space="preserve">Addresses the representativeness of our proteome; can be incorporated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response to R2.7 (mitochondrial reconciliation) or the cover letter.</w:t>
      </w:r>
    </w:p>
    <w:p>
      <w:pPr>
        <w:pStyle w:val="BodyText"/>
      </w:pPr>
      <w:r>
        <w:t xml:space="preserve">To further contextualize the scope and representativeness of our proteome, we</w:t>
      </w:r>
      <w:r>
        <w:t xml:space="preserve"> </w:t>
      </w:r>
      <w:r>
        <w:t xml:space="preserve">compared proteins detected in our carbon-starvation WT time course against those</w:t>
      </w:r>
      <w:r>
        <w:t xml:space="preserve"> </w:t>
      </w:r>
      <w:r>
        <w:t xml:space="preserve">reported by Paulo et al. (2015), who used density-gradient sedimentation to</w:t>
      </w:r>
      <w:r>
        <w:t xml:space="preserve"> </w:t>
      </w:r>
      <w:r>
        <w:t xml:space="preserve">characterize the quiescent</w:t>
      </w:r>
      <w:r>
        <w:t xml:space="preserve"> </w:t>
      </w:r>
      <w:r>
        <w:rPr>
          <w:i/>
          <w:iCs/>
        </w:rPr>
        <w:t xml:space="preserve">S. cerevisiae</w:t>
      </w:r>
      <w:r>
        <w:t xml:space="preserve"> </w:t>
      </w:r>
      <w:r>
        <w:t xml:space="preserve">proteome by label-free mass</w:t>
      </w:r>
      <w:r>
        <w:t xml:space="preserve"> </w:t>
      </w:r>
      <w:r>
        <w:t xml:space="preserve">spectrometry. Of the 1,228 proteins we detected in WT cells during carbon</w:t>
      </w:r>
      <w:r>
        <w:t xml:space="preserve"> </w:t>
      </w:r>
      <w:r>
        <w:t xml:space="preserve">starvation, 1,101 (90%) were also detected by Paulo et al. (2015), who reported</w:t>
      </w:r>
      <w:r>
        <w:t xml:space="preserve"> </w:t>
      </w:r>
      <w:r>
        <w:t xml:space="preserve">2,437 proteins in total. The proteins detected only by Paulo et al. are consistent</w:t>
      </w:r>
      <w:r>
        <w:t xml:space="preserve"> </w:t>
      </w:r>
      <w:r>
        <w:t xml:space="preserve">with the greater dynamic range achievable by label-free quantification relative to</w:t>
      </w:r>
      <w:r>
        <w:t xml:space="preserve"> </w:t>
      </w:r>
      <w:r>
        <w:t xml:space="preserve">SILAC, which uses a common mid-log spike-in reference that constrains the effective</w:t>
      </w:r>
      <w:r>
        <w:t xml:space="preserve"> </w:t>
      </w:r>
      <w:r>
        <w:t xml:space="preserve">detection range. To assess directional consistency, we compared proteins regulated</w:t>
      </w:r>
      <w:r>
        <w:t xml:space="preserve"> </w:t>
      </w:r>
      <w:r>
        <w:t xml:space="preserve">≥2-fold at 30 h against the quiescence-enriched and log-enriched protein sets of</w:t>
      </w:r>
      <w:r>
        <w:t xml:space="preserve"> </w:t>
      </w:r>
      <w:r>
        <w:t xml:space="preserve">Paulo et al. (2015). Of proteins upregulated ≥2-fold in our study (n = 58), 16</w:t>
      </w:r>
      <w:r>
        <w:t xml:space="preserve"> </w:t>
      </w:r>
      <w:r>
        <w:t xml:space="preserve">(28%) were also enriched ≥2-fold in quiescent cells by Paulo et al. (χ² = 91.1,</w:t>
      </w:r>
      <w:r>
        <w:t xml:space="preserve"> </w:t>
      </w:r>
      <w:r>
        <w:t xml:space="preserve">p = 1.4 × 10⁻²¹); of proteins downregulated ≥2-fold (n = 23), 9 (39%) were</w:t>
      </w:r>
      <w:r>
        <w:t xml:space="preserve"> </w:t>
      </w:r>
      <w:r>
        <w:t xml:space="preserve">enriched in log-phase cells by Paulo et al. — that is, they decrease during</w:t>
      </w:r>
      <w:r>
        <w:t xml:space="preserve"> </w:t>
      </w:r>
      <w:r>
        <w:t xml:space="preserve">quiescence in both studies (χ² = 20.3, p = 6.7 × 10⁻⁶). This highly significant</w:t>
      </w:r>
      <w:r>
        <w:t xml:space="preserve"> </w:t>
      </w:r>
      <w:r>
        <w:t xml:space="preserve">directional agreement between independent experimental approaches demonstrates that</w:t>
      </w:r>
      <w:r>
        <w:t xml:space="preserve"> </w:t>
      </w:r>
      <w:r>
        <w:t xml:space="preserve">our SILAC-based proteome captures the major protein abundance transitions</w:t>
      </w:r>
      <w:r>
        <w:t xml:space="preserve"> </w:t>
      </w:r>
      <w:r>
        <w:t xml:space="preserve">associated with quiescence entry. A detailed quantitative comparison, including</w:t>
      </w:r>
      <w:r>
        <w:t xml:space="preserve"> </w:t>
      </w:r>
      <w:r>
        <w:t xml:space="preserve">Paulo et al. fold-change values where available, is provided in Tables S25–S27.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2026-08-31T14:54:49Z</dcterms:created>
  <dcterms:modified xsi:type="dcterms:W3CDTF">2026-08-31T14:54:49Z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