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pPr>
      <w:r>
        <w:rPr>
          <w:rFonts w:ascii="Arial" w:cs="Arial" w:eastAsia="Arial" w:hAnsi="Arial"/>
          <w:b/>
          <w:bCs/>
          <w:color w:val="1A56DB"/>
          <w:sz w:val="72"/>
          <w:szCs w:val="72"/>
        </w:rPr>
        <w:t xml:space="preserve">AppAds</w:t>
      </w:r>
    </w:p>
    <w:p>
      <w:pPr>
        <w:spacing w:after="120" w:before="0"/>
      </w:pPr>
      <w:r>
        <w:rPr>
          <w:rFonts w:ascii="Arial" w:cs="Arial" w:eastAsia="Arial" w:hAnsi="Arial"/>
          <w:color w:val="111827"/>
          <w:sz w:val="36"/>
          <w:szCs w:val="36"/>
        </w:rPr>
        <w:t xml:space="preserve">Mobile App Advertising Platform</w:t>
      </w:r>
    </w:p>
    <w:p>
      <w:pPr>
        <w:spacing w:after="480" w:before="0"/>
      </w:pPr>
      <w:r>
        <w:rPr>
          <w:rFonts w:ascii="Arial" w:cs="Arial" w:eastAsia="Arial" w:hAnsi="Arial"/>
          <w:i/>
          <w:iCs/>
          <w:color w:val="6B7280"/>
          <w:sz w:val="24"/>
          <w:szCs w:val="24"/>
        </w:rPr>
        <w:t xml:space="preserve">Product Requirements Document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Arial" w:cs="Arial" w:eastAsia="Arial" w:hAnsi="Arial"/>
                <w:b/>
                <w:bCs/>
                <w:color w:val="1A56DB"/>
                <w:sz w:val="20"/>
                <w:szCs w:val="20"/>
              </w:rPr>
              <w:t xml:space="preserve">Product</w:t>
            </w:r>
          </w:p>
        </w:tc>
        <w:tc>
          <w:tcPr>
            <w:tcW w:type="dxa" w:w="7160"/>
            <w:tcBorders>
              <w:top w:val="single" w:color="BFDBFE" w:sz="1"/>
              <w:left w:val="single" w:color="BFDBFE" w:sz="1"/>
              <w:bottom w:val="single" w:color="BFDBFE" w:sz="1"/>
              <w:right w:val="single" w:color="BFDBFE" w:sz="1"/>
            </w:tcBorders>
            <w:tcMar>
              <w:top w:type="dxa" w:w="80"/>
              <w:left w:type="dxa" w:w="160"/>
              <w:bottom w:type="dxa" w:w="80"/>
              <w:right w:type="dxa" w:w="120"/>
            </w:tcMar>
          </w:tcPr>
          <w:p>
            <w:r>
              <w:rPr>
                <w:rFonts w:ascii="Arial" w:cs="Arial" w:eastAsia="Arial" w:hAnsi="Arial"/>
                <w:color w:val="111827"/>
                <w:sz w:val="20"/>
                <w:szCs w:val="20"/>
              </w:rPr>
              <w:t xml:space="preserve">AppAds — Search &amp; Discovery Ads</w:t>
            </w:r>
          </w:p>
        </w:tc>
      </w:tr>
      <w:tr>
        <w:tc>
          <w:tcPr>
            <w:tcW w:type="dxa" w:w="22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Arial" w:cs="Arial" w:eastAsia="Arial" w:hAnsi="Arial"/>
                <w:b/>
                <w:bCs/>
                <w:color w:val="1A56DB"/>
                <w:sz w:val="20"/>
                <w:szCs w:val="20"/>
              </w:rPr>
              <w:t xml:space="preserve">Version</w:t>
            </w:r>
          </w:p>
        </w:tc>
        <w:tc>
          <w:tcPr>
            <w:tcW w:type="dxa" w:w="7160"/>
            <w:tcBorders>
              <w:top w:val="single" w:color="BFDBFE" w:sz="1"/>
              <w:left w:val="single" w:color="BFDBFE" w:sz="1"/>
              <w:bottom w:val="single" w:color="BFDBFE" w:sz="1"/>
              <w:right w:val="single" w:color="BFDBFE" w:sz="1"/>
            </w:tcBorders>
            <w:tcMar>
              <w:top w:type="dxa" w:w="80"/>
              <w:left w:type="dxa" w:w="160"/>
              <w:bottom w:type="dxa" w:w="80"/>
              <w:right w:type="dxa" w:w="120"/>
            </w:tcMar>
          </w:tcPr>
          <w:p>
            <w:r>
              <w:rPr>
                <w:rFonts w:ascii="Arial" w:cs="Arial" w:eastAsia="Arial" w:hAnsi="Arial"/>
                <w:color w:val="111827"/>
                <w:sz w:val="20"/>
                <w:szCs w:val="20"/>
              </w:rPr>
              <w:t xml:space="preserve">1.0</w:t>
            </w:r>
          </w:p>
        </w:tc>
      </w:tr>
      <w:tr>
        <w:tc>
          <w:tcPr>
            <w:tcW w:type="dxa" w:w="22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Arial" w:cs="Arial" w:eastAsia="Arial" w:hAnsi="Arial"/>
                <w:b/>
                <w:bCs/>
                <w:color w:val="1A56DB"/>
                <w:sz w:val="20"/>
                <w:szCs w:val="20"/>
              </w:rPr>
              <w:t xml:space="preserve">Status</w:t>
            </w:r>
          </w:p>
        </w:tc>
        <w:tc>
          <w:tcPr>
            <w:tcW w:type="dxa" w:w="7160"/>
            <w:tcBorders>
              <w:top w:val="single" w:color="BFDBFE" w:sz="1"/>
              <w:left w:val="single" w:color="BFDBFE" w:sz="1"/>
              <w:bottom w:val="single" w:color="BFDBFE" w:sz="1"/>
              <w:right w:val="single" w:color="BFDBFE" w:sz="1"/>
            </w:tcBorders>
            <w:tcMar>
              <w:top w:type="dxa" w:w="80"/>
              <w:left w:type="dxa" w:w="160"/>
              <w:bottom w:type="dxa" w:w="80"/>
              <w:right w:type="dxa" w:w="120"/>
            </w:tcMar>
          </w:tcPr>
          <w:p>
            <w:r>
              <w:rPr>
                <w:rFonts w:ascii="Arial" w:cs="Arial" w:eastAsia="Arial" w:hAnsi="Arial"/>
                <w:color w:val="111827"/>
                <w:sz w:val="20"/>
                <w:szCs w:val="20"/>
              </w:rPr>
              <w:t xml:space="preserve">Draft — For Review</w:t>
            </w:r>
          </w:p>
        </w:tc>
      </w:tr>
      <w:tr>
        <w:tc>
          <w:tcPr>
            <w:tcW w:type="dxa" w:w="22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Arial" w:cs="Arial" w:eastAsia="Arial" w:hAnsi="Arial"/>
                <w:b/>
                <w:bCs/>
                <w:color w:val="1A56DB"/>
                <w:sz w:val="20"/>
                <w:szCs w:val="20"/>
              </w:rPr>
              <w:t xml:space="preserve">Owner</w:t>
            </w:r>
          </w:p>
        </w:tc>
        <w:tc>
          <w:tcPr>
            <w:tcW w:type="dxa" w:w="7160"/>
            <w:tcBorders>
              <w:top w:val="single" w:color="BFDBFE" w:sz="1"/>
              <w:left w:val="single" w:color="BFDBFE" w:sz="1"/>
              <w:bottom w:val="single" w:color="BFDBFE" w:sz="1"/>
              <w:right w:val="single" w:color="BFDBFE" w:sz="1"/>
            </w:tcBorders>
            <w:tcMar>
              <w:top w:type="dxa" w:w="80"/>
              <w:left w:type="dxa" w:w="160"/>
              <w:bottom w:type="dxa" w:w="80"/>
              <w:right w:type="dxa" w:w="120"/>
            </w:tcMar>
          </w:tcPr>
          <w:p>
            <w:r>
              <w:rPr>
                <w:rFonts w:ascii="Arial" w:cs="Arial" w:eastAsia="Arial" w:hAnsi="Arial"/>
                <w:color w:val="111827"/>
                <w:sz w:val="20"/>
                <w:szCs w:val="20"/>
              </w:rPr>
              <w:t xml:space="preserve">Product Team</w:t>
            </w:r>
          </w:p>
        </w:tc>
      </w:tr>
      <w:tr>
        <w:tc>
          <w:tcPr>
            <w:tcW w:type="dxa" w:w="22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Arial" w:cs="Arial" w:eastAsia="Arial" w:hAnsi="Arial"/>
                <w:b/>
                <w:bCs/>
                <w:color w:val="1A56DB"/>
                <w:sz w:val="20"/>
                <w:szCs w:val="20"/>
              </w:rPr>
              <w:t xml:space="preserve">Last Updated</w:t>
            </w:r>
          </w:p>
        </w:tc>
        <w:tc>
          <w:tcPr>
            <w:tcW w:type="dxa" w:w="7160"/>
            <w:tcBorders>
              <w:top w:val="single" w:color="BFDBFE" w:sz="1"/>
              <w:left w:val="single" w:color="BFDBFE" w:sz="1"/>
              <w:bottom w:val="single" w:color="BFDBFE" w:sz="1"/>
              <w:right w:val="single" w:color="BFDBFE" w:sz="1"/>
            </w:tcBorders>
            <w:tcMar>
              <w:top w:type="dxa" w:w="80"/>
              <w:left w:type="dxa" w:w="160"/>
              <w:bottom w:type="dxa" w:w="80"/>
              <w:right w:type="dxa" w:w="120"/>
            </w:tcMar>
          </w:tcPr>
          <w:p>
            <w:r>
              <w:rPr>
                <w:rFonts w:ascii="Arial" w:cs="Arial" w:eastAsia="Arial" w:hAnsi="Arial"/>
                <w:color w:val="111827"/>
                <w:sz w:val="20"/>
                <w:szCs w:val="20"/>
              </w:rPr>
              <w:t xml:space="preserve">April 28, 2026</w:t>
            </w:r>
          </w:p>
        </w:tc>
      </w:tr>
      <w:tr>
        <w:tc>
          <w:tcPr>
            <w:tcW w:type="dxa" w:w="2200"/>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20"/>
            </w:tcMar>
          </w:tcPr>
          <w:p>
            <w:r>
              <w:rPr>
                <w:rFonts w:ascii="Arial" w:cs="Arial" w:eastAsia="Arial" w:hAnsi="Arial"/>
                <w:b/>
                <w:bCs/>
                <w:color w:val="1A56DB"/>
                <w:sz w:val="20"/>
                <w:szCs w:val="20"/>
              </w:rPr>
              <w:t xml:space="preserve">Target Launch</w:t>
            </w:r>
          </w:p>
        </w:tc>
        <w:tc>
          <w:tcPr>
            <w:tcW w:type="dxa" w:w="7160"/>
            <w:tcBorders>
              <w:top w:val="single" w:color="BFDBFE" w:sz="1"/>
              <w:left w:val="single" w:color="BFDBFE" w:sz="1"/>
              <w:bottom w:val="single" w:color="BFDBFE" w:sz="1"/>
              <w:right w:val="single" w:color="BFDBFE" w:sz="1"/>
            </w:tcBorders>
            <w:tcMar>
              <w:top w:type="dxa" w:w="80"/>
              <w:left w:type="dxa" w:w="160"/>
              <w:bottom w:type="dxa" w:w="80"/>
              <w:right w:type="dxa" w:w="120"/>
            </w:tcMar>
          </w:tcPr>
          <w:p>
            <w:r>
              <w:rPr>
                <w:rFonts w:ascii="Arial" w:cs="Arial" w:eastAsia="Arial" w:hAnsi="Arial"/>
                <w:color w:val="111827"/>
                <w:sz w:val="20"/>
                <w:szCs w:val="20"/>
              </w:rPr>
              <w:t xml:space="preserve">Q3 2026</w:t>
            </w:r>
          </w:p>
        </w:tc>
      </w:tr>
    </w:tbl>
    <w:p>
      <w:pPr>
        <w:spacing w:after="60" w:before="60"/>
      </w:pPr>
      <w:r>
        <w:t xml:space="preserve"/>
      </w:r>
    </w:p>
    <w:p>
      <w:pPr>
        <w:spacing w:after="60" w:before="60"/>
      </w:pPr>
      <w:r>
        <w:t xml:space="preserve"/>
      </w:r>
    </w:p>
    <w:p>
      <w:pPr>
        <w:pStyle w:val="Heading1"/>
        <w:pBdr>
          <w:bottom w:val="single" w:color="1A56DB" w:sz="6" w:space="4"/>
        </w:pBdr>
        <w:spacing w:after="120" w:before="360"/>
      </w:pPr>
      <w:r>
        <w:rPr>
          <w:rFonts w:ascii="Arial" w:cs="Arial" w:eastAsia="Arial" w:hAnsi="Arial"/>
          <w:b/>
          <w:bCs/>
          <w:color w:val="1A56DB"/>
          <w:sz w:val="32"/>
          <w:szCs w:val="32"/>
        </w:rPr>
        <w:t xml:space="preserve">1. Executive Summary</w:t>
      </w:r>
    </w:p>
    <w:p>
      <w:pPr>
        <w:spacing w:after="80" w:before="80"/>
      </w:pPr>
      <w:r>
        <w:rPr>
          <w:rFonts w:ascii="Arial" w:cs="Arial" w:eastAsia="Arial" w:hAnsi="Arial"/>
          <w:color w:val="374151"/>
          <w:sz w:val="22"/>
          <w:szCs w:val="22"/>
        </w:rPr>
        <w:t xml:space="preserve">AppAds is a self-serve mobile app advertising platform that enables app developers and marketers to promote their apps across mobile search results and discovery surfaces. Inspired by Apple Search Ads, AppAds offers a focused, single-module campaign experience with keyword-based bidding, clean audience targeting, and transparent reporting — all within a simple, opinionated UI.</w:t>
      </w:r>
    </w:p>
    <w:p>
      <w:pPr>
        <w:spacing w:after="60" w:before="60"/>
      </w:pPr>
      <w:r>
        <w:t xml:space="preserve"/>
      </w:r>
    </w:p>
    <w:p>
      <w:pPr>
        <w:spacing w:after="80" w:before="80"/>
      </w:pPr>
      <w:r>
        <w:rPr>
          <w:rFonts w:ascii="Arial" w:cs="Arial" w:eastAsia="Arial" w:hAnsi="Arial"/>
          <w:color w:val="374151"/>
          <w:sz w:val="22"/>
          <w:szCs w:val="22"/>
        </w:rPr>
        <w:t xml:space="preserve">The platform's primary goal is to drive qualified installs for mobile apps by placing ads at the highest-intent moment: when a user is actively searching for an app to download.</w:t>
      </w:r>
    </w:p>
    <w:p>
      <w:pPr>
        <w:spacing w:after="60" w:before="60"/>
      </w:pPr>
      <w:r>
        <w:t xml:space="preserve"/>
      </w:r>
    </w:p>
    <w:p>
      <w:pPr>
        <w:pStyle w:val="Heading1"/>
        <w:pBdr>
          <w:bottom w:val="single" w:color="1A56DB" w:sz="6" w:space="4"/>
        </w:pBdr>
        <w:spacing w:after="120" w:before="360"/>
      </w:pPr>
      <w:r>
        <w:rPr>
          <w:rFonts w:ascii="Arial" w:cs="Arial" w:eastAsia="Arial" w:hAnsi="Arial"/>
          <w:b/>
          <w:bCs/>
          <w:color w:val="1A56DB"/>
          <w:sz w:val="32"/>
          <w:szCs w:val="32"/>
        </w:rPr>
        <w:t xml:space="preserve">2. Problem Statement</w:t>
      </w:r>
    </w:p>
    <w:p>
      <w:pPr>
        <w:pStyle w:val="Heading2"/>
        <w:spacing w:after="100" w:before="280"/>
      </w:pPr>
      <w:r>
        <w:rPr>
          <w:rFonts w:ascii="Arial" w:cs="Arial" w:eastAsia="Arial" w:hAnsi="Arial"/>
          <w:b/>
          <w:bCs/>
          <w:color w:val="111827"/>
          <w:sz w:val="26"/>
          <w:szCs w:val="26"/>
        </w:rPr>
        <w:t xml:space="preserve">2.1 Context</w:t>
      </w:r>
    </w:p>
    <w:p>
      <w:pPr>
        <w:spacing w:after="80" w:before="80"/>
      </w:pPr>
      <w:r>
        <w:rPr>
          <w:rFonts w:ascii="Arial" w:cs="Arial" w:eastAsia="Arial" w:hAnsi="Arial"/>
          <w:color w:val="374151"/>
          <w:sz w:val="22"/>
          <w:szCs w:val="22"/>
        </w:rPr>
        <w:t xml:space="preserve">App stores receive hundreds of millions of search queries daily. Developers who build great apps often lack visibility in organic results due to competition and algorithm opacity. Existing ad platforms (Meta, Google UAC) are complex, require large budgets to learn, and mix search intent with broad audience targeting.</w:t>
      </w:r>
    </w:p>
    <w:p>
      <w:pPr>
        <w:spacing w:after="60" w:before="60"/>
      </w:pPr>
      <w:r>
        <w:t xml:space="preserve"/>
      </w:r>
    </w:p>
    <w:p>
      <w:pPr>
        <w:pStyle w:val="Heading2"/>
        <w:spacing w:after="100" w:before="280"/>
      </w:pPr>
      <w:r>
        <w:rPr>
          <w:rFonts w:ascii="Arial" w:cs="Arial" w:eastAsia="Arial" w:hAnsi="Arial"/>
          <w:b/>
          <w:bCs/>
          <w:color w:val="111827"/>
          <w:sz w:val="26"/>
          <w:szCs w:val="26"/>
        </w:rPr>
        <w:t xml:space="preserve">2.2 Pain Points</w:t>
      </w:r>
    </w:p>
    <w:p>
      <w:pPr>
        <w:pStyle w:val="ListParagraph"/>
        <w:numPr>
          <w:ilvl w:val="0"/>
          <w:numId w:val="2"/>
        </w:numPr>
        <w:spacing w:after="60" w:before="60"/>
      </w:pPr>
      <w:r>
        <w:rPr>
          <w:rFonts w:ascii="Arial" w:cs="Arial" w:eastAsia="Arial" w:hAnsi="Arial"/>
          <w:color w:val="374151"/>
          <w:sz w:val="22"/>
          <w:szCs w:val="22"/>
        </w:rPr>
        <w:t xml:space="preserve">Developers find existing platforms too complex for solo operators and small teams.</w:t>
      </w:r>
    </w:p>
    <w:p>
      <w:pPr>
        <w:pStyle w:val="ListParagraph"/>
        <w:numPr>
          <w:ilvl w:val="0"/>
          <w:numId w:val="2"/>
        </w:numPr>
        <w:spacing w:after="60" w:before="60"/>
      </w:pPr>
      <w:r>
        <w:rPr>
          <w:rFonts w:ascii="Arial" w:cs="Arial" w:eastAsia="Arial" w:hAnsi="Arial"/>
          <w:color w:val="374151"/>
          <w:sz w:val="22"/>
          <w:szCs w:val="22"/>
        </w:rPr>
        <w:t xml:space="preserve">No simple, search-intent-focused ad solution exists outside Apple's own ecosystem.</w:t>
      </w:r>
    </w:p>
    <w:p>
      <w:pPr>
        <w:pStyle w:val="ListParagraph"/>
        <w:numPr>
          <w:ilvl w:val="0"/>
          <w:numId w:val="2"/>
        </w:numPr>
        <w:spacing w:after="60" w:before="60"/>
      </w:pPr>
      <w:r>
        <w:rPr>
          <w:rFonts w:ascii="Arial" w:cs="Arial" w:eastAsia="Arial" w:hAnsi="Arial"/>
          <w:color w:val="374151"/>
          <w:sz w:val="22"/>
          <w:szCs w:val="22"/>
        </w:rPr>
        <w:t xml:space="preserve">Attribution and spend transparency are poor across most mobile ad networks.</w:t>
      </w:r>
    </w:p>
    <w:p>
      <w:pPr>
        <w:pStyle w:val="ListParagraph"/>
        <w:numPr>
          <w:ilvl w:val="0"/>
          <w:numId w:val="2"/>
        </w:numPr>
        <w:spacing w:after="60" w:before="60"/>
      </w:pPr>
      <w:r>
        <w:rPr>
          <w:rFonts w:ascii="Arial" w:cs="Arial" w:eastAsia="Arial" w:hAnsi="Arial"/>
          <w:color w:val="374151"/>
          <w:sz w:val="22"/>
          <w:szCs w:val="22"/>
        </w:rPr>
        <w:t xml:space="preserve">Minimum viable campaign setup often takes hours rather than minutes.</w:t>
      </w:r>
    </w:p>
    <w:p>
      <w:pPr>
        <w:spacing w:after="60" w:before="60"/>
      </w:pPr>
      <w:r>
        <w:t xml:space="preserve"/>
      </w:r>
    </w:p>
    <w:p>
      <w:pPr>
        <w:pStyle w:val="Heading2"/>
        <w:spacing w:after="100" w:before="280"/>
      </w:pPr>
      <w:r>
        <w:rPr>
          <w:rFonts w:ascii="Arial" w:cs="Arial" w:eastAsia="Arial" w:hAnsi="Arial"/>
          <w:b/>
          <w:bCs/>
          <w:color w:val="111827"/>
          <w:sz w:val="26"/>
          <w:szCs w:val="26"/>
        </w:rPr>
        <w:t xml:space="preserve">2.3 Opportunity</w:t>
      </w:r>
    </w:p>
    <w:p>
      <w:pPr>
        <w:spacing w:after="80" w:before="80"/>
      </w:pPr>
      <w:r>
        <w:rPr>
          <w:rFonts w:ascii="Arial" w:cs="Arial" w:eastAsia="Arial" w:hAnsi="Arial"/>
          <w:color w:val="374151"/>
          <w:sz w:val="22"/>
          <w:szCs w:val="22"/>
        </w:rPr>
        <w:t xml:space="preserve">A lean, purpose-built platform that mirrors the simplicity of Apple Search Ads — but as a standalone, cross-platform product — can capture a significant share of the developer community looking for high-intent, low-friction app promotion.</w:t>
      </w:r>
    </w:p>
    <w:p>
      <w:pPr>
        <w:spacing w:after="60" w:before="60"/>
      </w:pPr>
      <w:r>
        <w:t xml:space="preserve"/>
      </w:r>
    </w:p>
    <w:p>
      <w:pPr>
        <w:pStyle w:val="Heading1"/>
        <w:pBdr>
          <w:bottom w:val="single" w:color="1A56DB" w:sz="6" w:space="4"/>
        </w:pBdr>
        <w:spacing w:after="120" w:before="360"/>
      </w:pPr>
      <w:r>
        <w:rPr>
          <w:rFonts w:ascii="Arial" w:cs="Arial" w:eastAsia="Arial" w:hAnsi="Arial"/>
          <w:b/>
          <w:bCs/>
          <w:color w:val="1A56DB"/>
          <w:sz w:val="32"/>
          <w:szCs w:val="32"/>
        </w:rPr>
        <w:t xml:space="preserve">3. Goals &amp; Success Metrics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BFDBFE" w:sz="1"/>
              <w:left w:val="single" w:color="BFDBFE" w:sz="1"/>
              <w:bottom w:val="single" w:color="BFDBFE" w:sz="1"/>
              <w:right w:val="single" w:color="BFDBFE" w:sz="1"/>
            </w:tcBorders>
            <w:shd w:fill="1A56DB" w:val="clear"/>
            <w:tcMar>
              <w:top w:type="dxa" w:w="80"/>
              <w:left w:type="dxa" w:w="160"/>
              <w:bottom w:type="dxa" w:w="80"/>
              <w:right w:type="dxa" w:w="120"/>
            </w:tcMar>
          </w:tcPr>
          <w:p>
            <w:r>
              <w:rPr>
                <w:rFonts w:ascii="Arial" w:cs="Arial" w:eastAsia="Arial" w:hAnsi="Arial"/>
                <w:b/>
                <w:bCs/>
                <w:color w:val="FFFFFF"/>
                <w:sz w:val="20"/>
                <w:szCs w:val="20"/>
              </w:rPr>
              <w:t xml:space="preserve">Goal</w:t>
            </w:r>
          </w:p>
        </w:tc>
        <w:tc>
          <w:tcPr>
            <w:tcW w:type="dxa" w:w="3360"/>
            <w:tcBorders>
              <w:top w:val="single" w:color="BFDBFE" w:sz="1"/>
              <w:left w:val="single" w:color="BFDBFE" w:sz="1"/>
              <w:bottom w:val="single" w:color="BFDBFE" w:sz="1"/>
              <w:right w:val="single" w:color="BFDBFE" w:sz="1"/>
            </w:tcBorders>
            <w:shd w:fill="1A56DB" w:val="clear"/>
            <w:tcMar>
              <w:top w:type="dxa" w:w="80"/>
              <w:left w:type="dxa" w:w="16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BFDBFE" w:sz="1"/>
              <w:left w:val="single" w:color="BFDBFE" w:sz="1"/>
              <w:bottom w:val="single" w:color="BFDBFE" w:sz="1"/>
              <w:right w:val="single" w:color="BFDBFE" w:sz="1"/>
            </w:tcBorders>
            <w:shd w:fill="1A56DB" w:val="clear"/>
            <w:tcMar>
              <w:top w:type="dxa" w:w="80"/>
              <w:left w:type="dxa" w:w="160"/>
              <w:bottom w:type="dxa" w:w="80"/>
              <w:right w:type="dxa" w:w="120"/>
            </w:tcMar>
          </w:tcPr>
          <w:p>
            <w:r>
              <w:rPr>
                <w:rFonts w:ascii="Arial" w:cs="Arial" w:eastAsia="Arial" w:hAnsi="Arial"/>
                <w:b/>
                <w:bCs/>
                <w:color w:val="FFFFFF"/>
                <w:sz w:val="20"/>
                <w:szCs w:val="20"/>
              </w:rPr>
              <w:t xml:space="preserve">Target (6 months post-launch)</w:t>
            </w:r>
          </w:p>
        </w:tc>
      </w:tr>
      <w:tr>
        <w:tc>
          <w:tcPr>
            <w:tcW w:type="dxa" w:w="36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Advertiser adoption</w:t>
            </w:r>
          </w:p>
        </w:tc>
        <w:tc>
          <w:tcPr>
            <w:tcW w:type="dxa" w:w="3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Registered advertisers</w:t>
            </w:r>
          </w:p>
        </w:tc>
        <w:tc>
          <w:tcPr>
            <w:tcW w:type="dxa" w:w="24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5,000 accounts</w:t>
            </w:r>
          </w:p>
        </w:tc>
      </w:tr>
      <w:tr>
        <w:tc>
          <w:tcPr>
            <w:tcW w:type="dxa" w:w="36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Campaign activation</w:t>
            </w:r>
          </w:p>
        </w:tc>
        <w:tc>
          <w:tcPr>
            <w:tcW w:type="dxa" w:w="336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Active campaigns / advertiser</w:t>
            </w:r>
          </w:p>
        </w:tc>
        <w:tc>
          <w:tcPr>
            <w:tcW w:type="dxa" w:w="24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&gt;1.5 average</w:t>
            </w:r>
          </w:p>
        </w:tc>
      </w:tr>
      <w:tr>
        <w:tc>
          <w:tcPr>
            <w:tcW w:type="dxa" w:w="36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Install quality</w:t>
            </w:r>
          </w:p>
        </w:tc>
        <w:tc>
          <w:tcPr>
            <w:tcW w:type="dxa" w:w="3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Day-7 retention of ad-driven installs</w:t>
            </w:r>
          </w:p>
        </w:tc>
        <w:tc>
          <w:tcPr>
            <w:tcW w:type="dxa" w:w="24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&gt;30%</w:t>
            </w:r>
          </w:p>
        </w:tc>
      </w:tr>
      <w:tr>
        <w:tc>
          <w:tcPr>
            <w:tcW w:type="dxa" w:w="36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Platform revenue</w:t>
            </w:r>
          </w:p>
        </w:tc>
        <w:tc>
          <w:tcPr>
            <w:tcW w:type="dxa" w:w="336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Monthly ad spend processed</w:t>
            </w:r>
          </w:p>
        </w:tc>
        <w:tc>
          <w:tcPr>
            <w:tcW w:type="dxa" w:w="24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$500K MRR</w:t>
            </w:r>
          </w:p>
        </w:tc>
      </w:tr>
      <w:tr>
        <w:tc>
          <w:tcPr>
            <w:tcW w:type="dxa" w:w="36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Ease of setup</w:t>
            </w:r>
          </w:p>
        </w:tc>
        <w:tc>
          <w:tcPr>
            <w:tcW w:type="dxa" w:w="3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Time to first live campaign</w:t>
            </w:r>
          </w:p>
        </w:tc>
        <w:tc>
          <w:tcPr>
            <w:tcW w:type="dxa" w:w="24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&lt;10 minutes</w:t>
            </w:r>
          </w:p>
        </w:tc>
      </w:tr>
      <w:tr>
        <w:tc>
          <w:tcPr>
            <w:tcW w:type="dxa" w:w="36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Transparency</w:t>
            </w:r>
          </w:p>
        </w:tc>
        <w:tc>
          <w:tcPr>
            <w:tcW w:type="dxa" w:w="336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Advertiser NPS</w:t>
            </w:r>
          </w:p>
        </w:tc>
        <w:tc>
          <w:tcPr>
            <w:tcW w:type="dxa" w:w="24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&gt;45</w:t>
            </w:r>
          </w:p>
        </w:tc>
      </w:tr>
    </w:tbl>
    <w:p>
      <w:pPr>
        <w:spacing w:after="60" w:before="60"/>
      </w:pPr>
      <w:r>
        <w:t xml:space="preserve"/>
      </w:r>
    </w:p>
    <w:p>
      <w:pPr>
        <w:pStyle w:val="Heading1"/>
        <w:pBdr>
          <w:bottom w:val="single" w:color="1A56DB" w:sz="6" w:space="4"/>
        </w:pBdr>
        <w:spacing w:after="120" w:before="360"/>
      </w:pPr>
      <w:r>
        <w:rPr>
          <w:rFonts w:ascii="Arial" w:cs="Arial" w:eastAsia="Arial" w:hAnsi="Arial"/>
          <w:b/>
          <w:bCs/>
          <w:color w:val="1A56DB"/>
          <w:sz w:val="32"/>
          <w:szCs w:val="32"/>
        </w:rPr>
        <w:t xml:space="preserve">4. Scope</w:t>
      </w:r>
    </w:p>
    <w:p>
      <w:pPr>
        <w:pStyle w:val="Heading2"/>
        <w:spacing w:after="100" w:before="280"/>
      </w:pPr>
      <w:r>
        <w:rPr>
          <w:rFonts w:ascii="Arial" w:cs="Arial" w:eastAsia="Arial" w:hAnsi="Arial"/>
          <w:b/>
          <w:bCs/>
          <w:color w:val="111827"/>
          <w:sz w:val="26"/>
          <w:szCs w:val="26"/>
        </w:rPr>
        <w:t xml:space="preserve">4.1 In Scope — v1.0</w:t>
      </w:r>
    </w:p>
    <w:p>
      <w:pPr>
        <w:pStyle w:val="ListParagraph"/>
        <w:numPr>
          <w:ilvl w:val="0"/>
          <w:numId w:val="2"/>
        </w:numPr>
        <w:spacing w:after="60" w:before="60"/>
      </w:pPr>
      <w:r>
        <w:rPr>
          <w:rFonts w:ascii="Arial" w:cs="Arial" w:eastAsia="Arial" w:hAnsi="Arial"/>
          <w:color w:val="374151"/>
          <w:sz w:val="22"/>
          <w:szCs w:val="22"/>
        </w:rPr>
        <w:t xml:space="preserve">Single campaign module: Search Ads (keyword-intent based)</w:t>
      </w:r>
    </w:p>
    <w:p>
      <w:pPr>
        <w:pStyle w:val="ListParagraph"/>
        <w:numPr>
          <w:ilvl w:val="0"/>
          <w:numId w:val="2"/>
        </w:numPr>
        <w:spacing w:after="60" w:before="60"/>
      </w:pPr>
      <w:r>
        <w:rPr>
          <w:rFonts w:ascii="Arial" w:cs="Arial" w:eastAsia="Arial" w:hAnsi="Arial"/>
          <w:color w:val="374151"/>
          <w:sz w:val="22"/>
          <w:szCs w:val="22"/>
        </w:rPr>
        <w:t xml:space="preserve">Self-serve campaign creation and management dashboard</w:t>
      </w:r>
    </w:p>
    <w:p>
      <w:pPr>
        <w:pStyle w:val="ListParagraph"/>
        <w:numPr>
          <w:ilvl w:val="0"/>
          <w:numId w:val="2"/>
        </w:numPr>
        <w:spacing w:after="60" w:before="60"/>
      </w:pPr>
      <w:r>
        <w:rPr>
          <w:rFonts w:ascii="Arial" w:cs="Arial" w:eastAsia="Arial" w:hAnsi="Arial"/>
          <w:color w:val="374151"/>
          <w:sz w:val="22"/>
          <w:szCs w:val="22"/>
        </w:rPr>
        <w:t xml:space="preserve">Keyword bidding with CPC (Cost-Per-Click) and CPT (Cost-Per-Tap) models</w:t>
      </w:r>
    </w:p>
    <w:p>
      <w:pPr>
        <w:pStyle w:val="ListParagraph"/>
        <w:numPr>
          <w:ilvl w:val="0"/>
          <w:numId w:val="2"/>
        </w:numPr>
        <w:spacing w:after="60" w:before="60"/>
      </w:pPr>
      <w:r>
        <w:rPr>
          <w:rFonts w:ascii="Arial" w:cs="Arial" w:eastAsia="Arial" w:hAnsi="Arial"/>
          <w:color w:val="374151"/>
          <w:sz w:val="22"/>
          <w:szCs w:val="22"/>
        </w:rPr>
        <w:t xml:space="preserve">Audience filters: age range, device type, country/region</w:t>
      </w:r>
    </w:p>
    <w:p>
      <w:pPr>
        <w:pStyle w:val="ListParagraph"/>
        <w:numPr>
          <w:ilvl w:val="0"/>
          <w:numId w:val="2"/>
        </w:numPr>
        <w:spacing w:after="60" w:before="60"/>
      </w:pPr>
      <w:r>
        <w:rPr>
          <w:rFonts w:ascii="Arial" w:cs="Arial" w:eastAsia="Arial" w:hAnsi="Arial"/>
          <w:color w:val="374151"/>
          <w:sz w:val="22"/>
          <w:szCs w:val="22"/>
        </w:rPr>
        <w:t xml:space="preserve">Basic creative: app icon + name + subtitle (pulled from store listing)</w:t>
      </w:r>
    </w:p>
    <w:p>
      <w:pPr>
        <w:pStyle w:val="ListParagraph"/>
        <w:numPr>
          <w:ilvl w:val="0"/>
          <w:numId w:val="2"/>
        </w:numPr>
        <w:spacing w:after="60" w:before="60"/>
      </w:pPr>
      <w:r>
        <w:rPr>
          <w:rFonts w:ascii="Arial" w:cs="Arial" w:eastAsia="Arial" w:hAnsi="Arial"/>
          <w:color w:val="374151"/>
          <w:sz w:val="22"/>
          <w:szCs w:val="22"/>
        </w:rPr>
        <w:t xml:space="preserve">Real-time spend, impression, tap, and install reporting</w:t>
      </w:r>
    </w:p>
    <w:p>
      <w:pPr>
        <w:pStyle w:val="ListParagraph"/>
        <w:numPr>
          <w:ilvl w:val="0"/>
          <w:numId w:val="2"/>
        </w:numPr>
        <w:spacing w:after="60" w:before="60"/>
      </w:pPr>
      <w:r>
        <w:rPr>
          <w:rFonts w:ascii="Arial" w:cs="Arial" w:eastAsia="Arial" w:hAnsi="Arial"/>
          <w:color w:val="374151"/>
          <w:sz w:val="22"/>
          <w:szCs w:val="22"/>
        </w:rPr>
        <w:t xml:space="preserve">Daily budget and total budget caps</w:t>
      </w:r>
    </w:p>
    <w:p>
      <w:pPr>
        <w:pStyle w:val="ListParagraph"/>
        <w:numPr>
          <w:ilvl w:val="0"/>
          <w:numId w:val="2"/>
        </w:numPr>
        <w:spacing w:after="60" w:before="60"/>
      </w:pPr>
      <w:r>
        <w:rPr>
          <w:rFonts w:ascii="Arial" w:cs="Arial" w:eastAsia="Arial" w:hAnsi="Arial"/>
          <w:color w:val="374151"/>
          <w:sz w:val="22"/>
          <w:szCs w:val="22"/>
        </w:rPr>
        <w:t xml:space="preserve">Advertiser billing: credit card and prepaid balance</w:t>
      </w:r>
    </w:p>
    <w:p>
      <w:pPr>
        <w:spacing w:after="60" w:before="60"/>
      </w:pPr>
      <w:r>
        <w:t xml:space="preserve"/>
      </w:r>
    </w:p>
    <w:p>
      <w:pPr>
        <w:pStyle w:val="Heading2"/>
        <w:spacing w:after="100" w:before="280"/>
      </w:pPr>
      <w:r>
        <w:rPr>
          <w:rFonts w:ascii="Arial" w:cs="Arial" w:eastAsia="Arial" w:hAnsi="Arial"/>
          <w:b/>
          <w:bCs/>
          <w:color w:val="111827"/>
          <w:sz w:val="26"/>
          <w:szCs w:val="26"/>
        </w:rPr>
        <w:t xml:space="preserve">4.2 Out of Scope — Future Phases</w:t>
      </w:r>
    </w:p>
    <w:p>
      <w:pPr>
        <w:pStyle w:val="ListParagraph"/>
        <w:numPr>
          <w:ilvl w:val="0"/>
          <w:numId w:val="2"/>
        </w:numPr>
        <w:spacing w:after="60" w:before="60"/>
      </w:pPr>
      <w:r>
        <w:rPr>
          <w:rFonts w:ascii="Arial" w:cs="Arial" w:eastAsia="Arial" w:hAnsi="Arial"/>
          <w:color w:val="374151"/>
          <w:sz w:val="22"/>
          <w:szCs w:val="22"/>
        </w:rPr>
        <w:t xml:space="preserve">Display / banner ad formats</w:t>
      </w:r>
    </w:p>
    <w:p>
      <w:pPr>
        <w:pStyle w:val="ListParagraph"/>
        <w:numPr>
          <w:ilvl w:val="0"/>
          <w:numId w:val="2"/>
        </w:numPr>
        <w:spacing w:after="60" w:before="60"/>
      </w:pPr>
      <w:r>
        <w:rPr>
          <w:rFonts w:ascii="Arial" w:cs="Arial" w:eastAsia="Arial" w:hAnsi="Arial"/>
          <w:color w:val="374151"/>
          <w:sz w:val="22"/>
          <w:szCs w:val="22"/>
        </w:rPr>
        <w:t xml:space="preserve">Video ad creatives</w:t>
      </w:r>
    </w:p>
    <w:p>
      <w:pPr>
        <w:pStyle w:val="ListParagraph"/>
        <w:numPr>
          <w:ilvl w:val="0"/>
          <w:numId w:val="2"/>
        </w:numPr>
        <w:spacing w:after="60" w:before="60"/>
      </w:pPr>
      <w:r>
        <w:rPr>
          <w:rFonts w:ascii="Arial" w:cs="Arial" w:eastAsia="Arial" w:hAnsi="Arial"/>
          <w:color w:val="374151"/>
          <w:sz w:val="22"/>
          <w:szCs w:val="22"/>
        </w:rPr>
        <w:t xml:space="preserve">Programmatic / RTB bidding</w:t>
      </w:r>
    </w:p>
    <w:p>
      <w:pPr>
        <w:pStyle w:val="ListParagraph"/>
        <w:numPr>
          <w:ilvl w:val="0"/>
          <w:numId w:val="2"/>
        </w:numPr>
        <w:spacing w:after="60" w:before="60"/>
      </w:pPr>
      <w:r>
        <w:rPr>
          <w:rFonts w:ascii="Arial" w:cs="Arial" w:eastAsia="Arial" w:hAnsi="Arial"/>
          <w:color w:val="374151"/>
          <w:sz w:val="22"/>
          <w:szCs w:val="22"/>
        </w:rPr>
        <w:t xml:space="preserve">Audience retargeting and lookalike audiences</w:t>
      </w:r>
    </w:p>
    <w:p>
      <w:pPr>
        <w:pStyle w:val="ListParagraph"/>
        <w:numPr>
          <w:ilvl w:val="0"/>
          <w:numId w:val="2"/>
        </w:numPr>
        <w:spacing w:after="60" w:before="60"/>
      </w:pPr>
      <w:r>
        <w:rPr>
          <w:rFonts w:ascii="Arial" w:cs="Arial" w:eastAsia="Arial" w:hAnsi="Arial"/>
          <w:color w:val="374151"/>
          <w:sz w:val="22"/>
          <w:szCs w:val="22"/>
        </w:rPr>
        <w:t xml:space="preserve">Third-party MMP deep integrations (AppsFlyer, Adjust) — v2</w:t>
      </w:r>
    </w:p>
    <w:p>
      <w:pPr>
        <w:pStyle w:val="ListParagraph"/>
        <w:numPr>
          <w:ilvl w:val="0"/>
          <w:numId w:val="2"/>
        </w:numPr>
        <w:spacing w:after="60" w:before="60"/>
      </w:pPr>
      <w:r>
        <w:rPr>
          <w:rFonts w:ascii="Arial" w:cs="Arial" w:eastAsia="Arial" w:hAnsi="Arial"/>
          <w:color w:val="374151"/>
          <w:sz w:val="22"/>
          <w:szCs w:val="22"/>
        </w:rPr>
        <w:t xml:space="preserve">Agency / multi-account management</w:t>
      </w:r>
    </w:p>
    <w:p>
      <w:pPr>
        <w:spacing w:after="60" w:before="60"/>
      </w:pPr>
      <w:r>
        <w:t xml:space="preserve"/>
      </w:r>
    </w:p>
    <w:p>
      <w:pPr>
        <w:pStyle w:val="Heading1"/>
        <w:pBdr>
          <w:bottom w:val="single" w:color="1A56DB" w:sz="6" w:space="4"/>
        </w:pBdr>
        <w:spacing w:after="120" w:before="360"/>
      </w:pPr>
      <w:r>
        <w:rPr>
          <w:rFonts w:ascii="Arial" w:cs="Arial" w:eastAsia="Arial" w:hAnsi="Arial"/>
          <w:b/>
          <w:bCs/>
          <w:color w:val="1A56DB"/>
          <w:sz w:val="32"/>
          <w:szCs w:val="32"/>
        </w:rPr>
        <w:t xml:space="preserve">5. User Personas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BFDBFE" w:sz="1"/>
              <w:left w:val="single" w:color="BFDBFE" w:sz="1"/>
              <w:bottom w:val="single" w:color="BFDBFE" w:sz="1"/>
              <w:right w:val="single" w:color="BFDBFE" w:sz="1"/>
            </w:tcBorders>
            <w:shd w:fill="1A56DB" w:val="clear"/>
            <w:tcMar>
              <w:top w:type="dxa" w:w="80"/>
              <w:left w:type="dxa" w:w="160"/>
              <w:bottom w:type="dxa" w:w="80"/>
              <w:right w:type="dxa" w:w="120"/>
            </w:tcMar>
          </w:tcPr>
          <w:p>
            <w:r>
              <w:rPr>
                <w:rFonts w:ascii="Arial" w:cs="Arial" w:eastAsia="Arial" w:hAnsi="Arial"/>
                <w:b/>
                <w:bCs/>
                <w:color w:val="FFFFFF"/>
                <w:sz w:val="20"/>
                <w:szCs w:val="20"/>
              </w:rPr>
              <w:t xml:space="preserve">Persona</w:t>
            </w:r>
          </w:p>
        </w:tc>
        <w:tc>
          <w:tcPr>
            <w:tcW w:type="dxa" w:w="4560"/>
            <w:tcBorders>
              <w:top w:val="single" w:color="BFDBFE" w:sz="1"/>
              <w:left w:val="single" w:color="BFDBFE" w:sz="1"/>
              <w:bottom w:val="single" w:color="BFDBFE" w:sz="1"/>
              <w:right w:val="single" w:color="BFDBFE" w:sz="1"/>
            </w:tcBorders>
            <w:shd w:fill="1A56DB" w:val="clear"/>
            <w:tcMar>
              <w:top w:type="dxa" w:w="80"/>
              <w:left w:type="dxa" w:w="16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BFDBFE" w:sz="1"/>
              <w:left w:val="single" w:color="BFDBFE" w:sz="1"/>
              <w:bottom w:val="single" w:color="BFDBFE" w:sz="1"/>
              <w:right w:val="single" w:color="BFDBFE" w:sz="1"/>
            </w:tcBorders>
            <w:shd w:fill="1A56DB" w:val="clear"/>
            <w:tcMar>
              <w:top w:type="dxa" w:w="80"/>
              <w:left w:type="dxa" w:w="160"/>
              <w:bottom w:type="dxa" w:w="80"/>
              <w:right w:type="dxa" w:w="120"/>
            </w:tcMar>
          </w:tcPr>
          <w:p>
            <w:r>
              <w:rPr>
                <w:rFonts w:ascii="Arial" w:cs="Arial" w:eastAsia="Arial" w:hAnsi="Arial"/>
                <w:b/>
                <w:bCs/>
                <w:color w:val="FFFFFF"/>
                <w:sz w:val="20"/>
                <w:szCs w:val="20"/>
              </w:rPr>
              <w:t xml:space="preserve">Primary Need</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Indie Developer</w:t>
            </w:r>
          </w:p>
        </w:tc>
        <w:tc>
          <w:tcPr>
            <w:tcW w:type="dxa" w:w="4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Solo dev or tiny team, first ad campaign</w:t>
            </w:r>
          </w:p>
        </w:tc>
        <w:tc>
          <w:tcPr>
            <w:tcW w:type="dxa" w:w="2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Simple setup, predictable costs</w:t>
            </w:r>
          </w:p>
        </w:tc>
      </w:tr>
      <w:tr>
        <w:tc>
          <w:tcPr>
            <w:tcW w:type="dxa" w:w="20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Growth Marketer</w:t>
            </w:r>
          </w:p>
        </w:tc>
        <w:tc>
          <w:tcPr>
            <w:tcW w:type="dxa" w:w="456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Works at a startup, manages UA budget</w:t>
            </w:r>
          </w:p>
        </w:tc>
        <w:tc>
          <w:tcPr>
            <w:tcW w:type="dxa" w:w="28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Keyword strategy, conversion data</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Agency Manager</w:t>
            </w:r>
          </w:p>
        </w:tc>
        <w:tc>
          <w:tcPr>
            <w:tcW w:type="dxa" w:w="45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Runs campaigns for multiple app clients</w:t>
            </w:r>
          </w:p>
        </w:tc>
        <w:tc>
          <w:tcPr>
            <w:tcW w:type="dxa" w:w="2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Account switching, exportable reports</w:t>
            </w:r>
          </w:p>
        </w:tc>
      </w:tr>
      <w:tr>
        <w:tc>
          <w:tcPr>
            <w:tcW w:type="dxa" w:w="20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Enterprise UA Lead</w:t>
            </w:r>
          </w:p>
        </w:tc>
        <w:tc>
          <w:tcPr>
            <w:tcW w:type="dxa" w:w="456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Large publisher, heavy spend</w:t>
            </w:r>
          </w:p>
        </w:tc>
        <w:tc>
          <w:tcPr>
            <w:tcW w:type="dxa" w:w="28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Bid automation, volume discounts</w:t>
            </w:r>
          </w:p>
        </w:tc>
      </w:tr>
    </w:tbl>
    <w:p>
      <w:pPr>
        <w:spacing w:after="60" w:before="60"/>
      </w:pPr>
      <w:r>
        <w:t xml:space="preserve"/>
      </w:r>
    </w:p>
    <w:p>
      <w:pPr>
        <w:spacing w:after="80" w:before="80"/>
      </w:pPr>
      <w:r>
        <w:rPr>
          <w:rFonts w:ascii="Arial" w:cs="Arial" w:eastAsia="Arial" w:hAnsi="Arial"/>
          <w:color w:val="374151"/>
          <w:sz w:val="22"/>
          <w:szCs w:val="22"/>
        </w:rPr>
        <w:t xml:space="preserve">v1.0 is optimized for Indie Developers and Growth Marketers. Enterprise and Agency needs are noted for v2.</w:t>
      </w:r>
    </w:p>
    <w:p>
      <w:pPr>
        <w:spacing w:after="60" w:before="60"/>
      </w:pPr>
      <w:r>
        <w:t xml:space="preserve"/>
      </w:r>
    </w:p>
    <w:p>
      <w:pPr>
        <w:pStyle w:val="Heading1"/>
        <w:pBdr>
          <w:bottom w:val="single" w:color="1A56DB" w:sz="6" w:space="4"/>
        </w:pBdr>
        <w:spacing w:after="120" w:before="360"/>
      </w:pPr>
      <w:r>
        <w:rPr>
          <w:rFonts w:ascii="Arial" w:cs="Arial" w:eastAsia="Arial" w:hAnsi="Arial"/>
          <w:b/>
          <w:bCs/>
          <w:color w:val="1A56DB"/>
          <w:sz w:val="32"/>
          <w:szCs w:val="32"/>
        </w:rPr>
        <w:t xml:space="preserve">6. Feature Requirements</w:t>
      </w:r>
    </w:p>
    <w:p>
      <w:pPr>
        <w:pStyle w:val="Heading2"/>
        <w:spacing w:after="100" w:before="280"/>
      </w:pPr>
      <w:r>
        <w:rPr>
          <w:rFonts w:ascii="Arial" w:cs="Arial" w:eastAsia="Arial" w:hAnsi="Arial"/>
          <w:b/>
          <w:bCs/>
          <w:color w:val="111827"/>
          <w:sz w:val="26"/>
          <w:szCs w:val="26"/>
        </w:rPr>
        <w:t xml:space="preserve">6.1 Onboarding &amp; Account Setup</w:t>
      </w:r>
    </w:p>
    <w:p>
      <w:pPr>
        <w:pStyle w:val="ListParagraph"/>
        <w:numPr>
          <w:ilvl w:val="0"/>
          <w:numId w:val="2"/>
        </w:numPr>
        <w:spacing w:after="60" w:before="60"/>
      </w:pPr>
      <w:r>
        <w:rPr>
          <w:rFonts w:ascii="Arial" w:cs="Arial" w:eastAsia="Arial" w:hAnsi="Arial"/>
          <w:color w:val="374151"/>
          <w:sz w:val="22"/>
          <w:szCs w:val="22"/>
        </w:rPr>
        <w:t xml:space="preserve">Email + password registration with email verification.</w:t>
      </w:r>
    </w:p>
    <w:p>
      <w:pPr>
        <w:pStyle w:val="ListParagraph"/>
        <w:numPr>
          <w:ilvl w:val="0"/>
          <w:numId w:val="2"/>
        </w:numPr>
        <w:spacing w:after="60" w:before="60"/>
      </w:pPr>
      <w:r>
        <w:rPr>
          <w:rFonts w:ascii="Arial" w:cs="Arial" w:eastAsia="Arial" w:hAnsi="Arial"/>
          <w:color w:val="374151"/>
          <w:sz w:val="22"/>
          <w:szCs w:val="22"/>
        </w:rPr>
        <w:t xml:space="preserve">OAuth login via Google and Apple ID.</w:t>
      </w:r>
    </w:p>
    <w:p>
      <w:pPr>
        <w:pStyle w:val="ListParagraph"/>
        <w:numPr>
          <w:ilvl w:val="0"/>
          <w:numId w:val="2"/>
        </w:numPr>
        <w:spacing w:after="60" w:before="60"/>
      </w:pPr>
      <w:r>
        <w:rPr>
          <w:rFonts w:ascii="Arial" w:cs="Arial" w:eastAsia="Arial" w:hAnsi="Arial"/>
          <w:color w:val="374151"/>
          <w:sz w:val="22"/>
          <w:szCs w:val="22"/>
        </w:rPr>
        <w:t xml:space="preserve">Connect app store listing via App Store Connect or Google Play Developer API (app name, icon, subtitle auto-imported).</w:t>
      </w:r>
    </w:p>
    <w:p>
      <w:pPr>
        <w:pStyle w:val="ListParagraph"/>
        <w:numPr>
          <w:ilvl w:val="0"/>
          <w:numId w:val="2"/>
        </w:numPr>
        <w:spacing w:after="60" w:before="60"/>
      </w:pPr>
      <w:r>
        <w:rPr>
          <w:rFonts w:ascii="Arial" w:cs="Arial" w:eastAsia="Arial" w:hAnsi="Arial"/>
          <w:color w:val="374151"/>
          <w:sz w:val="22"/>
          <w:szCs w:val="22"/>
        </w:rPr>
        <w:t xml:space="preserve">Payment method setup (Stripe-powered): credit card or prepaid balance.</w:t>
      </w:r>
    </w:p>
    <w:p>
      <w:pPr>
        <w:pStyle w:val="ListParagraph"/>
        <w:numPr>
          <w:ilvl w:val="0"/>
          <w:numId w:val="2"/>
        </w:numPr>
        <w:spacing w:after="60" w:before="60"/>
      </w:pPr>
      <w:r>
        <w:rPr>
          <w:rFonts w:ascii="Arial" w:cs="Arial" w:eastAsia="Arial" w:hAnsi="Arial"/>
          <w:color w:val="374151"/>
          <w:sz w:val="22"/>
          <w:szCs w:val="22"/>
        </w:rPr>
        <w:t xml:space="preserve">First-run guided walkthrough to create a campaign in under 5 steps.</w:t>
      </w:r>
    </w:p>
    <w:p>
      <w:pPr>
        <w:spacing w:after="60" w:before="60"/>
      </w:pPr>
      <w:r>
        <w:t xml:space="preserve"/>
      </w:r>
    </w:p>
    <w:p>
      <w:pPr>
        <w:pStyle w:val="Heading2"/>
        <w:spacing w:after="100" w:before="280"/>
      </w:pPr>
      <w:r>
        <w:rPr>
          <w:rFonts w:ascii="Arial" w:cs="Arial" w:eastAsia="Arial" w:hAnsi="Arial"/>
          <w:b/>
          <w:bCs/>
          <w:color w:val="111827"/>
          <w:sz w:val="26"/>
          <w:szCs w:val="26"/>
        </w:rPr>
        <w:t xml:space="preserve">6.2 Campaign Creation — Core Module</w:t>
      </w:r>
    </w:p>
    <w:p>
      <w:pPr>
        <w:spacing w:after="80" w:before="200"/>
      </w:pPr>
      <w:r>
        <w:rPr>
          <w:rFonts w:ascii="Arial" w:cs="Arial" w:eastAsia="Arial" w:hAnsi="Arial"/>
          <w:b/>
          <w:bCs/>
          <w:color w:val="2563EB"/>
          <w:sz w:val="22"/>
          <w:szCs w:val="22"/>
        </w:rPr>
        <w:t xml:space="preserve">Campaign Level</w:t>
      </w:r>
    </w:p>
    <w:p>
      <w:pPr>
        <w:pStyle w:val="ListParagraph"/>
        <w:numPr>
          <w:ilvl w:val="0"/>
          <w:numId w:val="2"/>
        </w:numPr>
        <w:spacing w:after="60" w:before="60"/>
      </w:pPr>
      <w:r>
        <w:rPr>
          <w:rFonts w:ascii="Arial" w:cs="Arial" w:eastAsia="Arial" w:hAnsi="Arial"/>
          <w:color w:val="374151"/>
          <w:sz w:val="22"/>
          <w:szCs w:val="22"/>
        </w:rPr>
        <w:t xml:space="preserve">Campaign name (free text)</w:t>
      </w:r>
    </w:p>
    <w:p>
      <w:pPr>
        <w:pStyle w:val="ListParagraph"/>
        <w:numPr>
          <w:ilvl w:val="0"/>
          <w:numId w:val="2"/>
        </w:numPr>
        <w:spacing w:after="60" w:before="60"/>
      </w:pPr>
      <w:r>
        <w:rPr>
          <w:rFonts w:ascii="Arial" w:cs="Arial" w:eastAsia="Arial" w:hAnsi="Arial"/>
          <w:color w:val="374151"/>
          <w:sz w:val="22"/>
          <w:szCs w:val="22"/>
        </w:rPr>
        <w:t xml:space="preserve">App selection (from connected listings)</w:t>
      </w:r>
    </w:p>
    <w:p>
      <w:pPr>
        <w:pStyle w:val="ListParagraph"/>
        <w:numPr>
          <w:ilvl w:val="0"/>
          <w:numId w:val="2"/>
        </w:numPr>
        <w:spacing w:after="60" w:before="60"/>
      </w:pPr>
      <w:r>
        <w:rPr>
          <w:rFonts w:ascii="Arial" w:cs="Arial" w:eastAsia="Arial" w:hAnsi="Arial"/>
          <w:color w:val="374151"/>
          <w:sz w:val="22"/>
          <w:szCs w:val="22"/>
        </w:rPr>
        <w:t xml:space="preserve">Country / region targeting (multi-select, up to 10 per campaign in v1)</w:t>
      </w:r>
    </w:p>
    <w:p>
      <w:pPr>
        <w:pStyle w:val="ListParagraph"/>
        <w:numPr>
          <w:ilvl w:val="0"/>
          <w:numId w:val="2"/>
        </w:numPr>
        <w:spacing w:after="60" w:before="60"/>
      </w:pPr>
      <w:r>
        <w:rPr>
          <w:rFonts w:ascii="Arial" w:cs="Arial" w:eastAsia="Arial" w:hAnsi="Arial"/>
          <w:color w:val="374151"/>
          <w:sz w:val="22"/>
          <w:szCs w:val="22"/>
        </w:rPr>
        <w:t xml:space="preserve">Daily budget (minimum $5/day) and optional total budget</w:t>
      </w:r>
    </w:p>
    <w:p>
      <w:pPr>
        <w:pStyle w:val="ListParagraph"/>
        <w:numPr>
          <w:ilvl w:val="0"/>
          <w:numId w:val="2"/>
        </w:numPr>
        <w:spacing w:after="60" w:before="60"/>
      </w:pPr>
      <w:r>
        <w:rPr>
          <w:rFonts w:ascii="Arial" w:cs="Arial" w:eastAsia="Arial" w:hAnsi="Arial"/>
          <w:color w:val="374151"/>
          <w:sz w:val="22"/>
          <w:szCs w:val="22"/>
        </w:rPr>
        <w:t xml:space="preserve">Campaign start date; optional end date</w:t>
      </w:r>
    </w:p>
    <w:p>
      <w:pPr>
        <w:spacing w:after="60" w:before="60"/>
      </w:pPr>
      <w:r>
        <w:t xml:space="preserve"/>
      </w:r>
    </w:p>
    <w:p>
      <w:pPr>
        <w:spacing w:after="80" w:before="200"/>
      </w:pPr>
      <w:r>
        <w:rPr>
          <w:rFonts w:ascii="Arial" w:cs="Arial" w:eastAsia="Arial" w:hAnsi="Arial"/>
          <w:b/>
          <w:bCs/>
          <w:color w:val="2563EB"/>
          <w:sz w:val="22"/>
          <w:szCs w:val="22"/>
        </w:rPr>
        <w:t xml:space="preserve">Ad Group Level</w:t>
      </w:r>
    </w:p>
    <w:p>
      <w:pPr>
        <w:pStyle w:val="ListParagraph"/>
        <w:numPr>
          <w:ilvl w:val="0"/>
          <w:numId w:val="2"/>
        </w:numPr>
        <w:spacing w:after="60" w:before="60"/>
      </w:pPr>
      <w:r>
        <w:rPr>
          <w:rFonts w:ascii="Arial" w:cs="Arial" w:eastAsia="Arial" w:hAnsi="Arial"/>
          <w:color w:val="374151"/>
          <w:sz w:val="22"/>
          <w:szCs w:val="22"/>
        </w:rPr>
        <w:t xml:space="preserve">Ad group name</w:t>
      </w:r>
    </w:p>
    <w:p>
      <w:pPr>
        <w:pStyle w:val="ListParagraph"/>
        <w:numPr>
          <w:ilvl w:val="0"/>
          <w:numId w:val="2"/>
        </w:numPr>
        <w:spacing w:after="60" w:before="60"/>
      </w:pPr>
      <w:r>
        <w:rPr>
          <w:rFonts w:ascii="Arial" w:cs="Arial" w:eastAsia="Arial" w:hAnsi="Arial"/>
          <w:color w:val="374151"/>
          <w:sz w:val="22"/>
          <w:szCs w:val="22"/>
        </w:rPr>
        <w:t xml:space="preserve">Device type: iPhone, iPad, or Both</w:t>
      </w:r>
    </w:p>
    <w:p>
      <w:pPr>
        <w:pStyle w:val="ListParagraph"/>
        <w:numPr>
          <w:ilvl w:val="0"/>
          <w:numId w:val="2"/>
        </w:numPr>
        <w:spacing w:after="60" w:before="60"/>
      </w:pPr>
      <w:r>
        <w:rPr>
          <w:rFonts w:ascii="Arial" w:cs="Arial" w:eastAsia="Arial" w:hAnsi="Arial"/>
          <w:color w:val="374151"/>
          <w:sz w:val="22"/>
          <w:szCs w:val="22"/>
        </w:rPr>
        <w:t xml:space="preserve">Age range filter: All, 18+, 25+</w:t>
      </w:r>
    </w:p>
    <w:p>
      <w:pPr>
        <w:pStyle w:val="ListParagraph"/>
        <w:numPr>
          <w:ilvl w:val="0"/>
          <w:numId w:val="2"/>
        </w:numPr>
        <w:spacing w:after="60" w:before="60"/>
      </w:pPr>
      <w:r>
        <w:rPr>
          <w:rFonts w:ascii="Arial" w:cs="Arial" w:eastAsia="Arial" w:hAnsi="Arial"/>
          <w:color w:val="374151"/>
          <w:sz w:val="22"/>
          <w:szCs w:val="22"/>
        </w:rPr>
        <w:t xml:space="preserve">Max CPT bid (Cost-Per-Tap): advertiser-set ceiling bid</w:t>
      </w:r>
    </w:p>
    <w:p>
      <w:pPr>
        <w:pStyle w:val="ListParagraph"/>
        <w:numPr>
          <w:ilvl w:val="0"/>
          <w:numId w:val="2"/>
        </w:numPr>
        <w:spacing w:after="60" w:before="60"/>
      </w:pPr>
      <w:r>
        <w:rPr>
          <w:rFonts w:ascii="Arial" w:cs="Arial" w:eastAsia="Arial" w:hAnsi="Arial"/>
          <w:color w:val="374151"/>
          <w:sz w:val="22"/>
          <w:szCs w:val="22"/>
        </w:rPr>
        <w:t xml:space="preserve">Search Match toggle: Broad / Exact / Auto</w:t>
      </w:r>
    </w:p>
    <w:p>
      <w:pPr>
        <w:spacing w:after="60" w:before="60"/>
      </w:pPr>
      <w:r>
        <w:t xml:space="preserve"/>
      </w:r>
    </w:p>
    <w:p>
      <w:pPr>
        <w:spacing w:after="80" w:before="200"/>
      </w:pPr>
      <w:r>
        <w:rPr>
          <w:rFonts w:ascii="Arial" w:cs="Arial" w:eastAsia="Arial" w:hAnsi="Arial"/>
          <w:b/>
          <w:bCs/>
          <w:color w:val="2563EB"/>
          <w:sz w:val="22"/>
          <w:szCs w:val="22"/>
        </w:rPr>
        <w:t xml:space="preserve">Keyword Level</w:t>
      </w:r>
    </w:p>
    <w:p>
      <w:pPr>
        <w:pStyle w:val="ListParagraph"/>
        <w:numPr>
          <w:ilvl w:val="0"/>
          <w:numId w:val="2"/>
        </w:numPr>
        <w:spacing w:after="60" w:before="60"/>
      </w:pPr>
      <w:r>
        <w:rPr>
          <w:rFonts w:ascii="Arial" w:cs="Arial" w:eastAsia="Arial" w:hAnsi="Arial"/>
          <w:color w:val="374151"/>
          <w:sz w:val="22"/>
          <w:szCs w:val="22"/>
        </w:rPr>
        <w:t xml:space="preserve">Manual keyword entry with match type (Broad / Exact)</w:t>
      </w:r>
    </w:p>
    <w:p>
      <w:pPr>
        <w:pStyle w:val="ListParagraph"/>
        <w:numPr>
          <w:ilvl w:val="0"/>
          <w:numId w:val="2"/>
        </w:numPr>
        <w:spacing w:after="60" w:before="60"/>
      </w:pPr>
      <w:r>
        <w:rPr>
          <w:rFonts w:ascii="Arial" w:cs="Arial" w:eastAsia="Arial" w:hAnsi="Arial"/>
          <w:color w:val="374151"/>
          <w:sz w:val="22"/>
          <w:szCs w:val="22"/>
        </w:rPr>
        <w:t xml:space="preserve">Keyword bid override (optional; inherits ad group CPT if blank)</w:t>
      </w:r>
    </w:p>
    <w:p>
      <w:pPr>
        <w:pStyle w:val="ListParagraph"/>
        <w:numPr>
          <w:ilvl w:val="0"/>
          <w:numId w:val="2"/>
        </w:numPr>
        <w:spacing w:after="60" w:before="60"/>
      </w:pPr>
      <w:r>
        <w:rPr>
          <w:rFonts w:ascii="Arial" w:cs="Arial" w:eastAsia="Arial" w:hAnsi="Arial"/>
          <w:color w:val="374151"/>
          <w:sz w:val="22"/>
          <w:szCs w:val="22"/>
        </w:rPr>
        <w:t xml:space="preserve">Keyword suggestions surfaced from app store category data</w:t>
      </w:r>
    </w:p>
    <w:p>
      <w:pPr>
        <w:pStyle w:val="ListParagraph"/>
        <w:numPr>
          <w:ilvl w:val="0"/>
          <w:numId w:val="2"/>
        </w:numPr>
        <w:spacing w:after="60" w:before="60"/>
      </w:pPr>
      <w:r>
        <w:rPr>
          <w:rFonts w:ascii="Arial" w:cs="Arial" w:eastAsia="Arial" w:hAnsi="Arial"/>
          <w:color w:val="374151"/>
          <w:sz w:val="22"/>
          <w:szCs w:val="22"/>
        </w:rPr>
        <w:t xml:space="preserve">Negative keyword list (campaign-level)</w:t>
      </w:r>
    </w:p>
    <w:p>
      <w:pPr>
        <w:spacing w:after="60" w:before="60"/>
      </w:pPr>
      <w:r>
        <w:t xml:space="preserve"/>
      </w:r>
    </w:p>
    <w:p>
      <w:pPr>
        <w:spacing w:after="80" w:before="200"/>
      </w:pPr>
      <w:r>
        <w:rPr>
          <w:rFonts w:ascii="Arial" w:cs="Arial" w:eastAsia="Arial" w:hAnsi="Arial"/>
          <w:b/>
          <w:bCs/>
          <w:color w:val="2563EB"/>
          <w:sz w:val="22"/>
          <w:szCs w:val="22"/>
        </w:rPr>
        <w:t xml:space="preserve">Creative</w:t>
      </w:r>
    </w:p>
    <w:p>
      <w:pPr>
        <w:pStyle w:val="ListParagraph"/>
        <w:numPr>
          <w:ilvl w:val="0"/>
          <w:numId w:val="2"/>
        </w:numPr>
        <w:spacing w:after="60" w:before="60"/>
      </w:pPr>
      <w:r>
        <w:rPr>
          <w:rFonts w:ascii="Arial" w:cs="Arial" w:eastAsia="Arial" w:hAnsi="Arial"/>
          <w:color w:val="374151"/>
          <w:sz w:val="22"/>
          <w:szCs w:val="22"/>
        </w:rPr>
        <w:t xml:space="preserve">Default creative auto-generated from store listing (icon + app name + subtitle)</w:t>
      </w:r>
    </w:p>
    <w:p>
      <w:pPr>
        <w:pStyle w:val="ListParagraph"/>
        <w:numPr>
          <w:ilvl w:val="0"/>
          <w:numId w:val="2"/>
        </w:numPr>
        <w:spacing w:after="60" w:before="60"/>
      </w:pPr>
      <w:r>
        <w:rPr>
          <w:rFonts w:ascii="Arial" w:cs="Arial" w:eastAsia="Arial" w:hAnsi="Arial"/>
          <w:color w:val="374151"/>
          <w:sz w:val="22"/>
          <w:szCs w:val="22"/>
        </w:rPr>
        <w:t xml:space="preserve">Custom subtitle override (max 30 characters)</w:t>
      </w:r>
    </w:p>
    <w:p>
      <w:pPr>
        <w:pStyle w:val="ListParagraph"/>
        <w:numPr>
          <w:ilvl w:val="0"/>
          <w:numId w:val="2"/>
        </w:numPr>
        <w:spacing w:after="60" w:before="60"/>
      </w:pPr>
      <w:r>
        <w:rPr>
          <w:rFonts w:ascii="Arial" w:cs="Arial" w:eastAsia="Arial" w:hAnsi="Arial"/>
          <w:color w:val="374151"/>
          <w:sz w:val="22"/>
          <w:szCs w:val="22"/>
        </w:rPr>
        <w:t xml:space="preserve">Preview pane showing how the ad appears on device</w:t>
      </w:r>
    </w:p>
    <w:p>
      <w:pPr>
        <w:spacing w:after="60" w:before="60"/>
      </w:pPr>
      <w:r>
        <w:t xml:space="preserve"/>
      </w:r>
    </w:p>
    <w:p>
      <w:pPr>
        <w:pStyle w:val="Heading2"/>
        <w:spacing w:after="100" w:before="280"/>
      </w:pPr>
      <w:r>
        <w:rPr>
          <w:rFonts w:ascii="Arial" w:cs="Arial" w:eastAsia="Arial" w:hAnsi="Arial"/>
          <w:b/>
          <w:bCs/>
          <w:color w:val="111827"/>
          <w:sz w:val="26"/>
          <w:szCs w:val="26"/>
        </w:rPr>
        <w:t xml:space="preserve">6.3 Campaign Management Dashboard</w:t>
      </w:r>
    </w:p>
    <w:p>
      <w:pPr>
        <w:pStyle w:val="ListParagraph"/>
        <w:numPr>
          <w:ilvl w:val="0"/>
          <w:numId w:val="2"/>
        </w:numPr>
        <w:spacing w:after="60" w:before="60"/>
      </w:pPr>
      <w:r>
        <w:rPr>
          <w:rFonts w:ascii="Arial" w:cs="Arial" w:eastAsia="Arial" w:hAnsi="Arial"/>
          <w:color w:val="374151"/>
          <w:sz w:val="22"/>
          <w:szCs w:val="22"/>
        </w:rPr>
        <w:t xml:space="preserve">Table view: all campaigns with status, spend, impressions, taps, installs, TTR, CR</w:t>
      </w:r>
    </w:p>
    <w:p>
      <w:pPr>
        <w:pStyle w:val="ListParagraph"/>
        <w:numPr>
          <w:ilvl w:val="0"/>
          <w:numId w:val="2"/>
        </w:numPr>
        <w:spacing w:after="60" w:before="60"/>
      </w:pPr>
      <w:r>
        <w:rPr>
          <w:rFonts w:ascii="Arial" w:cs="Arial" w:eastAsia="Arial" w:hAnsi="Arial"/>
          <w:color w:val="374151"/>
          <w:sz w:val="22"/>
          <w:szCs w:val="22"/>
        </w:rPr>
        <w:t xml:space="preserve">Pause / resume / archive campaign controls</w:t>
      </w:r>
    </w:p>
    <w:p>
      <w:pPr>
        <w:pStyle w:val="ListParagraph"/>
        <w:numPr>
          <w:ilvl w:val="0"/>
          <w:numId w:val="2"/>
        </w:numPr>
        <w:spacing w:after="60" w:before="60"/>
      </w:pPr>
      <w:r>
        <w:rPr>
          <w:rFonts w:ascii="Arial" w:cs="Arial" w:eastAsia="Arial" w:hAnsi="Arial"/>
          <w:color w:val="374151"/>
          <w:sz w:val="22"/>
          <w:szCs w:val="22"/>
        </w:rPr>
        <w:t xml:space="preserve">Inline budget editing without full campaign re-entry</w:t>
      </w:r>
    </w:p>
    <w:p>
      <w:pPr>
        <w:pStyle w:val="ListParagraph"/>
        <w:numPr>
          <w:ilvl w:val="0"/>
          <w:numId w:val="2"/>
        </w:numPr>
        <w:spacing w:after="60" w:before="60"/>
      </w:pPr>
      <w:r>
        <w:rPr>
          <w:rFonts w:ascii="Arial" w:cs="Arial" w:eastAsia="Arial" w:hAnsi="Arial"/>
          <w:color w:val="374151"/>
          <w:sz w:val="22"/>
          <w:szCs w:val="22"/>
        </w:rPr>
        <w:t xml:space="preserve">Duplicate campaign with one click</w:t>
      </w:r>
    </w:p>
    <w:p>
      <w:pPr>
        <w:pStyle w:val="ListParagraph"/>
        <w:numPr>
          <w:ilvl w:val="0"/>
          <w:numId w:val="2"/>
        </w:numPr>
        <w:spacing w:after="60" w:before="60"/>
      </w:pPr>
      <w:r>
        <w:rPr>
          <w:rFonts w:ascii="Arial" w:cs="Arial" w:eastAsia="Arial" w:hAnsi="Arial"/>
          <w:color w:val="374151"/>
          <w:sz w:val="22"/>
          <w:szCs w:val="22"/>
        </w:rPr>
        <w:t xml:space="preserve">Search and filter by campaign name, status, app</w:t>
      </w:r>
    </w:p>
    <w:p>
      <w:pPr>
        <w:spacing w:after="60" w:before="60"/>
      </w:pPr>
      <w:r>
        <w:t xml:space="preserve"/>
      </w:r>
    </w:p>
    <w:p>
      <w:pPr>
        <w:pStyle w:val="Heading2"/>
        <w:spacing w:after="100" w:before="280"/>
      </w:pPr>
      <w:r>
        <w:rPr>
          <w:rFonts w:ascii="Arial" w:cs="Arial" w:eastAsia="Arial" w:hAnsi="Arial"/>
          <w:b/>
          <w:bCs/>
          <w:color w:val="111827"/>
          <w:sz w:val="26"/>
          <w:szCs w:val="26"/>
        </w:rPr>
        <w:t xml:space="preserve">6.4 Reporting &amp; Analytics</w:t>
      </w:r>
    </w:p>
    <w:p>
      <w:pPr>
        <w:pStyle w:val="ListParagraph"/>
        <w:numPr>
          <w:ilvl w:val="0"/>
          <w:numId w:val="2"/>
        </w:numPr>
        <w:spacing w:after="60" w:before="60"/>
      </w:pPr>
      <w:r>
        <w:rPr>
          <w:rFonts w:ascii="Arial" w:cs="Arial" w:eastAsia="Arial" w:hAnsi="Arial"/>
          <w:color w:val="374151"/>
          <w:sz w:val="22"/>
          <w:szCs w:val="22"/>
        </w:rPr>
        <w:t xml:space="preserve">Date range picker (Today, Last 7d, Last 30d, Custom)</w:t>
      </w:r>
    </w:p>
    <w:p>
      <w:pPr>
        <w:pStyle w:val="ListParagraph"/>
        <w:numPr>
          <w:ilvl w:val="0"/>
          <w:numId w:val="2"/>
        </w:numPr>
        <w:spacing w:after="60" w:before="60"/>
      </w:pPr>
      <w:r>
        <w:rPr>
          <w:rFonts w:ascii="Arial" w:cs="Arial" w:eastAsia="Arial" w:hAnsi="Arial"/>
          <w:color w:val="374151"/>
          <w:sz w:val="22"/>
          <w:szCs w:val="22"/>
        </w:rPr>
        <w:t xml:space="preserve">Metrics: Impressions, Taps, Installs, CPT, CPI, TTR (Tap-Through Rate), CR (Conversion Rate), Total Spend</w:t>
      </w:r>
    </w:p>
    <w:p>
      <w:pPr>
        <w:pStyle w:val="ListParagraph"/>
        <w:numPr>
          <w:ilvl w:val="0"/>
          <w:numId w:val="2"/>
        </w:numPr>
        <w:spacing w:after="60" w:before="60"/>
      </w:pPr>
      <w:r>
        <w:rPr>
          <w:rFonts w:ascii="Arial" w:cs="Arial" w:eastAsia="Arial" w:hAnsi="Arial"/>
          <w:color w:val="374151"/>
          <w:sz w:val="22"/>
          <w:szCs w:val="22"/>
        </w:rPr>
        <w:t xml:space="preserve">Breakdown dimensions: Campaign, Ad Group, Keyword, Country, Device, Date</w:t>
      </w:r>
    </w:p>
    <w:p>
      <w:pPr>
        <w:pStyle w:val="ListParagraph"/>
        <w:numPr>
          <w:ilvl w:val="0"/>
          <w:numId w:val="2"/>
        </w:numPr>
        <w:spacing w:after="60" w:before="60"/>
      </w:pPr>
      <w:r>
        <w:rPr>
          <w:rFonts w:ascii="Arial" w:cs="Arial" w:eastAsia="Arial" w:hAnsi="Arial"/>
          <w:color w:val="374151"/>
          <w:sz w:val="22"/>
          <w:szCs w:val="22"/>
        </w:rPr>
        <w:t xml:space="preserve">Trend line chart for any metric over the selected period</w:t>
      </w:r>
    </w:p>
    <w:p>
      <w:pPr>
        <w:pStyle w:val="ListParagraph"/>
        <w:numPr>
          <w:ilvl w:val="0"/>
          <w:numId w:val="2"/>
        </w:numPr>
        <w:spacing w:after="60" w:before="60"/>
      </w:pPr>
      <w:r>
        <w:rPr>
          <w:rFonts w:ascii="Arial" w:cs="Arial" w:eastAsia="Arial" w:hAnsi="Arial"/>
          <w:color w:val="374151"/>
          <w:sz w:val="22"/>
          <w:szCs w:val="22"/>
        </w:rPr>
        <w:t xml:space="preserve">CSV export for all report views</w:t>
      </w:r>
    </w:p>
    <w:p>
      <w:pPr>
        <w:spacing w:after="60" w:before="60"/>
      </w:pPr>
      <w:r>
        <w:t xml:space="preserve"/>
      </w:r>
    </w:p>
    <w:p>
      <w:pPr>
        <w:pStyle w:val="Heading2"/>
        <w:spacing w:after="100" w:before="280"/>
      </w:pPr>
      <w:r>
        <w:rPr>
          <w:rFonts w:ascii="Arial" w:cs="Arial" w:eastAsia="Arial" w:hAnsi="Arial"/>
          <w:b/>
          <w:bCs/>
          <w:color w:val="111827"/>
          <w:sz w:val="26"/>
          <w:szCs w:val="26"/>
        </w:rPr>
        <w:t xml:space="preserve">6.5 Billing &amp; Budget Controls</w:t>
      </w:r>
    </w:p>
    <w:p>
      <w:pPr>
        <w:pStyle w:val="ListParagraph"/>
        <w:numPr>
          <w:ilvl w:val="0"/>
          <w:numId w:val="2"/>
        </w:numPr>
        <w:spacing w:after="60" w:before="60"/>
      </w:pPr>
      <w:r>
        <w:rPr>
          <w:rFonts w:ascii="Arial" w:cs="Arial" w:eastAsia="Arial" w:hAnsi="Arial"/>
          <w:color w:val="374151"/>
          <w:sz w:val="22"/>
          <w:szCs w:val="22"/>
        </w:rPr>
        <w:t xml:space="preserve">Real-time spend tracker with daily burn rate indicator</w:t>
      </w:r>
    </w:p>
    <w:p>
      <w:pPr>
        <w:pStyle w:val="ListParagraph"/>
        <w:numPr>
          <w:ilvl w:val="0"/>
          <w:numId w:val="2"/>
        </w:numPr>
        <w:spacing w:after="60" w:before="60"/>
      </w:pPr>
      <w:r>
        <w:rPr>
          <w:rFonts w:ascii="Arial" w:cs="Arial" w:eastAsia="Arial" w:hAnsi="Arial"/>
          <w:color w:val="374151"/>
          <w:sz w:val="22"/>
          <w:szCs w:val="22"/>
        </w:rPr>
        <w:t xml:space="preserve">Automatic campaign pause when total budget is exhausted</w:t>
      </w:r>
    </w:p>
    <w:p>
      <w:pPr>
        <w:pStyle w:val="ListParagraph"/>
        <w:numPr>
          <w:ilvl w:val="0"/>
          <w:numId w:val="2"/>
        </w:numPr>
        <w:spacing w:after="60" w:before="60"/>
      </w:pPr>
      <w:r>
        <w:rPr>
          <w:rFonts w:ascii="Arial" w:cs="Arial" w:eastAsia="Arial" w:hAnsi="Arial"/>
          <w:color w:val="374151"/>
          <w:sz w:val="22"/>
          <w:szCs w:val="22"/>
        </w:rPr>
        <w:t xml:space="preserve">Invoice generation (monthly, downloadable PDF)</w:t>
      </w:r>
    </w:p>
    <w:p>
      <w:pPr>
        <w:pStyle w:val="ListParagraph"/>
        <w:numPr>
          <w:ilvl w:val="0"/>
          <w:numId w:val="2"/>
        </w:numPr>
        <w:spacing w:after="60" w:before="60"/>
      </w:pPr>
      <w:r>
        <w:rPr>
          <w:rFonts w:ascii="Arial" w:cs="Arial" w:eastAsia="Arial" w:hAnsi="Arial"/>
          <w:color w:val="374151"/>
          <w:sz w:val="22"/>
          <w:szCs w:val="22"/>
        </w:rPr>
        <w:t xml:space="preserve">Spend alerts: notify at 50%, 80%, 100% of daily budget via email</w:t>
      </w:r>
    </w:p>
    <w:p>
      <w:pPr>
        <w:pStyle w:val="ListParagraph"/>
        <w:numPr>
          <w:ilvl w:val="0"/>
          <w:numId w:val="2"/>
        </w:numPr>
        <w:spacing w:after="60" w:before="60"/>
      </w:pPr>
      <w:r>
        <w:rPr>
          <w:rFonts w:ascii="Arial" w:cs="Arial" w:eastAsia="Arial" w:hAnsi="Arial"/>
          <w:color w:val="374151"/>
          <w:sz w:val="22"/>
          <w:szCs w:val="22"/>
        </w:rPr>
        <w:t xml:space="preserve">Prepaid balance top-up in increments of $50, $100, $500, $1000</w:t>
      </w:r>
    </w:p>
    <w:p>
      <w:pPr>
        <w:spacing w:after="60" w:before="60"/>
      </w:pPr>
      <w:r>
        <w:t xml:space="preserve"/>
      </w:r>
    </w:p>
    <w:p>
      <w:pPr>
        <w:pStyle w:val="Heading2"/>
        <w:spacing w:after="100" w:before="280"/>
      </w:pPr>
      <w:r>
        <w:rPr>
          <w:rFonts w:ascii="Arial" w:cs="Arial" w:eastAsia="Arial" w:hAnsi="Arial"/>
          <w:b/>
          <w:bCs/>
          <w:color w:val="111827"/>
          <w:sz w:val="26"/>
          <w:szCs w:val="26"/>
        </w:rPr>
        <w:t xml:space="preserve">6.6 Notifications &amp; Alerts</w:t>
      </w:r>
    </w:p>
    <w:p>
      <w:pPr>
        <w:pStyle w:val="ListParagraph"/>
        <w:numPr>
          <w:ilvl w:val="0"/>
          <w:numId w:val="2"/>
        </w:numPr>
        <w:spacing w:after="60" w:before="60"/>
      </w:pPr>
      <w:r>
        <w:rPr>
          <w:rFonts w:ascii="Arial" w:cs="Arial" w:eastAsia="Arial" w:hAnsi="Arial"/>
          <w:color w:val="374151"/>
          <w:sz w:val="22"/>
          <w:szCs w:val="22"/>
        </w:rPr>
        <w:t xml:space="preserve">In-app and email alerts for: campaign paused (budget), payment failure, campaign approved/rejected</w:t>
      </w:r>
    </w:p>
    <w:p>
      <w:pPr>
        <w:pStyle w:val="ListParagraph"/>
        <w:numPr>
          <w:ilvl w:val="0"/>
          <w:numId w:val="2"/>
        </w:numPr>
        <w:spacing w:after="60" w:before="60"/>
      </w:pPr>
      <w:r>
        <w:rPr>
          <w:rFonts w:ascii="Arial" w:cs="Arial" w:eastAsia="Arial" w:hAnsi="Arial"/>
          <w:color w:val="374151"/>
          <w:sz w:val="22"/>
          <w:szCs w:val="22"/>
        </w:rPr>
        <w:t xml:space="preserve">Weekly performance digest email (opt-in)</w:t>
      </w:r>
    </w:p>
    <w:p>
      <w:pPr>
        <w:spacing w:after="60" w:before="60"/>
      </w:pPr>
      <w:r>
        <w:t xml:space="preserve"/>
      </w:r>
    </w:p>
    <w:p>
      <w:pPr>
        <w:pStyle w:val="Heading1"/>
        <w:pBdr>
          <w:bottom w:val="single" w:color="1A56DB" w:sz="6" w:space="4"/>
        </w:pBdr>
        <w:spacing w:after="120" w:before="360"/>
      </w:pPr>
      <w:r>
        <w:rPr>
          <w:rFonts w:ascii="Arial" w:cs="Arial" w:eastAsia="Arial" w:hAnsi="Arial"/>
          <w:b/>
          <w:bCs/>
          <w:color w:val="1A56DB"/>
          <w:sz w:val="32"/>
          <w:szCs w:val="32"/>
        </w:rPr>
        <w:t xml:space="preserve">7. Non-Functional Requirements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DBFE" w:sz="1"/>
              <w:left w:val="single" w:color="BFDBFE" w:sz="1"/>
              <w:bottom w:val="single" w:color="BFDBFE" w:sz="1"/>
              <w:right w:val="single" w:color="BFDBFE" w:sz="1"/>
            </w:tcBorders>
            <w:shd w:fill="1A56DB" w:val="clear"/>
            <w:tcMar>
              <w:top w:type="dxa" w:w="80"/>
              <w:left w:type="dxa" w:w="160"/>
              <w:bottom w:type="dxa" w:w="80"/>
              <w:right w:type="dxa" w:w="120"/>
            </w:tcMar>
          </w:tcPr>
          <w:p>
            <w:r>
              <w:rPr>
                <w:rFonts w:ascii="Arial" w:cs="Arial" w:eastAsia="Arial" w:hAnsi="Arial"/>
                <w:b/>
                <w:bCs/>
                <w:color w:val="FFFFFF"/>
                <w:sz w:val="20"/>
                <w:szCs w:val="20"/>
              </w:rPr>
              <w:t xml:space="preserve">Category</w:t>
            </w:r>
          </w:p>
        </w:tc>
        <w:tc>
          <w:tcPr>
            <w:tcW w:type="dxa" w:w="7360"/>
            <w:tcBorders>
              <w:top w:val="single" w:color="BFDBFE" w:sz="1"/>
              <w:left w:val="single" w:color="BFDBFE" w:sz="1"/>
              <w:bottom w:val="single" w:color="BFDBFE" w:sz="1"/>
              <w:right w:val="single" w:color="BFDBFE" w:sz="1"/>
            </w:tcBorders>
            <w:shd w:fill="1A56DB" w:val="clear"/>
            <w:tcMar>
              <w:top w:type="dxa" w:w="80"/>
              <w:left w:type="dxa" w:w="160"/>
              <w:bottom w:type="dxa" w:w="80"/>
              <w:right w:type="dxa" w:w="120"/>
            </w:tcMar>
          </w:tcPr>
          <w:p>
            <w:r>
              <w:rPr>
                <w:rFonts w:ascii="Arial" w:cs="Arial" w:eastAsia="Arial" w:hAnsi="Arial"/>
                <w:b/>
                <w:bCs/>
                <w:color w:val="FFFFFF"/>
                <w:sz w:val="20"/>
                <w:szCs w:val="20"/>
              </w:rPr>
              <w:t xml:space="preserve">Requirement</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Performance</w:t>
            </w:r>
          </w:p>
        </w:tc>
        <w:tc>
          <w:tcPr>
            <w:tcW w:type="dxa" w:w="7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Dashboard page load &lt;2s at P95; reporting queries &lt;3s for 90-day windows</w:t>
            </w:r>
          </w:p>
        </w:tc>
      </w:tr>
      <w:tr>
        <w:tc>
          <w:tcPr>
            <w:tcW w:type="dxa" w:w="20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Availability</w:t>
            </w:r>
          </w:p>
        </w:tc>
        <w:tc>
          <w:tcPr>
            <w:tcW w:type="dxa" w:w="736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99.9% uptime SLA; planned maintenance in off-peak hours with 24h notice</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Scalability</w:t>
            </w:r>
          </w:p>
        </w:tc>
        <w:tc>
          <w:tcPr>
            <w:tcW w:type="dxa" w:w="7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Support 50K concurrent advertisers and 500M daily ad auctions at launch</w:t>
            </w:r>
          </w:p>
        </w:tc>
      </w:tr>
      <w:tr>
        <w:tc>
          <w:tcPr>
            <w:tcW w:type="dxa" w:w="20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Security</w:t>
            </w:r>
          </w:p>
        </w:tc>
        <w:tc>
          <w:tcPr>
            <w:tcW w:type="dxa" w:w="736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SOC 2 Type II compliant; PCI-DSS for payment data; MFA available for all accounts</w:t>
            </w:r>
          </w:p>
        </w:tc>
      </w:tr>
      <w:tr>
        <w:tc>
          <w:tcPr>
            <w:tcW w:type="dxa" w:w="20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Accessibility</w:t>
            </w:r>
          </w:p>
        </w:tc>
        <w:tc>
          <w:tcPr>
            <w:tcW w:type="dxa" w:w="73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WCAG 2.1 AA for all dashboard surfaces</w:t>
            </w:r>
          </w:p>
        </w:tc>
      </w:tr>
      <w:tr>
        <w:tc>
          <w:tcPr>
            <w:tcW w:type="dxa" w:w="20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Localization</w:t>
            </w:r>
          </w:p>
        </w:tc>
        <w:tc>
          <w:tcPr>
            <w:tcW w:type="dxa" w:w="736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UI in English (v1); data inputs support UTF-8 for keyword entry</w:t>
            </w:r>
          </w:p>
        </w:tc>
      </w:tr>
    </w:tbl>
    <w:p>
      <w:pPr>
        <w:spacing w:after="60" w:before="60"/>
      </w:pPr>
      <w:r>
        <w:t xml:space="preserve"/>
      </w:r>
    </w:p>
    <w:p>
      <w:pPr>
        <w:pStyle w:val="Heading1"/>
        <w:pBdr>
          <w:bottom w:val="single" w:color="1A56DB" w:sz="6" w:space="4"/>
        </w:pBdr>
        <w:spacing w:after="120" w:before="360"/>
      </w:pPr>
      <w:r>
        <w:rPr>
          <w:rFonts w:ascii="Arial" w:cs="Arial" w:eastAsia="Arial" w:hAnsi="Arial"/>
          <w:b/>
          <w:bCs/>
          <w:color w:val="1A56DB"/>
          <w:sz w:val="32"/>
          <w:szCs w:val="32"/>
        </w:rPr>
        <w:t xml:space="preserve">8. System Architecture Overview</w:t>
      </w:r>
    </w:p>
    <w:p>
      <w:pPr>
        <w:spacing w:after="80" w:before="80"/>
      </w:pPr>
      <w:r>
        <w:rPr>
          <w:rFonts w:ascii="Arial" w:cs="Arial" w:eastAsia="Arial" w:hAnsi="Arial"/>
          <w:color w:val="374151"/>
          <w:sz w:val="22"/>
          <w:szCs w:val="22"/>
        </w:rPr>
        <w:t xml:space="preserve">AppAds is built on a microservices architecture with the following core services:</w:t>
      </w:r>
    </w:p>
    <w:p>
      <w:pPr>
        <w:spacing w:after="60" w:before="60"/>
      </w:pPr>
      <w:r>
        <w:t xml:space="preserve"/>
      </w:r>
    </w:p>
    <w:p>
      <w:pPr>
        <w:pStyle w:val="ListParagraph"/>
        <w:numPr>
          <w:ilvl w:val="0"/>
          <w:numId w:val="2"/>
        </w:numPr>
        <w:spacing w:after="60" w:before="60"/>
      </w:pPr>
      <w:r>
        <w:rPr>
          <w:rFonts w:ascii="Arial" w:cs="Arial" w:eastAsia="Arial" w:hAnsi="Arial"/>
          <w:color w:val="374151"/>
          <w:sz w:val="22"/>
          <w:szCs w:val="22"/>
        </w:rPr>
        <w:t xml:space="preserve">Auction Engine — real-time second-price auction evaluated at query time; target &lt;50ms p99 latency.</w:t>
      </w:r>
    </w:p>
    <w:p>
      <w:pPr>
        <w:pStyle w:val="ListParagraph"/>
        <w:numPr>
          <w:ilvl w:val="0"/>
          <w:numId w:val="2"/>
        </w:numPr>
        <w:spacing w:after="60" w:before="60"/>
      </w:pPr>
      <w:r>
        <w:rPr>
          <w:rFonts w:ascii="Arial" w:cs="Arial" w:eastAsia="Arial" w:hAnsi="Arial"/>
          <w:color w:val="374151"/>
          <w:sz w:val="22"/>
          <w:szCs w:val="22"/>
        </w:rPr>
        <w:t xml:space="preserve">Campaign Service — CRUD operations for campaigns, ad groups, and keywords; stores in PostgreSQL.</w:t>
      </w:r>
    </w:p>
    <w:p>
      <w:pPr>
        <w:pStyle w:val="ListParagraph"/>
        <w:numPr>
          <w:ilvl w:val="0"/>
          <w:numId w:val="2"/>
        </w:numPr>
        <w:spacing w:after="60" w:before="60"/>
      </w:pPr>
      <w:r>
        <w:rPr>
          <w:rFonts w:ascii="Arial" w:cs="Arial" w:eastAsia="Arial" w:hAnsi="Arial"/>
          <w:color w:val="374151"/>
          <w:sz w:val="22"/>
          <w:szCs w:val="22"/>
        </w:rPr>
        <w:t xml:space="preserve">Reporting Pipeline — event streaming (Kafka) → aggregation (ClickHouse) → API layer; near-real-time with &lt;5 min lag.</w:t>
      </w:r>
    </w:p>
    <w:p>
      <w:pPr>
        <w:pStyle w:val="ListParagraph"/>
        <w:numPr>
          <w:ilvl w:val="0"/>
          <w:numId w:val="2"/>
        </w:numPr>
        <w:spacing w:after="60" w:before="60"/>
      </w:pPr>
      <w:r>
        <w:rPr>
          <w:rFonts w:ascii="Arial" w:cs="Arial" w:eastAsia="Arial" w:hAnsi="Arial"/>
          <w:color w:val="374151"/>
          <w:sz w:val="22"/>
          <w:szCs w:val="22"/>
        </w:rPr>
        <w:t xml:space="preserve">Billing Service — Stripe integration for payment processing; internal ledger for prepaid balances.</w:t>
      </w:r>
    </w:p>
    <w:p>
      <w:pPr>
        <w:pStyle w:val="ListParagraph"/>
        <w:numPr>
          <w:ilvl w:val="0"/>
          <w:numId w:val="2"/>
        </w:numPr>
        <w:spacing w:after="60" w:before="60"/>
      </w:pPr>
      <w:r>
        <w:rPr>
          <w:rFonts w:ascii="Arial" w:cs="Arial" w:eastAsia="Arial" w:hAnsi="Arial"/>
          <w:color w:val="374151"/>
          <w:sz w:val="22"/>
          <w:szCs w:val="22"/>
        </w:rPr>
        <w:t xml:space="preserve">Creative Service — fetches and caches app store assets; handles custom subtitle overrides.</w:t>
      </w:r>
    </w:p>
    <w:p>
      <w:pPr>
        <w:pStyle w:val="ListParagraph"/>
        <w:numPr>
          <w:ilvl w:val="0"/>
          <w:numId w:val="2"/>
        </w:numPr>
        <w:spacing w:after="60" w:before="60"/>
      </w:pPr>
      <w:r>
        <w:rPr>
          <w:rFonts w:ascii="Arial" w:cs="Arial" w:eastAsia="Arial" w:hAnsi="Arial"/>
          <w:color w:val="374151"/>
          <w:sz w:val="22"/>
          <w:szCs w:val="22"/>
        </w:rPr>
        <w:t xml:space="preserve">Notification Service — email (SendGrid) and in-app notification dispatch.</w:t>
      </w:r>
    </w:p>
    <w:p>
      <w:pPr>
        <w:spacing w:after="60" w:before="60"/>
      </w:pPr>
      <w:r>
        <w:t xml:space="preserve"/>
      </w:r>
    </w:p>
    <w:p>
      <w:pPr>
        <w:spacing w:after="80" w:before="80"/>
      </w:pPr>
      <w:r>
        <w:rPr>
          <w:rFonts w:ascii="Arial" w:cs="Arial" w:eastAsia="Arial" w:hAnsi="Arial"/>
          <w:color w:val="374151"/>
          <w:sz w:val="22"/>
          <w:szCs w:val="22"/>
        </w:rPr>
        <w:t xml:space="preserve">All services communicate via REST internally. The advertiser-facing dashboard is a React SPA backed by a GraphQL gateway.</w:t>
      </w:r>
    </w:p>
    <w:p>
      <w:pPr>
        <w:spacing w:after="60" w:before="60"/>
      </w:pPr>
      <w:r>
        <w:t xml:space="preserve"/>
      </w:r>
    </w:p>
    <w:p>
      <w:pPr>
        <w:pStyle w:val="Heading1"/>
        <w:pBdr>
          <w:bottom w:val="single" w:color="1A56DB" w:sz="6" w:space="4"/>
        </w:pBdr>
        <w:spacing w:after="120" w:before="360"/>
      </w:pPr>
      <w:r>
        <w:rPr>
          <w:rFonts w:ascii="Arial" w:cs="Arial" w:eastAsia="Arial" w:hAnsi="Arial"/>
          <w:b/>
          <w:bCs/>
          <w:color w:val="1A56DB"/>
          <w:sz w:val="32"/>
          <w:szCs w:val="32"/>
        </w:rPr>
        <w:t xml:space="preserve">9. Auction &amp; Bidding Logic</w:t>
      </w:r>
    </w:p>
    <w:p>
      <w:pPr>
        <w:pStyle w:val="Heading2"/>
        <w:spacing w:after="100" w:before="280"/>
      </w:pPr>
      <w:r>
        <w:rPr>
          <w:rFonts w:ascii="Arial" w:cs="Arial" w:eastAsia="Arial" w:hAnsi="Arial"/>
          <w:b/>
          <w:bCs/>
          <w:color w:val="111827"/>
          <w:sz w:val="26"/>
          <w:szCs w:val="26"/>
        </w:rPr>
        <w:t xml:space="preserve">9.1 Ad Ranking</w:t>
      </w:r>
    </w:p>
    <w:p>
      <w:pPr>
        <w:spacing w:after="80" w:before="80"/>
      </w:pPr>
      <w:r>
        <w:rPr>
          <w:rFonts w:ascii="Arial" w:cs="Arial" w:eastAsia="Arial" w:hAnsi="Arial"/>
          <w:color w:val="374151"/>
          <w:sz w:val="22"/>
          <w:szCs w:val="22"/>
        </w:rPr>
        <w:t xml:space="preserve">Ad rank is calculated as: Ad Rank = Quality Score × Max CPT Bid</w:t>
      </w:r>
    </w:p>
    <w:p>
      <w:pPr>
        <w:spacing w:after="60" w:before="60"/>
      </w:pPr>
      <w:r>
        <w:t xml:space="preserve"/>
      </w:r>
    </w:p>
    <w:p>
      <w:pPr>
        <w:spacing w:after="80" w:before="80"/>
      </w:pPr>
      <w:r>
        <w:rPr>
          <w:rFonts w:ascii="Arial" w:cs="Arial" w:eastAsia="Arial" w:hAnsi="Arial"/>
          <w:color w:val="374151"/>
          <w:sz w:val="22"/>
          <w:szCs w:val="22"/>
        </w:rPr>
        <w:t xml:space="preserve">Quality Score (1–10) is derived from: historical tap-through rate for the keyword, relevance of app metadata to the keyword, and account health score.</w:t>
      </w:r>
    </w:p>
    <w:p>
      <w:pPr>
        <w:spacing w:after="60" w:before="60"/>
      </w:pPr>
      <w:r>
        <w:t xml:space="preserve"/>
      </w:r>
    </w:p>
    <w:p>
      <w:pPr>
        <w:pStyle w:val="Heading2"/>
        <w:spacing w:after="100" w:before="280"/>
      </w:pPr>
      <w:r>
        <w:rPr>
          <w:rFonts w:ascii="Arial" w:cs="Arial" w:eastAsia="Arial" w:hAnsi="Arial"/>
          <w:b/>
          <w:bCs/>
          <w:color w:val="111827"/>
          <w:sz w:val="26"/>
          <w:szCs w:val="26"/>
        </w:rPr>
        <w:t xml:space="preserve">9.2 Pricing</w:t>
      </w:r>
    </w:p>
    <w:p>
      <w:pPr>
        <w:spacing w:after="80" w:before="80"/>
      </w:pPr>
      <w:r>
        <w:rPr>
          <w:rFonts w:ascii="Arial" w:cs="Arial" w:eastAsia="Arial" w:hAnsi="Arial"/>
          <w:color w:val="374151"/>
          <w:sz w:val="22"/>
          <w:szCs w:val="22"/>
        </w:rPr>
        <w:t xml:space="preserve">AppAds uses a second-price auction: the winning advertiser pays the second-highest bid plus $0.01. This ensures advertisers pay the minimum necessary to win, reducing incentive to underbid.</w:t>
      </w:r>
    </w:p>
    <w:p>
      <w:pPr>
        <w:spacing w:after="60" w:before="60"/>
      </w:pPr>
      <w:r>
        <w:t xml:space="preserve"/>
      </w:r>
    </w:p>
    <w:p>
      <w:pPr>
        <w:pStyle w:val="Heading2"/>
        <w:spacing w:after="100" w:before="280"/>
      </w:pPr>
      <w:r>
        <w:rPr>
          <w:rFonts w:ascii="Arial" w:cs="Arial" w:eastAsia="Arial" w:hAnsi="Arial"/>
          <w:b/>
          <w:bCs/>
          <w:color w:val="111827"/>
          <w:sz w:val="26"/>
          <w:szCs w:val="26"/>
        </w:rPr>
        <w:t xml:space="preserve">9.3 Search Match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rPr>
          <w:tblHeader/>
        </w:trPr>
        <w:tc>
          <w:tcPr>
            <w:tcW w:type="dxa" w:w="1800"/>
            <w:tcBorders>
              <w:top w:val="single" w:color="BFDBFE" w:sz="1"/>
              <w:left w:val="single" w:color="BFDBFE" w:sz="1"/>
              <w:bottom w:val="single" w:color="BFDBFE" w:sz="1"/>
              <w:right w:val="single" w:color="BFDBFE" w:sz="1"/>
            </w:tcBorders>
            <w:shd w:fill="1A56DB" w:val="clear"/>
            <w:tcMar>
              <w:top w:type="dxa" w:w="80"/>
              <w:left w:type="dxa" w:w="160"/>
              <w:bottom w:type="dxa" w:w="80"/>
              <w:right w:type="dxa" w:w="120"/>
            </w:tcMar>
          </w:tcPr>
          <w:p>
            <w:r>
              <w:rPr>
                <w:rFonts w:ascii="Arial" w:cs="Arial" w:eastAsia="Arial" w:hAnsi="Arial"/>
                <w:b/>
                <w:bCs/>
                <w:color w:val="FFFFFF"/>
                <w:sz w:val="20"/>
                <w:szCs w:val="20"/>
              </w:rPr>
              <w:t xml:space="preserve">Match Type</w:t>
            </w:r>
          </w:p>
        </w:tc>
        <w:tc>
          <w:tcPr>
            <w:tcW w:type="dxa" w:w="4760"/>
            <w:tcBorders>
              <w:top w:val="single" w:color="BFDBFE" w:sz="1"/>
              <w:left w:val="single" w:color="BFDBFE" w:sz="1"/>
              <w:bottom w:val="single" w:color="BFDBFE" w:sz="1"/>
              <w:right w:val="single" w:color="BFDBFE" w:sz="1"/>
            </w:tcBorders>
            <w:shd w:fill="1A56DB" w:val="clear"/>
            <w:tcMar>
              <w:top w:type="dxa" w:w="80"/>
              <w:left w:type="dxa" w:w="160"/>
              <w:bottom w:type="dxa" w:w="80"/>
              <w:right w:type="dxa" w:w="120"/>
            </w:tcMar>
          </w:tcPr>
          <w:p>
            <w:r>
              <w:rPr>
                <w:rFonts w:ascii="Arial" w:cs="Arial" w:eastAsia="Arial" w:hAnsi="Arial"/>
                <w:b/>
                <w:bCs/>
                <w:color w:val="FFFFFF"/>
                <w:sz w:val="20"/>
                <w:szCs w:val="20"/>
              </w:rPr>
              <w:t xml:space="preserve">Behavior</w:t>
            </w:r>
          </w:p>
        </w:tc>
        <w:tc>
          <w:tcPr>
            <w:tcW w:type="dxa" w:w="2800"/>
            <w:tcBorders>
              <w:top w:val="single" w:color="BFDBFE" w:sz="1"/>
              <w:left w:val="single" w:color="BFDBFE" w:sz="1"/>
              <w:bottom w:val="single" w:color="BFDBFE" w:sz="1"/>
              <w:right w:val="single" w:color="BFDBFE" w:sz="1"/>
            </w:tcBorders>
            <w:shd w:fill="1A56DB" w:val="clear"/>
            <w:tcMar>
              <w:top w:type="dxa" w:w="80"/>
              <w:left w:type="dxa" w:w="160"/>
              <w:bottom w:type="dxa" w:w="80"/>
              <w:right w:type="dxa" w:w="120"/>
            </w:tcMar>
          </w:tcPr>
          <w:p>
            <w:r>
              <w:rPr>
                <w:rFonts w:ascii="Arial" w:cs="Arial" w:eastAsia="Arial" w:hAnsi="Arial"/>
                <w:b/>
                <w:bCs/>
                <w:color w:val="FFFFFF"/>
                <w:sz w:val="20"/>
                <w:szCs w:val="20"/>
              </w:rPr>
              <w:t xml:space="preserve">Use Case</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Exact</w:t>
            </w:r>
          </w:p>
        </w:tc>
        <w:tc>
          <w:tcPr>
            <w:tcW w:type="dxa" w:w="47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Ad shows only for the exact keyword query</w:t>
            </w:r>
          </w:p>
        </w:tc>
        <w:tc>
          <w:tcPr>
            <w:tcW w:type="dxa" w:w="2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High-intent, controlled spend</w:t>
            </w:r>
          </w:p>
        </w:tc>
      </w:tr>
      <w:tr>
        <w:tc>
          <w:tcPr>
            <w:tcW w:type="dxa" w:w="18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Broad</w:t>
            </w:r>
          </w:p>
        </w:tc>
        <w:tc>
          <w:tcPr>
            <w:tcW w:type="dxa" w:w="476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Ad shows for queries containing the keyword or close variants</w:t>
            </w:r>
          </w:p>
        </w:tc>
        <w:tc>
          <w:tcPr>
            <w:tcW w:type="dxa" w:w="28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Volume, discovery</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Auto</w:t>
            </w:r>
          </w:p>
        </w:tc>
        <w:tc>
          <w:tcPr>
            <w:tcW w:type="dxa" w:w="47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System selects keywords from app metadata automatically</w:t>
            </w:r>
          </w:p>
        </w:tc>
        <w:tc>
          <w:tcPr>
            <w:tcW w:type="dxa" w:w="2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Beginners, low-effort campaigns</w:t>
            </w:r>
          </w:p>
        </w:tc>
      </w:tr>
    </w:tbl>
    <w:p>
      <w:pPr>
        <w:spacing w:after="60" w:before="60"/>
      </w:pPr>
      <w:r>
        <w:t xml:space="preserve"/>
      </w:r>
    </w:p>
    <w:p>
      <w:pPr>
        <w:pStyle w:val="Heading1"/>
        <w:pBdr>
          <w:bottom w:val="single" w:color="1A56DB" w:sz="6" w:space="4"/>
        </w:pBdr>
        <w:spacing w:after="120" w:before="360"/>
      </w:pPr>
      <w:r>
        <w:rPr>
          <w:rFonts w:ascii="Arial" w:cs="Arial" w:eastAsia="Arial" w:hAnsi="Arial"/>
          <w:b/>
          <w:bCs/>
          <w:color w:val="1A56DB"/>
          <w:sz w:val="32"/>
          <w:szCs w:val="32"/>
        </w:rPr>
        <w:t xml:space="preserve">10. Dependencies &amp; Integrations</w:t>
      </w:r>
    </w:p>
    <w:p>
      <w:pPr>
        <w:pStyle w:val="ListParagraph"/>
        <w:numPr>
          <w:ilvl w:val="0"/>
          <w:numId w:val="2"/>
        </w:numPr>
        <w:spacing w:after="60" w:before="60"/>
      </w:pPr>
      <w:r>
        <w:rPr>
          <w:rFonts w:ascii="Arial" w:cs="Arial" w:eastAsia="Arial" w:hAnsi="Arial"/>
          <w:color w:val="374151"/>
          <w:sz w:val="22"/>
          <w:szCs w:val="22"/>
        </w:rPr>
        <w:t xml:space="preserve">Apple App Store Connect API — app metadata, icon, subtitle import</w:t>
      </w:r>
    </w:p>
    <w:p>
      <w:pPr>
        <w:pStyle w:val="ListParagraph"/>
        <w:numPr>
          <w:ilvl w:val="0"/>
          <w:numId w:val="2"/>
        </w:numPr>
        <w:spacing w:after="60" w:before="60"/>
      </w:pPr>
      <w:r>
        <w:rPr>
          <w:rFonts w:ascii="Arial" w:cs="Arial" w:eastAsia="Arial" w:hAnsi="Arial"/>
          <w:color w:val="374151"/>
          <w:sz w:val="22"/>
          <w:szCs w:val="22"/>
        </w:rPr>
        <w:t xml:space="preserve">Google Play Developer API — same for Android apps</w:t>
      </w:r>
    </w:p>
    <w:p>
      <w:pPr>
        <w:pStyle w:val="ListParagraph"/>
        <w:numPr>
          <w:ilvl w:val="0"/>
          <w:numId w:val="2"/>
        </w:numPr>
        <w:spacing w:after="60" w:before="60"/>
      </w:pPr>
      <w:r>
        <w:rPr>
          <w:rFonts w:ascii="Arial" w:cs="Arial" w:eastAsia="Arial" w:hAnsi="Arial"/>
          <w:color w:val="374151"/>
          <w:sz w:val="22"/>
          <w:szCs w:val="22"/>
        </w:rPr>
        <w:t xml:space="preserve">Stripe — payment processing, invoicing</w:t>
      </w:r>
    </w:p>
    <w:p>
      <w:pPr>
        <w:pStyle w:val="ListParagraph"/>
        <w:numPr>
          <w:ilvl w:val="0"/>
          <w:numId w:val="2"/>
        </w:numPr>
        <w:spacing w:after="60" w:before="60"/>
      </w:pPr>
      <w:r>
        <w:rPr>
          <w:rFonts w:ascii="Arial" w:cs="Arial" w:eastAsia="Arial" w:hAnsi="Arial"/>
          <w:color w:val="374151"/>
          <w:sz w:val="22"/>
          <w:szCs w:val="22"/>
        </w:rPr>
        <w:t xml:space="preserve">SendGrid — transactional and marketing email</w:t>
      </w:r>
    </w:p>
    <w:p>
      <w:pPr>
        <w:pStyle w:val="ListParagraph"/>
        <w:numPr>
          <w:ilvl w:val="0"/>
          <w:numId w:val="2"/>
        </w:numPr>
        <w:spacing w:after="60" w:before="60"/>
      </w:pPr>
      <w:r>
        <w:rPr>
          <w:rFonts w:ascii="Arial" w:cs="Arial" w:eastAsia="Arial" w:hAnsi="Arial"/>
          <w:color w:val="374151"/>
          <w:sz w:val="22"/>
          <w:szCs w:val="22"/>
        </w:rPr>
        <w:t xml:space="preserve">Kafka + ClickHouse — event streaming and analytics backend</w:t>
      </w:r>
    </w:p>
    <w:p>
      <w:pPr>
        <w:pStyle w:val="ListParagraph"/>
        <w:numPr>
          <w:ilvl w:val="0"/>
          <w:numId w:val="2"/>
        </w:numPr>
        <w:spacing w:after="60" w:before="60"/>
      </w:pPr>
      <w:r>
        <w:rPr>
          <w:rFonts w:ascii="Arial" w:cs="Arial" w:eastAsia="Arial" w:hAnsi="Arial"/>
          <w:color w:val="374151"/>
          <w:sz w:val="22"/>
          <w:szCs w:val="22"/>
        </w:rPr>
        <w:t xml:space="preserve">AppsFlyer / SKAdNetwork — attribution postbacks (limited integration, v1)</w:t>
      </w:r>
    </w:p>
    <w:p>
      <w:pPr>
        <w:spacing w:after="60" w:before="60"/>
      </w:pPr>
      <w:r>
        <w:t xml:space="preserve"/>
      </w:r>
    </w:p>
    <w:p>
      <w:pPr>
        <w:pStyle w:val="Heading1"/>
        <w:pBdr>
          <w:bottom w:val="single" w:color="1A56DB" w:sz="6" w:space="4"/>
        </w:pBdr>
        <w:spacing w:after="120" w:before="360"/>
      </w:pPr>
      <w:r>
        <w:rPr>
          <w:rFonts w:ascii="Arial" w:cs="Arial" w:eastAsia="Arial" w:hAnsi="Arial"/>
          <w:b/>
          <w:bCs/>
          <w:color w:val="1A56DB"/>
          <w:sz w:val="32"/>
          <w:szCs w:val="32"/>
        </w:rPr>
        <w:t xml:space="preserve">11. Risks &amp; Mitigations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BFDBFE" w:sz="1"/>
              <w:left w:val="single" w:color="BFDBFE" w:sz="1"/>
              <w:bottom w:val="single" w:color="BFDBFE" w:sz="1"/>
              <w:right w:val="single" w:color="BFDBFE" w:sz="1"/>
            </w:tcBorders>
            <w:shd w:fill="1A56DB" w:val="clear"/>
            <w:tcMar>
              <w:top w:type="dxa" w:w="80"/>
              <w:left w:type="dxa" w:w="16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BFDBFE" w:sz="1"/>
              <w:left w:val="single" w:color="BFDBFE" w:sz="1"/>
              <w:bottom w:val="single" w:color="BFDBFE" w:sz="1"/>
              <w:right w:val="single" w:color="BFDBFE" w:sz="1"/>
            </w:tcBorders>
            <w:shd w:fill="1A56DB" w:val="clear"/>
            <w:tcMar>
              <w:top w:type="dxa" w:w="80"/>
              <w:left w:type="dxa" w:w="16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BFDBFE" w:sz="1"/>
              <w:left w:val="single" w:color="BFDBFE" w:sz="1"/>
              <w:bottom w:val="single" w:color="BFDBFE" w:sz="1"/>
              <w:right w:val="single" w:color="BFDBFE" w:sz="1"/>
            </w:tcBorders>
            <w:shd w:fill="1A56DB" w:val="clear"/>
            <w:tcMar>
              <w:top w:type="dxa" w:w="80"/>
              <w:left w:type="dxa" w:w="160"/>
              <w:bottom w:type="dxa" w:w="80"/>
              <w:right w:type="dxa" w:w="120"/>
            </w:tcMar>
          </w:tcPr>
          <w:p>
            <w:r>
              <w:rPr>
                <w:rFonts w:ascii="Arial" w:cs="Arial" w:eastAsia="Arial" w:hAnsi="Arial"/>
                <w:b/>
                <w:bCs/>
                <w:color w:val="FFFFFF"/>
                <w:sz w:val="20"/>
                <w:szCs w:val="20"/>
              </w:rPr>
              <w:t xml:space="preserve">Impact</w:t>
            </w:r>
          </w:p>
        </w:tc>
        <w:tc>
          <w:tcPr>
            <w:tcW w:type="dxa" w:w="4160"/>
            <w:tcBorders>
              <w:top w:val="single" w:color="BFDBFE" w:sz="1"/>
              <w:left w:val="single" w:color="BFDBFE" w:sz="1"/>
              <w:bottom w:val="single" w:color="BFDBFE" w:sz="1"/>
              <w:right w:val="single" w:color="BFDBFE" w:sz="1"/>
            </w:tcBorders>
            <w:shd w:fill="1A56DB" w:val="clear"/>
            <w:tcMar>
              <w:top w:type="dxa" w:w="80"/>
              <w:left w:type="dxa" w:w="16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Ad fraud / click fraud</w:t>
            </w:r>
          </w:p>
        </w:tc>
        <w:tc>
          <w:tcPr>
            <w:tcW w:type="dxa" w:w="1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High</w:t>
            </w:r>
          </w:p>
        </w:tc>
        <w:tc>
          <w:tcPr>
            <w:tcW w:type="dxa" w:w="1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High</w:t>
            </w:r>
          </w:p>
        </w:tc>
        <w:tc>
          <w:tcPr>
            <w:tcW w:type="dxa" w:w="41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Device fingerprinting, CPA anomaly detection, automated pause rules</w:t>
            </w:r>
          </w:p>
        </w:tc>
      </w:tr>
      <w:tr>
        <w:tc>
          <w:tcPr>
            <w:tcW w:type="dxa" w:w="28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Apple API changes</w:t>
            </w:r>
          </w:p>
        </w:tc>
        <w:tc>
          <w:tcPr>
            <w:tcW w:type="dxa" w:w="12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Medium</w:t>
            </w:r>
          </w:p>
        </w:tc>
        <w:tc>
          <w:tcPr>
            <w:tcW w:type="dxa" w:w="12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Medium</w:t>
            </w:r>
          </w:p>
        </w:tc>
        <w:tc>
          <w:tcPr>
            <w:tcW w:type="dxa" w:w="416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Abstraction layer; fallback to manual metadata entry</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Auction latency SLA breach</w:t>
            </w:r>
          </w:p>
        </w:tc>
        <w:tc>
          <w:tcPr>
            <w:tcW w:type="dxa" w:w="1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Low</w:t>
            </w:r>
          </w:p>
        </w:tc>
        <w:tc>
          <w:tcPr>
            <w:tcW w:type="dxa" w:w="1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High</w:t>
            </w:r>
          </w:p>
        </w:tc>
        <w:tc>
          <w:tcPr>
            <w:tcW w:type="dxa" w:w="41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Auto-scaling auction engine; circuit breaker to passthrough</w:t>
            </w:r>
          </w:p>
        </w:tc>
      </w:tr>
      <w:tr>
        <w:tc>
          <w:tcPr>
            <w:tcW w:type="dxa" w:w="28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Low advertiser retention</w:t>
            </w:r>
          </w:p>
        </w:tc>
        <w:tc>
          <w:tcPr>
            <w:tcW w:type="dxa" w:w="12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Medium</w:t>
            </w:r>
          </w:p>
        </w:tc>
        <w:tc>
          <w:tcPr>
            <w:tcW w:type="dxa" w:w="12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High</w:t>
            </w:r>
          </w:p>
        </w:tc>
        <w:tc>
          <w:tcPr>
            <w:tcW w:type="dxa" w:w="416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In-app guided setup, email drip campaigns, dedicated onboarding docs</w:t>
            </w:r>
          </w:p>
        </w:tc>
      </w:tr>
      <w:tr>
        <w:tc>
          <w:tcPr>
            <w:tcW w:type="dxa" w:w="2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Payment chargeback abuse</w:t>
            </w:r>
          </w:p>
        </w:tc>
        <w:tc>
          <w:tcPr>
            <w:tcW w:type="dxa" w:w="1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Low</w:t>
            </w:r>
          </w:p>
        </w:tc>
        <w:tc>
          <w:tcPr>
            <w:tcW w:type="dxa" w:w="12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Medium</w:t>
            </w:r>
          </w:p>
        </w:tc>
        <w:tc>
          <w:tcPr>
            <w:tcW w:type="dxa" w:w="41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Prepaid model limits exposure; Stripe Radar rules</w:t>
            </w:r>
          </w:p>
        </w:tc>
      </w:tr>
    </w:tbl>
    <w:p>
      <w:pPr>
        <w:spacing w:after="60" w:before="60"/>
      </w:pPr>
      <w:r>
        <w:t xml:space="preserve"/>
      </w:r>
    </w:p>
    <w:p>
      <w:pPr>
        <w:pStyle w:val="Heading1"/>
        <w:pBdr>
          <w:bottom w:val="single" w:color="1A56DB" w:sz="6" w:space="4"/>
        </w:pBdr>
        <w:spacing w:after="120" w:before="360"/>
      </w:pPr>
      <w:r>
        <w:rPr>
          <w:rFonts w:ascii="Arial" w:cs="Arial" w:eastAsia="Arial" w:hAnsi="Arial"/>
          <w:b/>
          <w:bCs/>
          <w:color w:val="1A56DB"/>
          <w:sz w:val="32"/>
          <w:szCs w:val="32"/>
        </w:rPr>
        <w:t xml:space="preserve">12. Release Milestones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DBFE" w:sz="1"/>
              <w:left w:val="single" w:color="BFDBFE" w:sz="1"/>
              <w:bottom w:val="single" w:color="BFDBFE" w:sz="1"/>
              <w:right w:val="single" w:color="BFDBFE" w:sz="1"/>
            </w:tcBorders>
            <w:shd w:fill="1A56DB" w:val="clear"/>
            <w:tcMar>
              <w:top w:type="dxa" w:w="80"/>
              <w:left w:type="dxa" w:w="160"/>
              <w:bottom w:type="dxa" w:w="80"/>
              <w:right w:type="dxa" w:w="120"/>
            </w:tcMar>
          </w:tcPr>
          <w:p>
            <w:r>
              <w:rPr>
                <w:rFonts w:ascii="Arial" w:cs="Arial" w:eastAsia="Arial" w:hAnsi="Arial"/>
                <w:b/>
                <w:bCs/>
                <w:color w:val="FFFFFF"/>
                <w:sz w:val="20"/>
                <w:szCs w:val="20"/>
              </w:rPr>
              <w:t xml:space="preserve">Milestone</w:t>
            </w:r>
          </w:p>
        </w:tc>
        <w:tc>
          <w:tcPr>
            <w:tcW w:type="dxa" w:w="1800"/>
            <w:tcBorders>
              <w:top w:val="single" w:color="BFDBFE" w:sz="1"/>
              <w:left w:val="single" w:color="BFDBFE" w:sz="1"/>
              <w:bottom w:val="single" w:color="BFDBFE" w:sz="1"/>
              <w:right w:val="single" w:color="BFDBFE" w:sz="1"/>
            </w:tcBorders>
            <w:shd w:fill="1A56DB" w:val="clear"/>
            <w:tcMar>
              <w:top w:type="dxa" w:w="80"/>
              <w:left w:type="dxa" w:w="160"/>
              <w:bottom w:type="dxa" w:w="80"/>
              <w:right w:type="dxa" w:w="120"/>
            </w:tcMar>
          </w:tcPr>
          <w:p>
            <w:r>
              <w:rPr>
                <w:rFonts w:ascii="Arial" w:cs="Arial" w:eastAsia="Arial" w:hAnsi="Arial"/>
                <w:b/>
                <w:bCs/>
                <w:color w:val="FFFFFF"/>
                <w:sz w:val="20"/>
                <w:szCs w:val="20"/>
              </w:rPr>
              <w:t xml:space="preserve">Date</w:t>
            </w:r>
          </w:p>
        </w:tc>
        <w:tc>
          <w:tcPr>
            <w:tcW w:type="dxa" w:w="5160"/>
            <w:tcBorders>
              <w:top w:val="single" w:color="BFDBFE" w:sz="1"/>
              <w:left w:val="single" w:color="BFDBFE" w:sz="1"/>
              <w:bottom w:val="single" w:color="BFDBFE" w:sz="1"/>
              <w:right w:val="single" w:color="BFDBFE" w:sz="1"/>
            </w:tcBorders>
            <w:shd w:fill="1A56DB" w:val="clear"/>
            <w:tcMar>
              <w:top w:type="dxa" w:w="80"/>
              <w:left w:type="dxa" w:w="160"/>
              <w:bottom w:type="dxa" w:w="80"/>
              <w:right w:type="dxa" w:w="120"/>
            </w:tcMar>
          </w:tcPr>
          <w:p>
            <w:r>
              <w:rPr>
                <w:rFonts w:ascii="Arial" w:cs="Arial" w:eastAsia="Arial" w:hAnsi="Arial"/>
                <w:b/>
                <w:bCs/>
                <w:color w:val="FFFFFF"/>
                <w:sz w:val="20"/>
                <w:szCs w:val="20"/>
              </w:rPr>
              <w:t xml:space="preserve">Deliverable</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M0 — Kickoff</w:t>
            </w:r>
          </w:p>
        </w:tc>
        <w:tc>
          <w:tcPr>
            <w:tcW w:type="dxa" w:w="1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May 5, 2026</w:t>
            </w:r>
          </w:p>
        </w:tc>
        <w:tc>
          <w:tcPr>
            <w:tcW w:type="dxa" w:w="51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Finalized PRD, team allocation, architecture sign-off</w:t>
            </w:r>
          </w:p>
        </w:tc>
      </w:tr>
      <w:tr>
        <w:tc>
          <w:tcPr>
            <w:tcW w:type="dxa" w:w="24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M1 — Alpha</w:t>
            </w:r>
          </w:p>
        </w:tc>
        <w:tc>
          <w:tcPr>
            <w:tcW w:type="dxa" w:w="18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June 16, 2026</w:t>
            </w:r>
          </w:p>
        </w:tc>
        <w:tc>
          <w:tcPr>
            <w:tcW w:type="dxa" w:w="516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Campaign creation, auction engine, basic dashboard (internal only)</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M2 — Private Beta</w:t>
            </w:r>
          </w:p>
        </w:tc>
        <w:tc>
          <w:tcPr>
            <w:tcW w:type="dxa" w:w="1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July 14, 2026</w:t>
            </w:r>
          </w:p>
        </w:tc>
        <w:tc>
          <w:tcPr>
            <w:tcW w:type="dxa" w:w="51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Full feature set, billing live, 50 invited advertisers</w:t>
            </w:r>
          </w:p>
        </w:tc>
      </w:tr>
      <w:tr>
        <w:tc>
          <w:tcPr>
            <w:tcW w:type="dxa" w:w="24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M3 — Public Launch</w:t>
            </w:r>
          </w:p>
        </w:tc>
        <w:tc>
          <w:tcPr>
            <w:tcW w:type="dxa" w:w="18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August 25, 2026</w:t>
            </w:r>
          </w:p>
        </w:tc>
        <w:tc>
          <w:tcPr>
            <w:tcW w:type="dxa" w:w="516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General availability, marketing launch, support docs live</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M4 — v1.1</w:t>
            </w:r>
          </w:p>
        </w:tc>
        <w:tc>
          <w:tcPr>
            <w:tcW w:type="dxa" w:w="18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October 2026</w:t>
            </w:r>
          </w:p>
        </w:tc>
        <w:tc>
          <w:tcPr>
            <w:tcW w:type="dxa" w:w="51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Reporting enhancements, MMP deep links, keyword suggestions v2</w:t>
            </w:r>
          </w:p>
        </w:tc>
      </w:tr>
    </w:tbl>
    <w:p>
      <w:pPr>
        <w:spacing w:after="60" w:before="60"/>
      </w:pPr>
      <w:r>
        <w:t xml:space="preserve"/>
      </w:r>
    </w:p>
    <w:p>
      <w:pPr>
        <w:pStyle w:val="Heading1"/>
        <w:pBdr>
          <w:bottom w:val="single" w:color="1A56DB" w:sz="6" w:space="4"/>
        </w:pBdr>
        <w:spacing w:after="120" w:before="360"/>
      </w:pPr>
      <w:r>
        <w:rPr>
          <w:rFonts w:ascii="Arial" w:cs="Arial" w:eastAsia="Arial" w:hAnsi="Arial"/>
          <w:b/>
          <w:bCs/>
          <w:color w:val="1A56DB"/>
          <w:sz w:val="32"/>
          <w:szCs w:val="32"/>
        </w:rPr>
        <w:t xml:space="preserve">13. Open Questions</w:t>
      </w:r>
    </w:p>
    <w:p>
      <w:pPr>
        <w:pStyle w:val="ListParagraph"/>
        <w:numPr>
          <w:ilvl w:val="0"/>
          <w:numId w:val="2"/>
        </w:numPr>
        <w:spacing w:after="60" w:before="60"/>
      </w:pPr>
      <w:r>
        <w:rPr>
          <w:rFonts w:ascii="Arial" w:cs="Arial" w:eastAsia="Arial" w:hAnsi="Arial"/>
          <w:color w:val="374151"/>
          <w:sz w:val="22"/>
          <w:szCs w:val="22"/>
        </w:rPr>
        <w:t xml:space="preserve">Should v1 support Android (Google Play) app campaigns in addition to iOS, or iOS-only for launch?</w:t>
      </w:r>
    </w:p>
    <w:p>
      <w:pPr>
        <w:pStyle w:val="ListParagraph"/>
        <w:numPr>
          <w:ilvl w:val="0"/>
          <w:numId w:val="2"/>
        </w:numPr>
        <w:spacing w:after="60" w:before="60"/>
      </w:pPr>
      <w:r>
        <w:rPr>
          <w:rFonts w:ascii="Arial" w:cs="Arial" w:eastAsia="Arial" w:hAnsi="Arial"/>
          <w:color w:val="374151"/>
          <w:sz w:val="22"/>
          <w:szCs w:val="22"/>
        </w:rPr>
        <w:t xml:space="preserve">What is the minimum spend required to activate an account — $0 or a forced first deposit?</w:t>
      </w:r>
    </w:p>
    <w:p>
      <w:pPr>
        <w:pStyle w:val="ListParagraph"/>
        <w:numPr>
          <w:ilvl w:val="0"/>
          <w:numId w:val="2"/>
        </w:numPr>
        <w:spacing w:after="60" w:before="60"/>
      </w:pPr>
      <w:r>
        <w:rPr>
          <w:rFonts w:ascii="Arial" w:cs="Arial" w:eastAsia="Arial" w:hAnsi="Arial"/>
          <w:color w:val="374151"/>
          <w:sz w:val="22"/>
          <w:szCs w:val="22"/>
        </w:rPr>
        <w:t xml:space="preserve">Will AppAds support cost-per-install (CPI) bidding in v1, or CPT only?</w:t>
      </w:r>
    </w:p>
    <w:p>
      <w:pPr>
        <w:pStyle w:val="ListParagraph"/>
        <w:numPr>
          <w:ilvl w:val="0"/>
          <w:numId w:val="2"/>
        </w:numPr>
        <w:spacing w:after="60" w:before="60"/>
      </w:pPr>
      <w:r>
        <w:rPr>
          <w:rFonts w:ascii="Arial" w:cs="Arial" w:eastAsia="Arial" w:hAnsi="Arial"/>
          <w:color w:val="374151"/>
          <w:sz w:val="22"/>
          <w:szCs w:val="22"/>
        </w:rPr>
        <w:t xml:space="preserve">How will attribution be handled pre-SKAdNetwork 4.0 for older iOS versions?</w:t>
      </w:r>
    </w:p>
    <w:p>
      <w:pPr>
        <w:pStyle w:val="ListParagraph"/>
        <w:numPr>
          <w:ilvl w:val="0"/>
          <w:numId w:val="2"/>
        </w:numPr>
        <w:spacing w:after="60" w:before="60"/>
      </w:pPr>
      <w:r>
        <w:rPr>
          <w:rFonts w:ascii="Arial" w:cs="Arial" w:eastAsia="Arial" w:hAnsi="Arial"/>
          <w:color w:val="374151"/>
          <w:sz w:val="22"/>
          <w:szCs w:val="22"/>
        </w:rPr>
        <w:t xml:space="preserve">Do we allow agencies to manage multiple advertiser accounts under a single login in v1?</w:t>
      </w:r>
    </w:p>
    <w:p>
      <w:pPr>
        <w:spacing w:after="60" w:before="60"/>
      </w:pPr>
      <w:r>
        <w:t xml:space="preserve"/>
      </w:r>
    </w:p>
    <w:p>
      <w:pPr>
        <w:pStyle w:val="Heading1"/>
        <w:pBdr>
          <w:bottom w:val="single" w:color="1A56DB" w:sz="6" w:space="4"/>
        </w:pBdr>
        <w:spacing w:after="120" w:before="360"/>
      </w:pPr>
      <w:r>
        <w:rPr>
          <w:rFonts w:ascii="Arial" w:cs="Arial" w:eastAsia="Arial" w:hAnsi="Arial"/>
          <w:b/>
          <w:bCs/>
          <w:color w:val="1A56DB"/>
          <w:sz w:val="32"/>
          <w:szCs w:val="32"/>
        </w:rPr>
        <w:t xml:space="preserve">14. Appendix</w:t>
      </w:r>
    </w:p>
    <w:p>
      <w:pPr>
        <w:pStyle w:val="Heading2"/>
        <w:spacing w:after="100" w:before="280"/>
      </w:pPr>
      <w:r>
        <w:rPr>
          <w:rFonts w:ascii="Arial" w:cs="Arial" w:eastAsia="Arial" w:hAnsi="Arial"/>
          <w:b/>
          <w:bCs/>
          <w:color w:val="111827"/>
          <w:sz w:val="26"/>
          <w:szCs w:val="26"/>
        </w:rPr>
        <w:t xml:space="preserve">A. Glossary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1A56DB" w:val="clear"/>
            <w:tcMar>
              <w:top w:type="dxa" w:w="80"/>
              <w:left w:type="dxa" w:w="16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BFDBFE" w:sz="1"/>
              <w:left w:val="single" w:color="BFDBFE" w:sz="1"/>
              <w:bottom w:val="single" w:color="BFDBFE" w:sz="1"/>
              <w:right w:val="single" w:color="BFDBFE" w:sz="1"/>
            </w:tcBorders>
            <w:shd w:fill="1A56DB" w:val="clear"/>
            <w:tcMar>
              <w:top w:type="dxa" w:w="80"/>
              <w:left w:type="dxa" w:w="16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CPT</w:t>
            </w:r>
          </w:p>
        </w:tc>
        <w:tc>
          <w:tcPr>
            <w:tcW w:type="dxa" w:w="69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Cost Per Tap — the amount charged each time a user taps the ad</w:t>
            </w:r>
          </w:p>
        </w:tc>
      </w:tr>
      <w:tr>
        <w:tc>
          <w:tcPr>
            <w:tcW w:type="dxa" w:w="24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CPI</w:t>
            </w:r>
          </w:p>
        </w:tc>
        <w:tc>
          <w:tcPr>
            <w:tcW w:type="dxa" w:w="696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Cost Per Install — effective cost divided by number of installs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TTR</w:t>
            </w:r>
          </w:p>
        </w:tc>
        <w:tc>
          <w:tcPr>
            <w:tcW w:type="dxa" w:w="69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Tap-Through Rate — taps divided by impressions</w:t>
            </w:r>
          </w:p>
        </w:tc>
      </w:tr>
      <w:tr>
        <w:tc>
          <w:tcPr>
            <w:tcW w:type="dxa" w:w="24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CR</w:t>
            </w:r>
          </w:p>
        </w:tc>
        <w:tc>
          <w:tcPr>
            <w:tcW w:type="dxa" w:w="696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Conversion Rate — installs divided by taps</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Ad Rank</w:t>
            </w:r>
          </w:p>
        </w:tc>
        <w:tc>
          <w:tcPr>
            <w:tcW w:type="dxa" w:w="69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Composite score used to determine auction winner</w:t>
            </w:r>
          </w:p>
        </w:tc>
      </w:tr>
      <w:tr>
        <w:tc>
          <w:tcPr>
            <w:tcW w:type="dxa" w:w="24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Quality Score</w:t>
            </w:r>
          </w:p>
        </w:tc>
        <w:tc>
          <w:tcPr>
            <w:tcW w:type="dxa" w:w="696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Platform estimate of ad relevance and expected performance</w:t>
            </w:r>
          </w:p>
        </w:tc>
      </w:tr>
      <w:tr>
        <w:tc>
          <w:tcPr>
            <w:tcW w:type="dxa" w:w="240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Search Match</w:t>
            </w:r>
          </w:p>
        </w:tc>
        <w:tc>
          <w:tcPr>
            <w:tcW w:type="dxa" w:w="696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20"/>
            </w:tcMar>
          </w:tcPr>
          <w:p>
            <w:r>
              <w:rPr>
                <w:rFonts w:ascii="Arial" w:cs="Arial" w:eastAsia="Arial" w:hAnsi="Arial"/>
                <w:color w:val="111827"/>
                <w:sz w:val="20"/>
                <w:szCs w:val="20"/>
              </w:rPr>
              <w:t xml:space="preserve">Algorithm that maps a user's search query to advertiser keywords</w:t>
            </w:r>
          </w:p>
        </w:tc>
      </w:tr>
      <w:tr>
        <w:tc>
          <w:tcPr>
            <w:tcW w:type="dxa" w:w="240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Negative Keyword</w:t>
            </w:r>
          </w:p>
        </w:tc>
        <w:tc>
          <w:tcPr>
            <w:tcW w:type="dxa" w:w="6960"/>
            <w:tcBorders>
              <w:top w:val="single" w:color="BFDBFE" w:sz="1"/>
              <w:left w:val="single" w:color="BFDBFE" w:sz="1"/>
              <w:bottom w:val="single" w:color="BFDBFE" w:sz="1"/>
              <w:right w:val="single" w:color="BFDBFE" w:sz="1"/>
            </w:tcBorders>
            <w:shd w:fill="F3F4F6" w:val="clear"/>
            <w:tcMar>
              <w:top w:type="dxa" w:w="80"/>
              <w:left w:type="dxa" w:w="160"/>
              <w:bottom w:type="dxa" w:w="80"/>
              <w:right w:type="dxa" w:w="120"/>
            </w:tcMar>
          </w:tcPr>
          <w:p>
            <w:r>
              <w:rPr>
                <w:rFonts w:ascii="Arial" w:cs="Arial" w:eastAsia="Arial" w:hAnsi="Arial"/>
                <w:color w:val="111827"/>
                <w:sz w:val="20"/>
                <w:szCs w:val="20"/>
              </w:rPr>
              <w:t xml:space="preserve">Keyword for which the advertiser explicitly does NOT want their ad shown</w:t>
            </w:r>
          </w:p>
        </w:tc>
      </w:tr>
    </w:tbl>
    <w:p>
      <w:pPr>
        <w:spacing w:after="60" w:before="60"/>
      </w:pPr>
      <w:r>
        <w:t xml:space="preserve"/>
      </w:r>
    </w:p>
    <w:p>
      <w:pPr>
        <w:pStyle w:val="Heading2"/>
        <w:spacing w:after="100" w:before="280"/>
      </w:pPr>
      <w:r>
        <w:rPr>
          <w:rFonts w:ascii="Arial" w:cs="Arial" w:eastAsia="Arial" w:hAnsi="Arial"/>
          <w:b/>
          <w:bCs/>
          <w:color w:val="111827"/>
          <w:sz w:val="26"/>
          <w:szCs w:val="26"/>
        </w:rPr>
        <w:t xml:space="preserve">B. References</w:t>
      </w:r>
    </w:p>
    <w:p>
      <w:pPr>
        <w:pStyle w:val="ListParagraph"/>
        <w:numPr>
          <w:ilvl w:val="0"/>
          <w:numId w:val="2"/>
        </w:numPr>
        <w:spacing w:after="60" w:before="60"/>
      </w:pPr>
      <w:r>
        <w:rPr>
          <w:rFonts w:ascii="Arial" w:cs="Arial" w:eastAsia="Arial" w:hAnsi="Arial"/>
          <w:color w:val="374151"/>
          <w:sz w:val="22"/>
          <w:szCs w:val="22"/>
        </w:rPr>
        <w:t xml:space="preserve">Apple Search Ads Help — searchads.apple.com</w:t>
      </w:r>
    </w:p>
    <w:p>
      <w:pPr>
        <w:pStyle w:val="ListParagraph"/>
        <w:numPr>
          <w:ilvl w:val="0"/>
          <w:numId w:val="2"/>
        </w:numPr>
        <w:spacing w:after="60" w:before="60"/>
      </w:pPr>
      <w:r>
        <w:rPr>
          <w:rFonts w:ascii="Arial" w:cs="Arial" w:eastAsia="Arial" w:hAnsi="Arial"/>
          <w:color w:val="374151"/>
          <w:sz w:val="22"/>
          <w:szCs w:val="22"/>
        </w:rPr>
        <w:t xml:space="preserve">SKAdNetwork Documentation — developer.apple.com/documentation/storekit/skadnetwork</w:t>
      </w:r>
    </w:p>
    <w:p>
      <w:pPr>
        <w:pStyle w:val="ListParagraph"/>
        <w:numPr>
          <w:ilvl w:val="0"/>
          <w:numId w:val="2"/>
        </w:numPr>
        <w:spacing w:after="60" w:before="60"/>
      </w:pPr>
      <w:r>
        <w:rPr>
          <w:rFonts w:ascii="Arial" w:cs="Arial" w:eastAsia="Arial" w:hAnsi="Arial"/>
          <w:color w:val="374151"/>
          <w:sz w:val="22"/>
          <w:szCs w:val="22"/>
        </w:rPr>
        <w:t xml:space="preserve">Stripe Payments API — stripe.com/docs</w:t>
      </w:r>
    </w:p>
    <w:p>
      <w:pPr>
        <w:pStyle w:val="ListParagraph"/>
        <w:numPr>
          <w:ilvl w:val="0"/>
          <w:numId w:val="2"/>
        </w:numPr>
        <w:spacing w:after="60" w:before="60"/>
      </w:pPr>
      <w:r>
        <w:rPr>
          <w:rFonts w:ascii="Arial" w:cs="Arial" w:eastAsia="Arial" w:hAnsi="Arial"/>
          <w:color w:val="374151"/>
          <w:sz w:val="22"/>
          <w:szCs w:val="22"/>
        </w:rPr>
        <w:t xml:space="preserve">ClickHouse Documentation — clickhouse.com/docs</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4"/>
      </w:pBdr>
      <w:tabs>
        <w:tab w:val="right" w:pos="9026"/>
      </w:tabs>
    </w:pPr>
    <w:r>
      <w:rPr>
        <w:rFonts w:ascii="Arial" w:cs="Arial" w:eastAsia="Arial" w:hAnsi="Arial"/>
        <w:color w:val="9CA3AF"/>
        <w:sz w:val="18"/>
        <w:szCs w:val="18"/>
      </w:rPr>
      <w:t xml:space="preserve">© 2026 AppAds Inc. All rights reserved.</w:t>
    </w:r>
    <w:r>
      <w:rPr>
        <w:rFonts w:ascii="Arial" w:cs="Arial" w:eastAsia="Arial" w:hAnsi="Arial"/>
        <w:color w:val="9CA3AF"/>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tabs>
        <w:tab w:val="right" w:pos="9026"/>
      </w:tabs>
    </w:pPr>
    <w:r>
      <w:rPr>
        <w:rFonts w:ascii="Arial" w:cs="Arial" w:eastAsia="Arial" w:hAnsi="Arial"/>
        <w:b/>
        <w:bCs/>
        <w:color w:val="1A56DB"/>
        <w:sz w:val="18"/>
        <w:szCs w:val="18"/>
      </w:rPr>
      <w:t xml:space="preserve">AppAds — Product Requirements Document</w:t>
    </w:r>
    <w:r>
      <w:rPr>
        <w:rFonts w:ascii="Arial" w:cs="Arial" w:eastAsia="Arial" w:hAnsi="Arial"/>
        <w:color w:val="9CA3AF"/>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D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2026-04-28T07:09:43.912Z</dcterms:created>
  <dcterms:modified xsi:type="dcterms:W3CDTF">2026-04-28T07:09:43.913Z</dcterms:modified>
</cp:coreProperties>
</file>

<file path=docProps/custom.xml><?xml version="1.0" encoding="utf-8"?>
<Properties xmlns="http://schemas.openxmlformats.org/officeDocument/2006/custom-properties" xmlns:vt="http://schemas.openxmlformats.org/officeDocument/2006/docPropsVTypes"/>
</file>