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Segoe UI" w:cs="Segoe UI" w:eastAsia="Segoe UI" w:hAnsi="Segoe UI"/>
          <w:b/>
          <w:bCs/>
          <w:color w:val="534AB7"/>
          <w:sz w:val="52"/>
          <w:szCs w:val="52"/>
        </w:rPr>
        <w:t xml:space="preserve">Mail Merge Add-in</w:t>
      </w:r>
    </w:p>
    <w:p>
      <w:pPr>
        <w:spacing w:after="80" w:before="0"/>
        <w:jc w:val="center"/>
      </w:pPr>
      <w:r>
        <w:rPr>
          <w:rFonts w:ascii="Segoe UI" w:cs="Segoe UI" w:eastAsia="Segoe UI" w:hAnsi="Segoe UI"/>
          <w:color w:val="6B6B6B"/>
          <w:sz w:val="36"/>
          <w:szCs w:val="36"/>
        </w:rPr>
        <w:t xml:space="preserve">Licensing &amp; Architecture Guide</w:t>
      </w:r>
    </w:p>
    <w:p>
      <w:pPr>
        <w:spacing w:after="480" w:before="0"/>
        <w:jc w:val="center"/>
      </w:pPr>
      <w:r>
        <w:rPr>
          <w:color w:val="AAAAAA"/>
          <w:sz w:val="18"/>
          <w:szCs w:val="18"/>
        </w:rPr>
        <w:t xml:space="preserve">Promethean IT  ·  Confidential</w:t>
      </w:r>
    </w:p>
    <w:p>
      <w:pPr>
        <w:pBdr>
          <w:bottom w:val="single" w:color="D0CCF0" w:sz="6"/>
        </w:pBdr>
        <w:spacing w:after="200" w:before="200"/>
      </w:pPr>
    </w:p>
    <w:p>
      <w:pPr>
        <w:pStyle w:val="Heading1"/>
        <w:spacing w:after="120" w:before="360"/>
        <w:rPr>
          <w:b/>
          <w:bCs/>
          <w:color w:val="534AB7"/>
        </w:rPr>
      </w:pPr>
      <w:r>
        <w:t xml:space="preserve">1. Overview</w:t>
      </w:r>
    </w:p>
    <w:p>
      <w:pPr>
        <w:spacing w:after="80" w:before="80"/>
        <w:jc w:val="left"/>
      </w:pPr>
      <w:r>
        <w:rPr>
          <w:b w:val="false"/>
          <w:bCs w:val="false"/>
          <w:color w:val="1C1C1E"/>
          <w:sz w:val="22"/>
          <w:szCs w:val="22"/>
        </w:rPr>
        <w:t xml:space="preserve">Mail Merge is a Microsoft Outlook add-in that lets users send personalised bulk emails directly from Outlook, with recipient data loaded from a CSV or typed inline. All email processing — template merging, personalisation, and sending — happens entirely in the browser via Microsoft Graph. No recipient data, email content, or attachments ever touches a Promethean IT server.</w:t>
      </w:r>
    </w:p>
    <w:p>
      <w:pPr>
        <w:spacing w:after="80" w:before="80"/>
        <w:jc w:val="left"/>
      </w:pPr>
      <w:r>
        <w:rPr>
          <w:b w:val="false"/>
          <w:bCs w:val="false"/>
          <w:color w:val="1C1C1E"/>
          <w:sz w:val="22"/>
          <w:szCs w:val="22"/>
        </w:rPr>
        <w:t xml:space="preserve">This document covers the paid licensing architecture added to support AppSource monetisation, how it was implemented, and the steps required to go live.</w:t>
      </w:r>
    </w:p>
    <w:p>
      <w:pPr>
        <w:pBdr>
          <w:bottom w:val="single" w:color="D0CCF0" w:sz="6"/>
        </w:pBdr>
        <w:spacing w:after="200" w:before="200"/>
      </w:pPr>
    </w:p>
    <w:p>
      <w:pPr>
        <w:pStyle w:val="Heading1"/>
        <w:spacing w:after="120" w:before="360"/>
        <w:rPr>
          <w:b/>
          <w:bCs/>
          <w:color w:val="534AB7"/>
        </w:rPr>
      </w:pPr>
      <w:r>
        <w:t xml:space="preserve">2. What Makes This App Distinct</w:t>
      </w:r>
    </w:p>
    <w:p>
      <w:pPr>
        <w:spacing w:after="80" w:before="80"/>
        <w:jc w:val="left"/>
      </w:pPr>
      <w:r>
        <w:rPr>
          <w:b w:val="false"/>
          <w:bCs w:val="false"/>
          <w:color w:val="1C1C1E"/>
          <w:sz w:val="22"/>
          <w:szCs w:val="22"/>
        </w:rPr>
        <w:t xml:space="preserve">A review of all current mail merge add-ins on Microsoft AppSource confirms the following features are unique to this product:</w:t>
      </w:r>
    </w:p>
    <w:p>
      <w:pPr>
        <w:pStyle w:val="ListParagraph"/>
        <w:numPr>
          <w:ilvl w:val="0"/>
          <w:numId w:val="1"/>
        </w:numPr>
        <w:spacing w:after="40" w:before="40"/>
      </w:pPr>
      <w:r>
        <w:rPr>
          <w:color w:val="1C1C1E"/>
          <w:sz w:val="22"/>
          <w:szCs w:val="22"/>
        </w:rPr>
        <w:t xml:space="preserve">Inline CSV editing — recipients can be viewed, added, removed, and edited in a live table inside the taskpane. Every competing app (SecureMailMerge, MailMerge365, EmailMerge365, Mail Merge Toolkit) requires editing data in an external spreadsheet and re-importing.</w:t>
      </w:r>
    </w:p>
    <w:p>
      <w:pPr>
        <w:pStyle w:val="ListParagraph"/>
        <w:numPr>
          <w:ilvl w:val="0"/>
          <w:numId w:val="1"/>
        </w:numPr>
        <w:spacing w:after="40" w:before="40"/>
      </w:pPr>
      <w:r>
        <w:rPr>
          <w:color w:val="1C1C1E"/>
          <w:sz w:val="22"/>
          <w:szCs w:val="22"/>
        </w:rPr>
        <w:t xml:space="preserve">Type-emails mode — recipients can be entered as plain email addresses with no spreadsheet at all.</w:t>
      </w:r>
    </w:p>
    <w:p>
      <w:pPr>
        <w:pStyle w:val="ListParagraph"/>
        <w:numPr>
          <w:ilvl w:val="0"/>
          <w:numId w:val="1"/>
        </w:numPr>
        <w:spacing w:after="40" w:before="40"/>
      </w:pPr>
      <w:r>
        <w:rPr>
          <w:color w:val="1C1C1E"/>
          <w:sz w:val="22"/>
          <w:szCs w:val="22"/>
        </w:rPr>
        <w:t xml:space="preserve">Import from Outlook To field — addresses already in the compose window are pulled into the merge list automatically.</w:t>
      </w:r>
    </w:p>
    <w:p>
      <w:pPr>
        <w:pStyle w:val="ListParagraph"/>
        <w:numPr>
          <w:ilvl w:val="0"/>
          <w:numId w:val="1"/>
        </w:numPr>
        <w:spacing w:after="40" w:before="40"/>
      </w:pPr>
      <w:r>
        <w:rPr>
          <w:color w:val="1C1C1E"/>
          <w:sz w:val="22"/>
          <w:szCs w:val="22"/>
        </w:rPr>
        <w:t xml:space="preserve">Full data privacy — zero server-side processing of email content or recipient data. This is a genuine compliance differentiator for regulated industries.</w:t>
      </w:r>
    </w:p>
    <w:p>
      <w:pPr>
        <w:pStyle w:val="ListParagraph"/>
        <w:numPr>
          <w:ilvl w:val="0"/>
          <w:numId w:val="1"/>
        </w:numPr>
        <w:spacing w:after="40" w:before="40"/>
      </w:pPr>
      <w:r>
        <w:rPr>
          <w:color w:val="1C1C1E"/>
          <w:sz w:val="22"/>
          <w:szCs w:val="22"/>
        </w:rPr>
        <w:t xml:space="preserve">Conditional merge, grouped row merge, rate limiting, and business-hours send window — features not found together in any single competing product.</w:t>
      </w:r>
    </w:p>
    <w:p>
      <w:pPr>
        <w:pBdr>
          <w:bottom w:val="single" w:color="D0CCF0" w:sz="6"/>
        </w:pBdr>
        <w:spacing w:after="200" w:before="200"/>
      </w:pPr>
    </w:p>
    <w:p>
      <w:pPr>
        <w:pStyle w:val="Heading1"/>
        <w:spacing w:after="120" w:before="360"/>
        <w:rPr>
          <w:b/>
          <w:bCs/>
          <w:color w:val="534AB7"/>
        </w:rPr>
      </w:pPr>
      <w:r>
        <w:t xml:space="preserve">3. Architecture</w:t>
      </w:r>
    </w:p>
    <w:p>
      <w:pPr>
        <w:pStyle w:val="Heading2"/>
        <w:spacing w:after="80" w:before="280"/>
      </w:pPr>
      <w:r>
        <w:t xml:space="preserve">3.1 What runs client-side (unchanged)</w:t>
      </w:r>
    </w:p>
    <w:p>
      <w:pPr>
        <w:spacing w:after="80" w:before="80"/>
        <w:jc w:val="left"/>
      </w:pPr>
      <w:r>
        <w:rPr>
          <w:b w:val="false"/>
          <w:bCs w:val="false"/>
          <w:color w:val="1C1C1E"/>
          <w:sz w:val="22"/>
          <w:szCs w:val="22"/>
        </w:rPr>
        <w:t xml:space="preserve">Everything the user sees and every email that gets sent remains entirely client-side:</w:t>
      </w:r>
    </w:p>
    <w:p>
      <w:pPr>
        <w:pStyle w:val="ListParagraph"/>
        <w:numPr>
          <w:ilvl w:val="0"/>
          <w:numId w:val="1"/>
        </w:numPr>
        <w:spacing w:after="40" w:before="40"/>
      </w:pPr>
      <w:r>
        <w:rPr>
          <w:color w:val="1C1C1E"/>
          <w:sz w:val="22"/>
          <w:szCs w:val="22"/>
        </w:rPr>
        <w:t xml:space="preserve">CSV parsing, template personalisation, conditional merge logic</w:t>
      </w:r>
    </w:p>
    <w:p>
      <w:pPr>
        <w:pStyle w:val="ListParagraph"/>
        <w:numPr>
          <w:ilvl w:val="0"/>
          <w:numId w:val="1"/>
        </w:numPr>
        <w:spacing w:after="40" w:before="40"/>
      </w:pPr>
      <w:r>
        <w:rPr>
          <w:color w:val="1C1C1E"/>
          <w:sz w:val="22"/>
          <w:szCs w:val="22"/>
        </w:rPr>
        <w:t xml:space="preserve">Microsoft Graph API calls (send, draft, contacts, GAL search)</w:t>
      </w:r>
    </w:p>
    <w:p>
      <w:pPr>
        <w:pStyle w:val="ListParagraph"/>
        <w:numPr>
          <w:ilvl w:val="0"/>
          <w:numId w:val="1"/>
        </w:numPr>
        <w:spacing w:after="40" w:before="40"/>
      </w:pPr>
      <w:r>
        <w:rPr>
          <w:color w:val="1C1C1E"/>
          <w:sz w:val="22"/>
          <w:szCs w:val="22"/>
        </w:rPr>
        <w:t xml:space="preserve">MSAL authentication via Office SSO</w:t>
      </w:r>
    </w:p>
    <w:p>
      <w:pPr>
        <w:pStyle w:val="ListParagraph"/>
        <w:numPr>
          <w:ilvl w:val="0"/>
          <w:numId w:val="1"/>
        </w:numPr>
        <w:spacing w:after="40" w:before="40"/>
      </w:pPr>
      <w:r>
        <w:rPr>
          <w:color w:val="1C1C1E"/>
          <w:sz w:val="22"/>
          <w:szCs w:val="22"/>
        </w:rPr>
        <w:t xml:space="preserve">All recipient data, email body, and attachments</w:t>
      </w:r>
    </w:p>
    <w:p>
      <w:pPr>
        <w:pStyle w:val="Heading2"/>
        <w:spacing w:after="80" w:before="280"/>
      </w:pPr>
      <w:r>
        <w:t xml:space="preserve">3.2 What runs server-side (new — licensing only)</w:t>
      </w:r>
    </w:p>
    <w:p>
      <w:pPr>
        <w:spacing w:after="80" w:before="80"/>
        <w:jc w:val="left"/>
      </w:pPr>
      <w:r>
        <w:rPr>
          <w:b w:val="false"/>
          <w:bCs w:val="false"/>
          <w:color w:val="1C1C1E"/>
          <w:sz w:val="22"/>
          <w:szCs w:val="22"/>
        </w:rPr>
        <w:t xml:space="preserve">A minimal Azure Functions app handles three licensing concerns only. It never sees email content or recipient lists.</w:t>
      </w:r>
    </w:p>
    <w:p>
      <w:pPr>
        <w:pStyle w:val="ListParagraph"/>
        <w:numPr>
          <w:ilvl w:val="0"/>
          <w:numId w:val="1"/>
        </w:numPr>
        <w:spacing w:after="40" w:before="40"/>
      </w:pPr>
      <w:r>
        <w:rPr>
          <w:color w:val="1C1C1E"/>
          <w:sz w:val="22"/>
          <w:szCs w:val="22"/>
        </w:rPr>
        <w:t xml:space="preserve">Activation landing page — where AppSource redirects users after purchase to activate their subscription</w:t>
      </w:r>
    </w:p>
    <w:p>
      <w:pPr>
        <w:pStyle w:val="ListParagraph"/>
        <w:numPr>
          <w:ilvl w:val="0"/>
          <w:numId w:val="1"/>
        </w:numPr>
        <w:spacing w:after="40" w:before="40"/>
      </w:pPr>
      <w:r>
        <w:rPr>
          <w:color w:val="1C1C1E"/>
          <w:sz w:val="22"/>
          <w:szCs w:val="22"/>
        </w:rPr>
        <w:t xml:space="preserve">Microsoft SaaS webhook — receives subscription lifecycle events (purchased, cancelled, suspended, renewed) from Microsoft</w:t>
      </w:r>
    </w:p>
    <w:p>
      <w:pPr>
        <w:pStyle w:val="ListParagraph"/>
        <w:numPr>
          <w:ilvl w:val="0"/>
          <w:numId w:val="1"/>
        </w:numPr>
        <w:spacing w:after="40" w:before="40"/>
      </w:pPr>
      <w:r>
        <w:rPr>
          <w:color w:val="1C1C1E"/>
          <w:sz w:val="22"/>
          <w:szCs w:val="22"/>
        </w:rPr>
        <w:t xml:space="preserve">License check endpoint — the add-in calls this on startup to confirm the tenant has an active subscription and receives a 24-hour cached JWT in return</w:t>
      </w:r>
    </w:p>
    <w:p>
      <w:pPr>
        <w:pStyle w:val="Heading2"/>
        <w:spacing w:after="80" w:before="280"/>
      </w:pPr>
      <w:r>
        <w:t xml:space="preserve">3.3 Components built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00"/>
        <w:gridCol w:w="6240"/>
      </w:tblGrid>
      <w:tr>
        <w:tc>
          <w:tcPr>
            <w:tcW w:type="dxa" w:w="3000"/>
            <w:shd w:fill="EEF0FB" w:color="534AB7" w:val="clear"/>
            <w:vAlign w:val="center"/>
          </w:tcPr>
          <w:p>
            <w:r>
              <w:rPr>
                <w:b/>
                <w:bCs/>
                <w:color w:val="534AB7"/>
                <w:sz w:val="20"/>
                <w:szCs w:val="20"/>
              </w:rPr>
              <w:t xml:space="preserve">File / Component</w:t>
            </w:r>
          </w:p>
        </w:tc>
        <w:tc>
          <w:tcPr>
            <w:tcW w:type="dxa" w:w="6240"/>
            <w:shd w:fill="EEF0FB" w:color="534AB7" w:val="clear"/>
            <w:vAlign w:val="center"/>
          </w:tcPr>
          <w:p>
            <w:r>
              <w:rPr>
                <w:color w:val="6B6B6B"/>
                <w:sz w:val="20"/>
                <w:szCs w:val="20"/>
              </w:rPr>
              <w:t xml:space="preserve">Purpose</w:t>
            </w:r>
          </w:p>
        </w:tc>
      </w:tr>
      <w:tr>
        <w:tc>
          <w:tcPr>
            <w:tcW w:type="dxa" w:w="3000"/>
            <w:vAlign w:val="center"/>
          </w:tcPr>
          <w:p>
            <w:r>
              <w:rPr>
                <w:b w:val="false"/>
                <w:bCs w:val="false"/>
                <w:color w:val="1C1C1E"/>
                <w:sz w:val="20"/>
                <w:szCs w:val="20"/>
              </w:rPr>
              <w:t xml:space="preserve">src/functions/activate.js</w:t>
            </w:r>
          </w:p>
        </w:tc>
        <w:tc>
          <w:tcPr>
            <w:tcW w:type="dxa" w:w="6240"/>
            <w:vAlign w:val="center"/>
          </w:tcPr>
          <w:p>
            <w:r>
              <w:rPr>
                <w:color w:val="6B6B6B"/>
                <w:sz w:val="20"/>
                <w:szCs w:val="20"/>
              </w:rPr>
              <w:t xml:space="preserve">AppSource landing page + subscription activation</w:t>
            </w:r>
          </w:p>
        </w:tc>
      </w:tr>
      <w:tr>
        <w:tc>
          <w:tcPr>
            <w:tcW w:type="dxa" w:w="3000"/>
            <w:vAlign w:val="center"/>
          </w:tcPr>
          <w:p>
            <w:r>
              <w:rPr>
                <w:b w:val="false"/>
                <w:bCs w:val="false"/>
                <w:color w:val="1C1C1E"/>
                <w:sz w:val="20"/>
                <w:szCs w:val="20"/>
              </w:rPr>
              <w:t xml:space="preserve">src/functions/saasWebhook.js</w:t>
            </w:r>
          </w:p>
        </w:tc>
        <w:tc>
          <w:tcPr>
            <w:tcW w:type="dxa" w:w="6240"/>
            <w:vAlign w:val="center"/>
          </w:tcPr>
          <w:p>
            <w:r>
              <w:rPr>
                <w:color w:val="6B6B6B"/>
                <w:sz w:val="20"/>
                <w:szCs w:val="20"/>
              </w:rPr>
              <w:t xml:space="preserve">Handles all Microsoft SaaS lifecycle events</w:t>
            </w:r>
          </w:p>
        </w:tc>
      </w:tr>
      <w:tr>
        <w:tc>
          <w:tcPr>
            <w:tcW w:type="dxa" w:w="3000"/>
            <w:vAlign w:val="center"/>
          </w:tcPr>
          <w:p>
            <w:r>
              <w:rPr>
                <w:b w:val="false"/>
                <w:bCs w:val="false"/>
                <w:color w:val="1C1C1E"/>
                <w:sz w:val="20"/>
                <w:szCs w:val="20"/>
              </w:rPr>
              <w:t xml:space="preserve">src/functions/licenseCheck.js</w:t>
            </w:r>
          </w:p>
        </w:tc>
        <w:tc>
          <w:tcPr>
            <w:tcW w:type="dxa" w:w="6240"/>
            <w:vAlign w:val="center"/>
          </w:tcPr>
          <w:p>
            <w:r>
              <w:rPr>
                <w:color w:val="6B6B6B"/>
                <w:sz w:val="20"/>
                <w:szCs w:val="20"/>
              </w:rPr>
              <w:t xml:space="preserve">Returns licensed: true/false + 24h JWT token</w:t>
            </w:r>
          </w:p>
        </w:tc>
      </w:tr>
      <w:tr>
        <w:tc>
          <w:tcPr>
            <w:tcW w:type="dxa" w:w="3000"/>
            <w:vAlign w:val="center"/>
          </w:tcPr>
          <w:p>
            <w:r>
              <w:rPr>
                <w:b w:val="false"/>
                <w:bCs w:val="false"/>
                <w:color w:val="1C1C1E"/>
                <w:sz w:val="20"/>
                <w:szCs w:val="20"/>
              </w:rPr>
              <w:t xml:space="preserve">src/shared/tableStorage.js</w:t>
            </w:r>
          </w:p>
        </w:tc>
        <w:tc>
          <w:tcPr>
            <w:tcW w:type="dxa" w:w="6240"/>
            <w:vAlign w:val="center"/>
          </w:tcPr>
          <w:p>
            <w:r>
              <w:rPr>
                <w:color w:val="6B6B6B"/>
                <w:sz w:val="20"/>
                <w:szCs w:val="20"/>
              </w:rPr>
              <w:t xml:space="preserve">Azure Table Storage helpers (subscription records)</w:t>
            </w:r>
          </w:p>
        </w:tc>
      </w:tr>
      <w:tr>
        <w:tc>
          <w:tcPr>
            <w:tcW w:type="dxa" w:w="3000"/>
            <w:vAlign w:val="center"/>
          </w:tcPr>
          <w:p>
            <w:r>
              <w:rPr>
                <w:b w:val="false"/>
                <w:bCs w:val="false"/>
                <w:color w:val="1C1C1E"/>
                <w:sz w:val="20"/>
                <w:szCs w:val="20"/>
              </w:rPr>
              <w:t xml:space="preserve">src/shared/fulfillmentClient.js</w:t>
            </w:r>
          </w:p>
        </w:tc>
        <w:tc>
          <w:tcPr>
            <w:tcW w:type="dxa" w:w="6240"/>
            <w:vAlign w:val="center"/>
          </w:tcPr>
          <w:p>
            <w:r>
              <w:rPr>
                <w:color w:val="6B6B6B"/>
                <w:sz w:val="20"/>
                <w:szCs w:val="20"/>
              </w:rPr>
              <w:t xml:space="preserve">Microsoft SaaS Fulfillment API v2 client</w:t>
            </w:r>
          </w:p>
        </w:tc>
      </w:tr>
      <w:tr>
        <w:tc>
          <w:tcPr>
            <w:tcW w:type="dxa" w:w="3000"/>
            <w:vAlign w:val="center"/>
          </w:tcPr>
          <w:p>
            <w:r>
              <w:rPr>
                <w:b w:val="false"/>
                <w:bCs w:val="false"/>
                <w:color w:val="1C1C1E"/>
                <w:sz w:val="20"/>
                <w:szCs w:val="20"/>
              </w:rPr>
              <w:t xml:space="preserve">src/shared/jwtHelper.js</w:t>
            </w:r>
          </w:p>
        </w:tc>
        <w:tc>
          <w:tcPr>
            <w:tcW w:type="dxa" w:w="6240"/>
            <w:vAlign w:val="center"/>
          </w:tcPr>
          <w:p>
            <w:r>
              <w:rPr>
                <w:color w:val="6B6B6B"/>
                <w:sz w:val="20"/>
                <w:szCs w:val="20"/>
              </w:rPr>
              <w:t xml:space="preserve">Issues and verifies 24-hour license tokens</w:t>
            </w:r>
          </w:p>
        </w:tc>
      </w:tr>
      <w:tr>
        <w:tc>
          <w:tcPr>
            <w:tcW w:type="dxa" w:w="3000"/>
            <w:vAlign w:val="center"/>
          </w:tcPr>
          <w:p>
            <w:r>
              <w:rPr>
                <w:b w:val="false"/>
                <w:bCs w:val="false"/>
                <w:color w:val="1C1C1E"/>
                <w:sz w:val="20"/>
                <w:szCs w:val="20"/>
              </w:rPr>
              <w:t xml:space="preserve">taskpane.js — checkLicense()</w:t>
            </w:r>
          </w:p>
        </w:tc>
        <w:tc>
          <w:tcPr>
            <w:tcW w:type="dxa" w:w="6240"/>
            <w:vAlign w:val="center"/>
          </w:tcPr>
          <w:p>
            <w:r>
              <w:rPr>
                <w:color w:val="6B6B6B"/>
                <w:sz w:val="20"/>
                <w:szCs w:val="20"/>
              </w:rPr>
              <w:t xml:space="preserve">Client-side check, caches JWT, shows gate if unlicensed</w:t>
            </w:r>
          </w:p>
        </w:tc>
      </w:tr>
      <w:tr>
        <w:tc>
          <w:tcPr>
            <w:tcW w:type="dxa" w:w="3000"/>
            <w:vAlign w:val="center"/>
          </w:tcPr>
          <w:p>
            <w:r>
              <w:rPr>
                <w:b w:val="false"/>
                <w:bCs w:val="false"/>
                <w:color w:val="1C1C1E"/>
                <w:sz w:val="20"/>
                <w:szCs w:val="20"/>
              </w:rPr>
              <w:t xml:space="preserve">taskpane.js — showLicenseGate()</w:t>
            </w:r>
          </w:p>
        </w:tc>
        <w:tc>
          <w:tcPr>
            <w:tcW w:type="dxa" w:w="6240"/>
            <w:vAlign w:val="center"/>
          </w:tcPr>
          <w:p>
            <w:r>
              <w:rPr>
                <w:color w:val="6B6B6B"/>
                <w:sz w:val="20"/>
                <w:szCs w:val="20"/>
              </w:rPr>
              <w:t xml:space="preserve">Non-dismissible overlay when enforcement is on</w:t>
            </w:r>
          </w:p>
        </w:tc>
      </w:tr>
    </w:tbl>
    <w:p>
      <w:pPr>
        <w:pBdr>
          <w:bottom w:val="single" w:color="D0CCF0" w:sz="6"/>
        </w:pBdr>
        <w:spacing w:after="200" w:before="200"/>
      </w:pPr>
    </w:p>
    <w:p>
      <w:pPr>
        <w:pStyle w:val="Heading1"/>
        <w:spacing w:after="120" w:before="360"/>
        <w:rPr>
          <w:b/>
          <w:bCs/>
          <w:color w:val="534AB7"/>
        </w:rPr>
      </w:pPr>
      <w:r>
        <w:t xml:space="preserve">4. The License Enforcement Flag</w:t>
      </w:r>
    </w:p>
    <w:p>
      <w:pPr>
        <w:spacing w:after="80" w:before="80"/>
        <w:jc w:val="left"/>
      </w:pPr>
      <w:r>
        <w:rPr>
          <w:b w:val="false"/>
          <w:bCs w:val="false"/>
          <w:color w:val="1C1C1E"/>
          <w:sz w:val="22"/>
          <w:szCs w:val="22"/>
        </w:rPr>
        <w:t xml:space="preserve">Inside taskpane.js, near the top with the other constants:</w:t>
      </w:r>
    </w:p>
    <w:p>
      <w:pPr>
        <w:shd w:fill="EEF0FB" w:val="clear"/>
        <w:spacing w:after="60" w:before="60"/>
        <w:ind w:left="720"/>
      </w:pPr>
      <w:r>
        <w:rPr>
          <w:rFonts w:ascii="Courier New" w:cs="Courier New" w:eastAsia="Courier New" w:hAnsi="Courier New"/>
          <w:color w:val="3D35A0"/>
          <w:sz w:val="18"/>
          <w:szCs w:val="18"/>
        </w:rPr>
        <w:t xml:space="preserve">const LICENSE_ENFORCEMENT = false;</w:t>
      </w:r>
    </w:p>
    <w:p>
      <w:pPr>
        <w:spacing w:after="80" w:before="80"/>
        <w:jc w:val="left"/>
      </w:pPr>
      <w:r>
        <w:rPr>
          <w:b w:val="false"/>
          <w:bCs w:val="false"/>
          <w:color w:val="1C1C1E"/>
          <w:sz w:val="22"/>
          <w:szCs w:val="22"/>
        </w:rPr>
        <w:t xml:space="preserve">While this is false, the license check runs on every startup and logs the result silently. No features are blocked and no overlay is shown. Users see zero change from the current behaviour.</w:t>
      </w:r>
    </w:p>
    <w:p>
      <w:pPr>
        <w:spacing w:after="80" w:before="80"/>
        <w:jc w:val="left"/>
      </w:pPr>
      <w:r>
        <w:rPr>
          <w:b w:val="false"/>
          <w:bCs w:val="false"/>
          <w:color w:val="1C1C1E"/>
          <w:sz w:val="22"/>
          <w:szCs w:val="22"/>
        </w:rPr>
        <w:t xml:space="preserve">When you are ready to require a paid subscription, change this to true and update LICENSE_API_URL to your deployed Azure Functions URL:</w:t>
      </w:r>
    </w:p>
    <w:p>
      <w:pPr>
        <w:shd w:fill="EEF0FB" w:val="clear"/>
        <w:spacing w:after="60" w:before="60"/>
        <w:ind w:left="720"/>
      </w:pPr>
      <w:r>
        <w:rPr>
          <w:rFonts w:ascii="Courier New" w:cs="Courier New" w:eastAsia="Courier New" w:hAnsi="Courier New"/>
          <w:color w:val="3D35A0"/>
          <w:sz w:val="18"/>
          <w:szCs w:val="18"/>
        </w:rPr>
        <w:t xml:space="preserve">const LICENSE_ENFORCEMENT = true;</w:t>
      </w:r>
    </w:p>
    <w:p>
      <w:pPr>
        <w:shd w:fill="EEF0FB" w:val="clear"/>
        <w:spacing w:after="60" w:before="60"/>
        <w:ind w:left="720"/>
      </w:pPr>
      <w:r>
        <w:rPr>
          <w:rFonts w:ascii="Courier New" w:cs="Courier New" w:eastAsia="Courier New" w:hAnsi="Courier New"/>
          <w:color w:val="3D35A0"/>
          <w:sz w:val="18"/>
          <w:szCs w:val="18"/>
        </w:rPr>
        <w:t xml:space="preserve">const LICENSE_API_URL = "https://YOUR_APP.azurewebsites.net/api/license";</w:t>
      </w:r>
    </w:p>
    <w:p>
      <w:pPr>
        <w:spacing w:after="80" w:before="80"/>
        <w:jc w:val="left"/>
      </w:pPr>
      <w:r>
        <w:rPr>
          <w:b w:val="false"/>
          <w:bCs w:val="false"/>
          <w:color w:val="1C1C1E"/>
          <w:sz w:val="22"/>
          <w:szCs w:val="22"/>
        </w:rPr>
        <w:t xml:space="preserve">That is the only change needed in the add-in code to go live with licensing. Deploy the updated taskpane.js to GitHub Pages and the gate activates immediately for all users.</w:t>
      </w:r>
    </w:p>
    <w:p>
      <w:pPr>
        <w:pBdr>
          <w:bottom w:val="single" w:color="D0CCF0" w:sz="6"/>
        </w:pBdr>
        <w:spacing w:after="200" w:before="200"/>
      </w:pPr>
    </w:p>
    <w:p>
      <w:pPr>
        <w:pStyle w:val="Heading1"/>
        <w:spacing w:after="120" w:before="360"/>
        <w:rPr>
          <w:b/>
          <w:bCs/>
          <w:color w:val="534AB7"/>
        </w:rPr>
      </w:pPr>
      <w:r>
        <w:t xml:space="preserve">5. Azure Setup Steps</w:t>
      </w:r>
    </w:p>
    <w:p>
      <w:pPr>
        <w:pStyle w:val="Heading2"/>
        <w:spacing w:after="80" w:before="280"/>
      </w:pPr>
      <w:r>
        <w:t xml:space="preserve">Step 1 — Create a Resource Group</w:t>
      </w:r>
    </w:p>
    <w:p>
      <w:pPr>
        <w:pStyle w:val="ListParagraph"/>
        <w:numPr>
          <w:ilvl w:val="0"/>
          <w:numId w:val="1"/>
        </w:numPr>
        <w:spacing w:after="40" w:before="40"/>
      </w:pPr>
      <w:r>
        <w:rPr>
          <w:color w:val="1C1C1E"/>
          <w:sz w:val="22"/>
          <w:szCs w:val="22"/>
        </w:rPr>
        <w:t xml:space="preserve">In the Azure Portal, create a resource group, e.g. mail-merge-licensing</w:t>
      </w:r>
    </w:p>
    <w:p>
      <w:pPr>
        <w:pStyle w:val="ListParagraph"/>
        <w:numPr>
          <w:ilvl w:val="0"/>
          <w:numId w:val="1"/>
        </w:numPr>
        <w:spacing w:after="40" w:before="40"/>
      </w:pPr>
      <w:r>
        <w:rPr>
          <w:color w:val="1C1C1E"/>
          <w:sz w:val="22"/>
          <w:szCs w:val="22"/>
        </w:rPr>
        <w:t xml:space="preserve">Choose the region closest to your users (Australia East or East US)</w:t>
      </w:r>
    </w:p>
    <w:p>
      <w:pPr>
        <w:pStyle w:val="Heading2"/>
        <w:spacing w:after="80" w:before="280"/>
      </w:pPr>
      <w:r>
        <w:t xml:space="preserve">Step 2 — Create an Azure Storage Account</w:t>
      </w:r>
    </w:p>
    <w:p>
      <w:pPr>
        <w:pStyle w:val="ListParagraph"/>
        <w:numPr>
          <w:ilvl w:val="0"/>
          <w:numId w:val="1"/>
        </w:numPr>
        <w:spacing w:after="40" w:before="40"/>
      </w:pPr>
      <w:r>
        <w:rPr>
          <w:color w:val="1C1C1E"/>
          <w:sz w:val="22"/>
          <w:szCs w:val="22"/>
        </w:rPr>
        <w:t xml:space="preserve">In the resource group, add a Storage Account</w:t>
      </w:r>
    </w:p>
    <w:p>
      <w:pPr>
        <w:pStyle w:val="ListParagraph"/>
        <w:numPr>
          <w:ilvl w:val="0"/>
          <w:numId w:val="1"/>
        </w:numPr>
        <w:spacing w:after="40" w:before="40"/>
      </w:pPr>
      <w:r>
        <w:rPr>
          <w:color w:val="1C1C1E"/>
          <w:sz w:val="22"/>
          <w:szCs w:val="22"/>
        </w:rPr>
        <w:t xml:space="preserve">Tier: Standard LRS (cheapest, sufficient for this workload)</w:t>
      </w:r>
    </w:p>
    <w:p>
      <w:pPr>
        <w:pStyle w:val="ListParagraph"/>
        <w:numPr>
          <w:ilvl w:val="0"/>
          <w:numId w:val="1"/>
        </w:numPr>
        <w:spacing w:after="40" w:before="40"/>
      </w:pPr>
      <w:r>
        <w:rPr>
          <w:color w:val="1C1C1E"/>
          <w:sz w:val="22"/>
          <w:szCs w:val="22"/>
        </w:rPr>
        <w:t xml:space="preserve">Copy the connection string from Security + Networking → Access keys</w:t>
      </w:r>
    </w:p>
    <w:p>
      <w:pPr>
        <w:pStyle w:val="ListParagraph"/>
        <w:numPr>
          <w:ilvl w:val="0"/>
          <w:numId w:val="1"/>
        </w:numPr>
        <w:spacing w:after="40" w:before="40"/>
      </w:pPr>
      <w:r>
        <w:rPr>
          <w:color w:val="1C1C1E"/>
          <w:sz w:val="22"/>
          <w:szCs w:val="22"/>
        </w:rPr>
        <w:t xml:space="preserve">Paste it as AZURE_STORAGE_CONNECTION_STRING in your Function App settings</w:t>
      </w:r>
    </w:p>
    <w:p>
      <w:pPr>
        <w:pStyle w:val="Heading2"/>
        <w:spacing w:after="80" w:before="280"/>
      </w:pPr>
      <w:r>
        <w:t xml:space="preserve">Step 3 — Create the Azure Function App</w:t>
      </w:r>
    </w:p>
    <w:p>
      <w:pPr>
        <w:pStyle w:val="ListParagraph"/>
        <w:numPr>
          <w:ilvl w:val="0"/>
          <w:numId w:val="1"/>
        </w:numPr>
        <w:spacing w:after="40" w:before="40"/>
      </w:pPr>
      <w:r>
        <w:rPr>
          <w:color w:val="1C1C1E"/>
          <w:sz w:val="22"/>
          <w:szCs w:val="22"/>
        </w:rPr>
        <w:t xml:space="preserve">Runtime: Node.js 20, OS: Linux, Plan: Consumption (pay-per-use, ~free at low volume)</w:t>
      </w:r>
    </w:p>
    <w:p>
      <w:pPr>
        <w:pStyle w:val="ListParagraph"/>
        <w:numPr>
          <w:ilvl w:val="0"/>
          <w:numId w:val="1"/>
        </w:numPr>
        <w:spacing w:after="40" w:before="40"/>
      </w:pPr>
      <w:r>
        <w:rPr>
          <w:color w:val="1C1C1E"/>
          <w:sz w:val="22"/>
          <w:szCs w:val="22"/>
        </w:rPr>
        <w:t xml:space="preserve">Assign it to the resource group and storage account above</w:t>
      </w:r>
    </w:p>
    <w:p>
      <w:pPr>
        <w:pStyle w:val="ListParagraph"/>
        <w:numPr>
          <w:ilvl w:val="0"/>
          <w:numId w:val="1"/>
        </w:numPr>
        <w:spacing w:after="40" w:before="40"/>
      </w:pPr>
      <w:r>
        <w:rPr>
          <w:color w:val="1C1C1E"/>
          <w:sz w:val="22"/>
          <w:szCs w:val="22"/>
        </w:rPr>
        <w:t xml:space="preserve">After creation, go to Settings → Environment variables and add all values from local.settings.json.example</w:t>
      </w:r>
    </w:p>
    <w:p>
      <w:pPr>
        <w:pStyle w:val="Heading2"/>
        <w:spacing w:after="80" w:before="280"/>
      </w:pPr>
      <w:r>
        <w:t xml:space="preserve">Step 4 — Deploy the functions</w:t>
      </w:r>
    </w:p>
    <w:p>
      <w:pPr>
        <w:pStyle w:val="ListParagraph"/>
        <w:numPr>
          <w:ilvl w:val="0"/>
          <w:numId w:val="1"/>
        </w:numPr>
        <w:spacing w:after="40" w:before="40"/>
      </w:pPr>
      <w:r>
        <w:rPr>
          <w:color w:val="1C1C1E"/>
          <w:sz w:val="22"/>
          <w:szCs w:val="22"/>
        </w:rPr>
        <w:t xml:space="preserve">Install Azure Functions Core Tools: npm install -g azure-functions-core-tools@4</w:t>
      </w:r>
    </w:p>
    <w:p>
      <w:pPr>
        <w:pStyle w:val="ListParagraph"/>
        <w:numPr>
          <w:ilvl w:val="0"/>
          <w:numId w:val="1"/>
        </w:numPr>
        <w:spacing w:after="40" w:before="40"/>
      </w:pPr>
      <w:r>
        <w:rPr>
          <w:color w:val="1C1C1E"/>
          <w:sz w:val="22"/>
          <w:szCs w:val="22"/>
        </w:rPr>
        <w:t xml:space="preserve">From the mail-merge-licensing folder, run: func azure functionapp publish YOUR_APP_NAME</w:t>
      </w:r>
    </w:p>
    <w:p>
      <w:pPr>
        <w:pStyle w:val="ListParagraph"/>
        <w:numPr>
          <w:ilvl w:val="0"/>
          <w:numId w:val="1"/>
        </w:numPr>
        <w:spacing w:after="40" w:before="40"/>
      </w:pPr>
      <w:r>
        <w:rPr>
          <w:color w:val="1C1C1E"/>
          <w:sz w:val="22"/>
          <w:szCs w:val="22"/>
        </w:rPr>
        <w:t xml:space="preserve">Confirm all three routes respond: /api/activate, /api/webhook, /api/license</w:t>
      </w:r>
    </w:p>
    <w:p>
      <w:pPr>
        <w:pStyle w:val="Heading2"/>
        <w:spacing w:after="80" w:before="280"/>
      </w:pPr>
      <w:r>
        <w:t xml:space="preserve">Step 5 — Update ALLOWED_ORIGINS</w:t>
      </w:r>
    </w:p>
    <w:p>
      <w:pPr>
        <w:pStyle w:val="ListParagraph"/>
        <w:numPr>
          <w:ilvl w:val="0"/>
          <w:numId w:val="1"/>
        </w:numPr>
        <w:spacing w:after="40" w:before="40"/>
      </w:pPr>
      <w:r>
        <w:rPr>
          <w:color w:val="1C1C1E"/>
          <w:sz w:val="22"/>
          <w:szCs w:val="22"/>
        </w:rPr>
        <w:t xml:space="preserve">Set ALLOWED_ORIGINS in Function App environment variables to your GitHub Pages URL(s)</w:t>
      </w:r>
    </w:p>
    <w:p>
      <w:pPr>
        <w:pStyle w:val="ListParagraph"/>
        <w:numPr>
          <w:ilvl w:val="0"/>
          <w:numId w:val="1"/>
        </w:numPr>
        <w:spacing w:after="40" w:before="40"/>
      </w:pPr>
      <w:r>
        <w:rPr>
          <w:color w:val="1C1C1E"/>
          <w:sz w:val="22"/>
          <w:szCs w:val="22"/>
        </w:rPr>
        <w:t xml:space="preserve">Example: https://leighton-grey.github.io,https://grey8ghost.github.io</w:t>
      </w:r>
    </w:p>
    <w:p>
      <w:pPr>
        <w:pBdr>
          <w:bottom w:val="single" w:color="D0CCF0" w:sz="6"/>
        </w:pBdr>
        <w:spacing w:after="200" w:before="200"/>
      </w:pPr>
    </w:p>
    <w:p>
      <w:pPr>
        <w:pStyle w:val="Heading1"/>
        <w:spacing w:after="120" w:before="360"/>
        <w:rPr>
          <w:b/>
          <w:bCs/>
          <w:color w:val="534AB7"/>
        </w:rPr>
      </w:pPr>
      <w:r>
        <w:t xml:space="preserve">6. AppSource Submission Steps</w:t>
      </w:r>
    </w:p>
    <w:p>
      <w:pPr>
        <w:pStyle w:val="Heading2"/>
        <w:spacing w:after="80" w:before="280"/>
      </w:pPr>
      <w:r>
        <w:t xml:space="preserve">Step 1 — Partner Center account</w:t>
      </w:r>
    </w:p>
    <w:p>
      <w:pPr>
        <w:pStyle w:val="ListParagraph"/>
        <w:numPr>
          <w:ilvl w:val="0"/>
          <w:numId w:val="1"/>
        </w:numPr>
        <w:spacing w:after="40" w:before="40"/>
      </w:pPr>
      <w:r>
        <w:rPr>
          <w:color w:val="1C1C1E"/>
          <w:sz w:val="22"/>
          <w:szCs w:val="22"/>
        </w:rPr>
        <w:t xml:space="preserve">Sign up at partner.microsoft.com using your Microsoft account</w:t>
      </w:r>
    </w:p>
    <w:p>
      <w:pPr>
        <w:pStyle w:val="ListParagraph"/>
        <w:numPr>
          <w:ilvl w:val="0"/>
          <w:numId w:val="1"/>
        </w:numPr>
        <w:spacing w:after="40" w:before="40"/>
      </w:pPr>
      <w:r>
        <w:rPr>
          <w:color w:val="1C1C1E"/>
          <w:sz w:val="22"/>
          <w:szCs w:val="22"/>
        </w:rPr>
        <w:t xml:space="preserve">Complete the publisher verification (business details, bank account for payouts)</w:t>
      </w:r>
    </w:p>
    <w:p>
      <w:pPr>
        <w:pStyle w:val="ListParagraph"/>
        <w:numPr>
          <w:ilvl w:val="0"/>
          <w:numId w:val="1"/>
        </w:numPr>
        <w:spacing w:after="40" w:before="40"/>
      </w:pPr>
      <w:r>
        <w:rPr>
          <w:color w:val="1C1C1E"/>
          <w:sz w:val="22"/>
          <w:szCs w:val="22"/>
        </w:rPr>
        <w:t xml:space="preserve">This process takes 1–5 business days</w:t>
      </w:r>
    </w:p>
    <w:p>
      <w:pPr>
        <w:pStyle w:val="Heading2"/>
        <w:spacing w:after="80" w:before="280"/>
      </w:pPr>
      <w:r>
        <w:t xml:space="preserve">Step 2 — Create a SaaS offer</w:t>
      </w:r>
    </w:p>
    <w:p>
      <w:pPr>
        <w:pStyle w:val="ListParagraph"/>
        <w:numPr>
          <w:ilvl w:val="0"/>
          <w:numId w:val="1"/>
        </w:numPr>
        <w:spacing w:after="40" w:before="40"/>
      </w:pPr>
      <w:r>
        <w:rPr>
          <w:color w:val="1C1C1E"/>
          <w:sz w:val="22"/>
          <w:szCs w:val="22"/>
        </w:rPr>
        <w:t xml:space="preserve">In Partner Center → Marketplace offers → New offer → Software as a Service</w:t>
      </w:r>
    </w:p>
    <w:p>
      <w:pPr>
        <w:pStyle w:val="ListParagraph"/>
        <w:numPr>
          <w:ilvl w:val="0"/>
          <w:numId w:val="1"/>
        </w:numPr>
        <w:spacing w:after="40" w:before="40"/>
      </w:pPr>
      <w:r>
        <w:rPr>
          <w:color w:val="1C1C1E"/>
          <w:sz w:val="22"/>
          <w:szCs w:val="22"/>
        </w:rPr>
        <w:t xml:space="preserve">Offer type: Transactable (so Microsoft handles billing)</w:t>
      </w:r>
    </w:p>
    <w:p>
      <w:pPr>
        <w:pStyle w:val="ListParagraph"/>
        <w:numPr>
          <w:ilvl w:val="0"/>
          <w:numId w:val="1"/>
        </w:numPr>
        <w:spacing w:after="40" w:before="40"/>
      </w:pPr>
      <w:r>
        <w:rPr>
          <w:color w:val="1C1C1E"/>
          <w:sz w:val="22"/>
          <w:szCs w:val="22"/>
        </w:rPr>
        <w:t xml:space="preserve">Set the Landing page URL to: https://YOUR_APP.azurewebsites.net/api/activate</w:t>
      </w:r>
    </w:p>
    <w:p>
      <w:pPr>
        <w:pStyle w:val="ListParagraph"/>
        <w:numPr>
          <w:ilvl w:val="0"/>
          <w:numId w:val="1"/>
        </w:numPr>
        <w:spacing w:after="40" w:before="40"/>
      </w:pPr>
      <w:r>
        <w:rPr>
          <w:color w:val="1C1C1E"/>
          <w:sz w:val="22"/>
          <w:szCs w:val="22"/>
        </w:rPr>
        <w:t xml:space="preserve">Set the Webhook URL to: https://YOUR_APP.azurewebsites.net/api/webhook</w:t>
      </w:r>
    </w:p>
    <w:p>
      <w:pPr>
        <w:pStyle w:val="ListParagraph"/>
        <w:numPr>
          <w:ilvl w:val="0"/>
          <w:numId w:val="1"/>
        </w:numPr>
        <w:spacing w:after="40" w:before="40"/>
      </w:pPr>
      <w:r>
        <w:rPr>
          <w:color w:val="1C1C1E"/>
          <w:sz w:val="22"/>
          <w:szCs w:val="22"/>
        </w:rPr>
        <w:t xml:space="preserve">Set Connection webhook to the same URL</w:t>
      </w:r>
    </w:p>
    <w:p>
      <w:pPr>
        <w:pStyle w:val="Heading2"/>
        <w:spacing w:after="80" w:before="280"/>
      </w:pPr>
      <w:r>
        <w:t xml:space="preserve">Step 3 — Define plans and pricing</w:t>
      </w:r>
    </w:p>
    <w:p>
      <w:pPr>
        <w:pStyle w:val="ListParagraph"/>
        <w:numPr>
          <w:ilvl w:val="0"/>
          <w:numId w:val="1"/>
        </w:numPr>
        <w:spacing w:after="40" w:before="40"/>
      </w:pPr>
      <w:r>
        <w:rPr>
          <w:color w:val="1C1C1E"/>
          <w:sz w:val="22"/>
          <w:szCs w:val="22"/>
        </w:rPr>
        <w:t xml:space="preserve">Create at least one plan (e.g. Pro — per organisation, flat monthly fee)</w:t>
      </w:r>
    </w:p>
    <w:p>
      <w:pPr>
        <w:pStyle w:val="ListParagraph"/>
        <w:numPr>
          <w:ilvl w:val="0"/>
          <w:numId w:val="1"/>
        </w:numPr>
        <w:spacing w:after="40" w:before="40"/>
      </w:pPr>
      <w:r>
        <w:rPr>
          <w:color w:val="1C1C1E"/>
          <w:sz w:val="22"/>
          <w:szCs w:val="22"/>
        </w:rPr>
        <w:t xml:space="preserve">Microsoft takes approximately 3% of revenue; you receive the rest monthly</w:t>
      </w:r>
    </w:p>
    <w:p>
      <w:pPr>
        <w:pStyle w:val="ListParagraph"/>
        <w:numPr>
          <w:ilvl w:val="0"/>
          <w:numId w:val="1"/>
        </w:numPr>
        <w:spacing w:after="40" w:before="40"/>
      </w:pPr>
      <w:r>
        <w:rPr>
          <w:color w:val="1C1C1E"/>
          <w:sz w:val="22"/>
          <w:szCs w:val="22"/>
        </w:rPr>
        <w:t xml:space="preserve">Set the plan ID to a short string (e.g. pro) — this is what appears in the license JWT</w:t>
      </w:r>
    </w:p>
    <w:p>
      <w:pPr>
        <w:pStyle w:val="Heading2"/>
        <w:spacing w:after="80" w:before="280"/>
      </w:pPr>
      <w:r>
        <w:t xml:space="preserve">Step 4 — Link your Entra app registration</w:t>
      </w:r>
    </w:p>
    <w:p>
      <w:pPr>
        <w:pStyle w:val="ListParagraph"/>
        <w:numPr>
          <w:ilvl w:val="0"/>
          <w:numId w:val="1"/>
        </w:numPr>
        <w:spacing w:after="40" w:before="40"/>
      </w:pPr>
      <w:r>
        <w:rPr>
          <w:color w:val="1C1C1E"/>
          <w:sz w:val="22"/>
          <w:szCs w:val="22"/>
        </w:rPr>
        <w:t xml:space="preserve">In Technical configuration, enter your existing Entra app client ID: d06ae3cf-a7da-4264-b20e-ab8d70c06977</w:t>
      </w:r>
    </w:p>
    <w:p>
      <w:pPr>
        <w:pStyle w:val="ListParagraph"/>
        <w:numPr>
          <w:ilvl w:val="0"/>
          <w:numId w:val="1"/>
        </w:numPr>
        <w:spacing w:after="40" w:before="40"/>
      </w:pPr>
      <w:r>
        <w:rPr>
          <w:color w:val="1C1C1E"/>
          <w:sz w:val="22"/>
          <w:szCs w:val="22"/>
        </w:rPr>
        <w:t xml:space="preserve">This connects the SaaS offer to the app registration the add-in already uses for Graph auth</w:t>
      </w:r>
    </w:p>
    <w:p>
      <w:pPr>
        <w:pStyle w:val="Heading2"/>
        <w:spacing w:after="80" w:before="280"/>
      </w:pPr>
      <w:r>
        <w:t xml:space="preserve">Step 5 — Submit the Office add-in</w:t>
      </w:r>
    </w:p>
    <w:p>
      <w:pPr>
        <w:pStyle w:val="ListParagraph"/>
        <w:numPr>
          <w:ilvl w:val="0"/>
          <w:numId w:val="1"/>
        </w:numPr>
        <w:spacing w:after="40" w:before="40"/>
      </w:pPr>
      <w:r>
        <w:rPr>
          <w:color w:val="1C1C1E"/>
          <w:sz w:val="22"/>
          <w:szCs w:val="22"/>
        </w:rPr>
        <w:t xml:space="preserve">In Partner Center → Office add-ins → New add-in</w:t>
      </w:r>
    </w:p>
    <w:p>
      <w:pPr>
        <w:pStyle w:val="ListParagraph"/>
        <w:numPr>
          <w:ilvl w:val="0"/>
          <w:numId w:val="1"/>
        </w:numPr>
        <w:spacing w:after="40" w:before="40"/>
      </w:pPr>
      <w:r>
        <w:rPr>
          <w:color w:val="1C1C1E"/>
          <w:sz w:val="22"/>
          <w:szCs w:val="22"/>
        </w:rPr>
        <w:t xml:space="preserve">Upload your manifest.xml</w:t>
      </w:r>
    </w:p>
    <w:p>
      <w:pPr>
        <w:pStyle w:val="ListParagraph"/>
        <w:numPr>
          <w:ilvl w:val="0"/>
          <w:numId w:val="1"/>
        </w:numPr>
        <w:spacing w:after="40" w:before="40"/>
      </w:pPr>
      <w:r>
        <w:rPr>
          <w:color w:val="1C1C1E"/>
          <w:sz w:val="22"/>
          <w:szCs w:val="22"/>
        </w:rPr>
        <w:t xml:space="preserve">The manifest already points to your GitHub Pages hosting — no changes needed</w:t>
      </w:r>
    </w:p>
    <w:p>
      <w:pPr>
        <w:pStyle w:val="ListParagraph"/>
        <w:numPr>
          <w:ilvl w:val="0"/>
          <w:numId w:val="1"/>
        </w:numPr>
        <w:spacing w:after="40" w:before="40"/>
      </w:pPr>
      <w:r>
        <w:rPr>
          <w:color w:val="1C1C1E"/>
          <w:sz w:val="22"/>
          <w:szCs w:val="22"/>
        </w:rPr>
        <w:t xml:space="preserve">Microsoft review typically takes 3–5 business days</w:t>
      </w:r>
    </w:p>
    <w:p>
      <w:pPr>
        <w:pStyle w:val="ListParagraph"/>
        <w:numPr>
          <w:ilvl w:val="0"/>
          <w:numId w:val="1"/>
        </w:numPr>
        <w:spacing w:after="40" w:before="40"/>
      </w:pPr>
      <w:r>
        <w:rPr>
          <w:color w:val="1C1C1E"/>
          <w:sz w:val="22"/>
          <w:szCs w:val="22"/>
        </w:rPr>
        <w:t xml:space="preserve">Link the add-in offer to your SaaS offer so users can purchase from the add-in's AppSource listing</w:t>
      </w:r>
    </w:p>
    <w:p>
      <w:pPr>
        <w:pBdr>
          <w:bottom w:val="single" w:color="D0CCF0" w:sz="6"/>
        </w:pBdr>
        <w:spacing w:after="200" w:before="200"/>
      </w:pPr>
    </w:p>
    <w:p>
      <w:pPr>
        <w:pStyle w:val="Heading1"/>
        <w:spacing w:after="120" w:before="360"/>
        <w:rPr>
          <w:b/>
          <w:bCs/>
          <w:color w:val="534AB7"/>
        </w:rPr>
      </w:pPr>
      <w:r>
        <w:t xml:space="preserve">7. Go-Live Checklist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00"/>
        <w:gridCol w:w="6240"/>
      </w:tblGrid>
      <w:tr>
        <w:tc>
          <w:tcPr>
            <w:tcW w:type="dxa" w:w="3000"/>
            <w:shd w:fill="EEF0FB" w:color="534AB7" w:val="clear"/>
            <w:vAlign w:val="center"/>
          </w:tcPr>
          <w:p>
            <w:r>
              <w:rPr>
                <w:b/>
                <w:bCs/>
                <w:color w:val="534AB7"/>
                <w:sz w:val="20"/>
                <w:szCs w:val="20"/>
              </w:rPr>
              <w:t xml:space="preserve">Item</w:t>
            </w:r>
          </w:p>
        </w:tc>
        <w:tc>
          <w:tcPr>
            <w:tcW w:type="dxa" w:w="6240"/>
            <w:shd w:fill="EEF0FB" w:color="534AB7" w:val="clear"/>
            <w:vAlign w:val="center"/>
          </w:tcPr>
          <w:p>
            <w:r>
              <w:rPr>
                <w:color w:val="6B6B6B"/>
                <w:sz w:val="20"/>
                <w:szCs w:val="20"/>
              </w:rPr>
              <w:t xml:space="preserve">Status</w:t>
            </w:r>
          </w:p>
        </w:tc>
      </w:tr>
      <w:tr>
        <w:tc>
          <w:tcPr>
            <w:tcW w:type="dxa" w:w="3000"/>
            <w:vAlign w:val="center"/>
          </w:tcPr>
          <w:p>
            <w:r>
              <w:rPr>
                <w:b w:val="false"/>
                <w:bCs w:val="false"/>
                <w:color w:val="1C1C1E"/>
                <w:sz w:val="20"/>
                <w:szCs w:val="20"/>
              </w:rPr>
              <w:t xml:space="preserve">Azure Functions deployed and all 3 routes responding</w:t>
            </w:r>
          </w:p>
        </w:tc>
        <w:tc>
          <w:tcPr>
            <w:tcW w:type="dxa" w:w="6240"/>
            <w:vAlign w:val="center"/>
          </w:tcPr>
          <w:p>
            <w:r>
              <w:rPr>
                <w:color w:val="6B6B6B"/>
                <w:sz w:val="20"/>
                <w:szCs w:val="20"/>
              </w:rPr>
              <w:t xml:space="preserve"/>
            </w:r>
          </w:p>
        </w:tc>
      </w:tr>
      <w:tr>
        <w:tc>
          <w:tcPr>
            <w:tcW w:type="dxa" w:w="3000"/>
            <w:vAlign w:val="center"/>
          </w:tcPr>
          <w:p>
            <w:r>
              <w:rPr>
                <w:b w:val="false"/>
                <w:bCs w:val="false"/>
                <w:color w:val="1C1C1E"/>
                <w:sz w:val="20"/>
                <w:szCs w:val="20"/>
              </w:rPr>
              <w:t xml:space="preserve">ALLOWED_ORIGINS set to production GitHub Pages URL</w:t>
            </w:r>
          </w:p>
        </w:tc>
        <w:tc>
          <w:tcPr>
            <w:tcW w:type="dxa" w:w="6240"/>
            <w:vAlign w:val="center"/>
          </w:tcPr>
          <w:p>
            <w:r>
              <w:rPr>
                <w:color w:val="6B6B6B"/>
                <w:sz w:val="20"/>
                <w:szCs w:val="20"/>
              </w:rPr>
              <w:t xml:space="preserve"/>
            </w:r>
          </w:p>
        </w:tc>
      </w:tr>
      <w:tr>
        <w:tc>
          <w:tcPr>
            <w:tcW w:type="dxa" w:w="3000"/>
            <w:vAlign w:val="center"/>
          </w:tcPr>
          <w:p>
            <w:r>
              <w:rPr>
                <w:b w:val="false"/>
                <w:bCs w:val="false"/>
                <w:color w:val="1C1C1E"/>
                <w:sz w:val="20"/>
                <w:szCs w:val="20"/>
              </w:rPr>
              <w:t xml:space="preserve">LICENSE_API_URL updated in taskpane.js</w:t>
            </w:r>
          </w:p>
        </w:tc>
        <w:tc>
          <w:tcPr>
            <w:tcW w:type="dxa" w:w="6240"/>
            <w:vAlign w:val="center"/>
          </w:tcPr>
          <w:p>
            <w:r>
              <w:rPr>
                <w:color w:val="6B6B6B"/>
                <w:sz w:val="20"/>
                <w:szCs w:val="20"/>
              </w:rPr>
              <w:t xml:space="preserve"/>
            </w:r>
          </w:p>
        </w:tc>
      </w:tr>
      <w:tr>
        <w:tc>
          <w:tcPr>
            <w:tcW w:type="dxa" w:w="3000"/>
            <w:vAlign w:val="center"/>
          </w:tcPr>
          <w:p>
            <w:r>
              <w:rPr>
                <w:b w:val="false"/>
                <w:bCs w:val="false"/>
                <w:color w:val="1C1C1E"/>
                <w:sz w:val="20"/>
                <w:szCs w:val="20"/>
              </w:rPr>
              <w:t xml:space="preserve">LICENSE_ENFORCEMENT set to true in taskpane.js</w:t>
            </w:r>
          </w:p>
        </w:tc>
        <w:tc>
          <w:tcPr>
            <w:tcW w:type="dxa" w:w="6240"/>
            <w:vAlign w:val="center"/>
          </w:tcPr>
          <w:p>
            <w:r>
              <w:rPr>
                <w:color w:val="6B6B6B"/>
                <w:sz w:val="20"/>
                <w:szCs w:val="20"/>
              </w:rPr>
              <w:t xml:space="preserve"/>
            </w:r>
          </w:p>
        </w:tc>
      </w:tr>
      <w:tr>
        <w:tc>
          <w:tcPr>
            <w:tcW w:type="dxa" w:w="3000"/>
            <w:vAlign w:val="center"/>
          </w:tcPr>
          <w:p>
            <w:r>
              <w:rPr>
                <w:b w:val="false"/>
                <w:bCs w:val="false"/>
                <w:color w:val="1C1C1E"/>
                <w:sz w:val="20"/>
                <w:szCs w:val="20"/>
              </w:rPr>
              <w:t xml:space="preserve">taskpane.js deployed to GitHub Pages</w:t>
            </w:r>
          </w:p>
        </w:tc>
        <w:tc>
          <w:tcPr>
            <w:tcW w:type="dxa" w:w="6240"/>
            <w:vAlign w:val="center"/>
          </w:tcPr>
          <w:p>
            <w:r>
              <w:rPr>
                <w:color w:val="6B6B6B"/>
                <w:sz w:val="20"/>
                <w:szCs w:val="20"/>
              </w:rPr>
              <w:t xml:space="preserve"/>
            </w:r>
          </w:p>
        </w:tc>
      </w:tr>
      <w:tr>
        <w:tc>
          <w:tcPr>
            <w:tcW w:type="dxa" w:w="3000"/>
            <w:vAlign w:val="center"/>
          </w:tcPr>
          <w:p>
            <w:r>
              <w:rPr>
                <w:b w:val="false"/>
                <w:bCs w:val="false"/>
                <w:color w:val="1C1C1E"/>
                <w:sz w:val="20"/>
                <w:szCs w:val="20"/>
              </w:rPr>
              <w:t xml:space="preserve">Partner Center account verified</w:t>
            </w:r>
          </w:p>
        </w:tc>
        <w:tc>
          <w:tcPr>
            <w:tcW w:type="dxa" w:w="6240"/>
            <w:vAlign w:val="center"/>
          </w:tcPr>
          <w:p>
            <w:r>
              <w:rPr>
                <w:color w:val="6B6B6B"/>
                <w:sz w:val="20"/>
                <w:szCs w:val="20"/>
              </w:rPr>
              <w:t xml:space="preserve"/>
            </w:r>
          </w:p>
        </w:tc>
      </w:tr>
      <w:tr>
        <w:tc>
          <w:tcPr>
            <w:tcW w:type="dxa" w:w="3000"/>
            <w:vAlign w:val="center"/>
          </w:tcPr>
          <w:p>
            <w:r>
              <w:rPr>
                <w:b w:val="false"/>
                <w:bCs w:val="false"/>
                <w:color w:val="1C1C1E"/>
                <w:sz w:val="20"/>
                <w:szCs w:val="20"/>
              </w:rPr>
              <w:t xml:space="preserve">SaaS offer published and approved</w:t>
            </w:r>
          </w:p>
        </w:tc>
        <w:tc>
          <w:tcPr>
            <w:tcW w:type="dxa" w:w="6240"/>
            <w:vAlign w:val="center"/>
          </w:tcPr>
          <w:p>
            <w:r>
              <w:rPr>
                <w:color w:val="6B6B6B"/>
                <w:sz w:val="20"/>
                <w:szCs w:val="20"/>
              </w:rPr>
              <w:t xml:space="preserve"/>
            </w:r>
          </w:p>
        </w:tc>
      </w:tr>
      <w:tr>
        <w:tc>
          <w:tcPr>
            <w:tcW w:type="dxa" w:w="3000"/>
            <w:vAlign w:val="center"/>
          </w:tcPr>
          <w:p>
            <w:r>
              <w:rPr>
                <w:b w:val="false"/>
                <w:bCs w:val="false"/>
                <w:color w:val="1C1C1E"/>
                <w:sz w:val="20"/>
                <w:szCs w:val="20"/>
              </w:rPr>
              <w:t xml:space="preserve">Office add-in listing approved on AppSource</w:t>
            </w:r>
          </w:p>
        </w:tc>
        <w:tc>
          <w:tcPr>
            <w:tcW w:type="dxa" w:w="6240"/>
            <w:vAlign w:val="center"/>
          </w:tcPr>
          <w:p>
            <w:r>
              <w:rPr>
                <w:color w:val="6B6B6B"/>
                <w:sz w:val="20"/>
                <w:szCs w:val="20"/>
              </w:rPr>
              <w:t xml:space="preserve"/>
            </w:r>
          </w:p>
        </w:tc>
      </w:tr>
      <w:tr>
        <w:tc>
          <w:tcPr>
            <w:tcW w:type="dxa" w:w="3000"/>
            <w:vAlign w:val="center"/>
          </w:tcPr>
          <w:p>
            <w:r>
              <w:rPr>
                <w:b w:val="false"/>
                <w:bCs w:val="false"/>
                <w:color w:val="1C1C1E"/>
                <w:sz w:val="20"/>
                <w:szCs w:val="20"/>
              </w:rPr>
              <w:t xml:space="preserve">End-to-end test: purchase → activation → add-in shows licensed</w:t>
            </w:r>
          </w:p>
        </w:tc>
        <w:tc>
          <w:tcPr>
            <w:tcW w:type="dxa" w:w="6240"/>
            <w:vAlign w:val="center"/>
          </w:tcPr>
          <w:p>
            <w:r>
              <w:rPr>
                <w:color w:val="6B6B6B"/>
                <w:sz w:val="20"/>
                <w:szCs w:val="20"/>
              </w:rPr>
              <w:t xml:space="preserve"/>
            </w:r>
          </w:p>
        </w:tc>
      </w:tr>
    </w:tbl>
    <w:p>
      <w:pPr>
        <w:pBdr>
          <w:bottom w:val="single" w:color="D0CCF0" w:sz="6"/>
        </w:pBdr>
        <w:spacing w:after="200" w:before="200"/>
      </w:pPr>
    </w:p>
    <w:p>
      <w:pPr>
        <w:pStyle w:val="Heading1"/>
        <w:spacing w:after="120" w:before="360"/>
        <w:rPr>
          <w:b/>
          <w:bCs/>
          <w:color w:val="534AB7"/>
        </w:rPr>
      </w:pPr>
      <w:r>
        <w:t xml:space="preserve">8. Analytics (No Server Required)</w:t>
      </w:r>
    </w:p>
    <w:p>
      <w:pPr>
        <w:spacing w:after="80" w:before="80"/>
        <w:jc w:val="left"/>
      </w:pPr>
      <w:r>
        <w:rPr>
          <w:b w:val="false"/>
          <w:bCs w:val="false"/>
          <w:color w:val="1C1C1E"/>
          <w:sz w:val="22"/>
          <w:szCs w:val="22"/>
        </w:rPr>
        <w:t xml:space="preserve">Two approaches are available that require no additional server infrastructure:</w:t>
      </w:r>
    </w:p>
    <w:p>
      <w:pPr>
        <w:pStyle w:val="Heading2"/>
        <w:spacing w:after="80" w:before="280"/>
      </w:pPr>
      <w:r>
        <w:t xml:space="preserve">Application Insights (recommended)</w:t>
      </w:r>
    </w:p>
    <w:p>
      <w:pPr>
        <w:spacing w:after="80" w:before="80"/>
        <w:jc w:val="left"/>
      </w:pPr>
      <w:r>
        <w:rPr>
          <w:b w:val="false"/>
          <w:bCs w:val="false"/>
          <w:color w:val="1C1C1E"/>
          <w:sz w:val="22"/>
          <w:szCs w:val="22"/>
        </w:rPr>
        <w:t xml:space="preserve">Add the Application Insights JavaScript SDK snippet to taskpane.html (one script tag, 2 KB). It automatically captures: session counts, feature usage events, errors, and performance. Data is visible in the Azure Portal under your Application Insights resource. Free tier covers 5 GB/month of data ingestion.</w:t>
      </w:r>
    </w:p>
    <w:p>
      <w:pPr>
        <w:pStyle w:val="Heading2"/>
        <w:spacing w:after="80" w:before="280"/>
      </w:pPr>
      <w:r>
        <w:t xml:space="preserve">Per-user access log</w:t>
      </w:r>
    </w:p>
    <w:p>
      <w:pPr>
        <w:spacing w:after="80" w:before="80"/>
        <w:jc w:val="left"/>
      </w:pPr>
      <w:r>
        <w:rPr>
          <w:b w:val="false"/>
          <w:bCs w:val="false"/>
          <w:color w:val="1C1C1E"/>
          <w:sz w:val="22"/>
          <w:szCs w:val="22"/>
        </w:rPr>
        <w:t xml:space="preserve">The license check function already records every user access (tenantId, userId, email, timestamp) to an Azure Table Storage users table. This can be queried from the Azure Portal or via Azure Storage Explorer for a raw usage audit trail.</w:t>
      </w:r>
    </w:p>
    <w:p>
      <w:pPr>
        <w:pBdr>
          <w:bottom w:val="single" w:color="D0CCF0" w:sz="6"/>
        </w:pBdr>
        <w:spacing w:after="200" w:before="200"/>
      </w:pPr>
    </w:p>
    <w:p>
      <w:pPr>
        <w:pStyle w:val="Heading1"/>
        <w:spacing w:after="120" w:before="360"/>
        <w:rPr>
          <w:b/>
          <w:bCs/>
          <w:color w:val="534AB7"/>
        </w:rPr>
      </w:pPr>
      <w:r>
        <w:t xml:space="preserve">9. Hosting Options &amp; Cost Comparison</w:t>
      </w:r>
    </w:p>
    <w:p>
      <w:pPr>
        <w:spacing w:after="80" w:before="80"/>
        <w:jc w:val="left"/>
      </w:pPr>
      <w:r>
        <w:rPr>
          <w:b w:val="false"/>
          <w:bCs w:val="false"/>
          <w:color w:val="1C1C1E"/>
          <w:sz w:val="22"/>
          <w:szCs w:val="22"/>
        </w:rPr>
        <w:t xml:space="preserve">The add-in's static files (taskpane.html, taskpane.js, taskpane.css, assets/) can be hosted anywhere that serves files over HTTPS. The licensing functions (Azure Functions) remain on Azure regardless of where the static files live.</w:t>
      </w:r>
    </w:p>
    <w:p>
      <w:pPr>
        <w:pStyle w:val="Heading2"/>
        <w:spacing w:after="80" w:before="280"/>
      </w:pPr>
      <w:r>
        <w:t xml:space="preserve">Option Comparison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00"/>
        <w:gridCol w:w="6240"/>
      </w:tblGrid>
      <w:tr>
        <w:tc>
          <w:tcPr>
            <w:tcW w:type="dxa" w:w="3000"/>
            <w:shd w:fill="EEF0FB" w:color="534AB7" w:val="clear"/>
            <w:vAlign w:val="center"/>
          </w:tcPr>
          <w:p>
            <w:r>
              <w:rPr>
                <w:b/>
                <w:bCs/>
                <w:color w:val="534AB7"/>
                <w:sz w:val="20"/>
                <w:szCs w:val="20"/>
              </w:rPr>
              <w:t xml:space="preserve">Hosting</w:t>
            </w:r>
          </w:p>
        </w:tc>
        <w:tc>
          <w:tcPr>
            <w:tcW w:type="dxa" w:w="6240"/>
            <w:shd w:fill="EEF0FB" w:color="534AB7" w:val="clear"/>
            <w:vAlign w:val="center"/>
          </w:tcPr>
          <w:p>
            <w:r>
              <w:rPr>
                <w:color w:val="6B6B6B"/>
                <w:sz w:val="20"/>
                <w:szCs w:val="20"/>
              </w:rPr>
              <w:t xml:space="preserve">Cost / SLA / Notes</w:t>
            </w:r>
          </w:p>
        </w:tc>
      </w:tr>
      <w:tr>
        <w:tc>
          <w:tcPr>
            <w:tcW w:type="dxa" w:w="3000"/>
            <w:vAlign w:val="center"/>
          </w:tcPr>
          <w:p>
            <w:r>
              <w:rPr>
                <w:b w:val="false"/>
                <w:bCs w:val="false"/>
                <w:color w:val="1C1C1E"/>
                <w:sz w:val="20"/>
                <w:szCs w:val="20"/>
              </w:rPr>
              <w:t xml:space="preserve">GitHub Pages</w:t>
            </w:r>
          </w:p>
        </w:tc>
        <w:tc>
          <w:tcPr>
            <w:tcW w:type="dxa" w:w="6240"/>
            <w:vAlign w:val="center"/>
          </w:tcPr>
          <w:p>
            <w:r>
              <w:rPr>
                <w:color w:val="6B6B6B"/>
                <w:sz w:val="20"/>
                <w:szCs w:val="20"/>
              </w:rPr>
              <w:t xml:space="preserve">Free. No SLA. Fine for development. Not recommended for commercial products — no uptime guarantee.</w:t>
            </w:r>
          </w:p>
        </w:tc>
      </w:tr>
      <w:tr>
        <w:tc>
          <w:tcPr>
            <w:tcW w:type="dxa" w:w="3000"/>
            <w:vAlign w:val="center"/>
          </w:tcPr>
          <w:p>
            <w:r>
              <w:rPr>
                <w:b w:val="false"/>
                <w:bCs w:val="false"/>
                <w:color w:val="1C1C1E"/>
                <w:sz w:val="20"/>
                <w:szCs w:val="20"/>
              </w:rPr>
              <w:t xml:space="preserve">Azure Static Web Apps</w:t>
            </w:r>
          </w:p>
        </w:tc>
        <w:tc>
          <w:tcPr>
            <w:tcW w:type="dxa" w:w="6240"/>
            <w:vAlign w:val="center"/>
          </w:tcPr>
          <w:p>
            <w:r>
              <w:rPr>
                <w:color w:val="6B6B6B"/>
                <w:sz w:val="20"/>
                <w:szCs w:val="20"/>
              </w:rPr>
              <w:t xml:space="preserve">Free tier. 99.95% SLA. Best choice. GitHub-connected CI/CD, HTTPS, custom domain, Microsoft ecosystem. Recommended for AppSource.</w:t>
            </w:r>
          </w:p>
        </w:tc>
      </w:tr>
      <w:tr>
        <w:tc>
          <w:tcPr>
            <w:tcW w:type="dxa" w:w="3000"/>
            <w:vAlign w:val="center"/>
          </w:tcPr>
          <w:p>
            <w:r>
              <w:rPr>
                <w:b w:val="false"/>
                <w:bCs w:val="false"/>
                <w:color w:val="1C1C1E"/>
                <w:sz w:val="20"/>
                <w:szCs w:val="20"/>
              </w:rPr>
              <w:t xml:space="preserve">Vercel / Netlify</w:t>
            </w:r>
          </w:p>
        </w:tc>
        <w:tc>
          <w:tcPr>
            <w:tcW w:type="dxa" w:w="6240"/>
            <w:vAlign w:val="center"/>
          </w:tcPr>
          <w:p>
            <w:r>
              <w:rPr>
                <w:color w:val="6B6B6B"/>
                <w:sz w:val="20"/>
                <w:szCs w:val="20"/>
              </w:rPr>
              <w:t xml:space="preserve">Free tier. 99.99% SLA. Excellent option with simple GitHub push-to-deploy. Fully compatible with Microsoft add-ins.</w:t>
            </w:r>
          </w:p>
        </w:tc>
      </w:tr>
      <w:tr>
        <w:tc>
          <w:tcPr>
            <w:tcW w:type="dxa" w:w="3000"/>
            <w:vAlign w:val="center"/>
          </w:tcPr>
          <w:p>
            <w:r>
              <w:rPr>
                <w:b w:val="false"/>
                <w:bCs w:val="false"/>
                <w:color w:val="1C1C1E"/>
                <w:sz w:val="20"/>
                <w:szCs w:val="20"/>
              </w:rPr>
              <w:t xml:space="preserve">AWS S3 + CloudFront</w:t>
            </w:r>
          </w:p>
        </w:tc>
        <w:tc>
          <w:tcPr>
            <w:tcW w:type="dxa" w:w="6240"/>
            <w:vAlign w:val="center"/>
          </w:tcPr>
          <w:p>
            <w:r>
              <w:rPr>
                <w:color w:val="6B6B6B"/>
                <w:sz w:val="20"/>
                <w:szCs w:val="20"/>
              </w:rPr>
              <w:t xml:space="preserve">~$1-5/month. 99.99% SLA. Production-grade. Best if already in AWS. Full CDN control and edge caching.</w:t>
            </w:r>
          </w:p>
        </w:tc>
      </w:tr>
    </w:tbl>
    <w:p>
      <w:pPr>
        <w:spacing w:after="80" w:before="80"/>
        <w:jc w:val="left"/>
      </w:pPr>
      <w:r>
        <w:rPr>
          <w:b w:val="false"/>
          <w:bCs w:val="false"/>
          <w:color w:val="1C1C1E"/>
          <w:sz w:val="22"/>
          <w:szCs w:val="22"/>
        </w:rPr>
        <w:t xml:space="preserve">Full step-by-step instructions for both Azure Static Web Apps and AWS S3 + CloudFront are in sections 10 and 11.</w:t>
      </w:r>
    </w:p>
    <w:p>
      <w:pPr>
        <w:pBdr>
          <w:bottom w:val="single" w:color="D0CCF0" w:sz="6"/>
        </w:pBdr>
        <w:spacing w:after="200" w:before="200"/>
      </w:pPr>
    </w:p>
    <w:p>
      <w:pPr>
        <w:pStyle w:val="Heading1"/>
        <w:spacing w:after="120" w:before="360"/>
        <w:rPr>
          <w:b/>
          <w:bCs/>
          <w:color w:val="534AB7"/>
        </w:rPr>
      </w:pPr>
      <w:r>
        <w:t xml:space="preserve">10. Step-by-Step: Azure Static Web Apps Deployment</w:t>
      </w:r>
    </w:p>
    <w:p>
      <w:pPr>
        <w:spacing w:after="80" w:before="80"/>
        <w:jc w:val="left"/>
      </w:pPr>
      <w:r>
        <w:rPr>
          <w:b w:val="false"/>
          <w:bCs w:val="false"/>
          <w:color w:val="1C1C1E"/>
          <w:sz w:val="22"/>
          <w:szCs w:val="22"/>
        </w:rPr>
        <w:t xml:space="preserve">Estimated time: 20-30 minutes. No CLI required. Everything done in Azure Portal and GitHub.</w:t>
      </w:r>
    </w:p>
    <w:p>
      <w:pPr>
        <w:pStyle w:val="Heading2"/>
        <w:spacing w:after="80" w:before="280"/>
      </w:pPr>
      <w:r>
        <w:t xml:space="preserve">Step 1 — Create the Static Web App</w:t>
      </w:r>
    </w:p>
    <w:p>
      <w:pPr>
        <w:pStyle w:val="ListParagraph"/>
        <w:numPr>
          <w:ilvl w:val="0"/>
          <w:numId w:val="1"/>
        </w:numPr>
        <w:spacing w:after="40" w:before="40"/>
      </w:pPr>
      <w:r>
        <w:rPr>
          <w:color w:val="1C1C1E"/>
          <w:sz w:val="22"/>
          <w:szCs w:val="22"/>
        </w:rPr>
        <w:t xml:space="preserve">Azure Portal -&gt; search 'Static Web Apps' -&gt; Create</w:t>
      </w:r>
    </w:p>
    <w:p>
      <w:pPr>
        <w:pStyle w:val="ListParagraph"/>
        <w:numPr>
          <w:ilvl w:val="0"/>
          <w:numId w:val="1"/>
        </w:numPr>
        <w:spacing w:after="40" w:before="40"/>
      </w:pPr>
      <w:r>
        <w:rPr>
          <w:color w:val="1C1C1E"/>
          <w:sz w:val="22"/>
          <w:szCs w:val="22"/>
        </w:rPr>
        <w:t xml:space="preserve">Subscription: your subscription. Resource group: mail-merge-licensing</w:t>
      </w:r>
    </w:p>
    <w:p>
      <w:pPr>
        <w:pStyle w:val="ListParagraph"/>
        <w:numPr>
          <w:ilvl w:val="0"/>
          <w:numId w:val="1"/>
        </w:numPr>
        <w:spacing w:after="40" w:before="40"/>
      </w:pPr>
      <w:r>
        <w:rPr>
          <w:color w:val="1C1C1E"/>
          <w:sz w:val="22"/>
          <w:szCs w:val="22"/>
        </w:rPr>
        <w:t xml:space="preserve">Name: mail-merge-addin. Hosting plan: Free</w:t>
      </w:r>
    </w:p>
    <w:p>
      <w:pPr>
        <w:pStyle w:val="ListParagraph"/>
        <w:numPr>
          <w:ilvl w:val="0"/>
          <w:numId w:val="1"/>
        </w:numPr>
        <w:spacing w:after="40" w:before="40"/>
      </w:pPr>
      <w:r>
        <w:rPr>
          <w:color w:val="1C1C1E"/>
          <w:sz w:val="22"/>
          <w:szCs w:val="22"/>
        </w:rPr>
        <w:t xml:space="preserve">Region: East US 2 or closest to your users</w:t>
      </w:r>
    </w:p>
    <w:p>
      <w:pPr>
        <w:pStyle w:val="ListParagraph"/>
        <w:numPr>
          <w:ilvl w:val="0"/>
          <w:numId w:val="1"/>
        </w:numPr>
        <w:spacing w:after="40" w:before="40"/>
      </w:pPr>
      <w:r>
        <w:rPr>
          <w:color w:val="1C1C1E"/>
          <w:sz w:val="22"/>
          <w:szCs w:val="22"/>
        </w:rPr>
        <w:t xml:space="preserve">Deployment source: GitHub. Sign in and select your repo (leighton-grey/mail-merge-addin) and branch (main)</w:t>
      </w:r>
    </w:p>
    <w:p>
      <w:pPr>
        <w:pStyle w:val="ListParagraph"/>
        <w:numPr>
          <w:ilvl w:val="0"/>
          <w:numId w:val="1"/>
        </w:numPr>
        <w:spacing w:after="40" w:before="40"/>
      </w:pPr>
      <w:r>
        <w:rPr>
          <w:color w:val="1C1C1E"/>
          <w:sz w:val="22"/>
          <w:szCs w:val="22"/>
        </w:rPr>
        <w:t xml:space="preserve">Click Review + Create -&gt; Create</w:t>
      </w:r>
    </w:p>
    <w:p>
      <w:pPr>
        <w:pStyle w:val="Heading2"/>
        <w:spacing w:after="80" w:before="280"/>
      </w:pPr>
      <w:r>
        <w:t xml:space="preserve">Step 2 — Configure Build Settings</w:t>
      </w:r>
    </w:p>
    <w:p>
      <w:pPr>
        <w:pStyle w:val="ListParagraph"/>
        <w:numPr>
          <w:ilvl w:val="0"/>
          <w:numId w:val="1"/>
        </w:numPr>
        <w:spacing w:after="40" w:before="40"/>
      </w:pPr>
      <w:r>
        <w:rPr>
          <w:color w:val="1C1C1E"/>
          <w:sz w:val="22"/>
          <w:szCs w:val="22"/>
        </w:rPr>
        <w:t xml:space="preserve">Build preset: Custom</w:t>
      </w:r>
    </w:p>
    <w:p>
      <w:pPr>
        <w:pStyle w:val="ListParagraph"/>
        <w:numPr>
          <w:ilvl w:val="0"/>
          <w:numId w:val="1"/>
        </w:numPr>
        <w:spacing w:after="40" w:before="40"/>
      </w:pPr>
      <w:r>
        <w:rPr>
          <w:color w:val="1C1C1E"/>
          <w:sz w:val="22"/>
          <w:szCs w:val="22"/>
        </w:rPr>
        <w:t xml:space="preserve">App location: / (root of the repo, where taskpane.html lives)</w:t>
      </w:r>
    </w:p>
    <w:p>
      <w:pPr>
        <w:pStyle w:val="ListParagraph"/>
        <w:numPr>
          <w:ilvl w:val="0"/>
          <w:numId w:val="1"/>
        </w:numPr>
        <w:spacing w:after="40" w:before="40"/>
      </w:pPr>
      <w:r>
        <w:rPr>
          <w:color w:val="1C1C1E"/>
          <w:sz w:val="22"/>
          <w:szCs w:val="22"/>
        </w:rPr>
        <w:t xml:space="preserve">API location: leave blank (Azure Functions app is separate)</w:t>
      </w:r>
    </w:p>
    <w:p>
      <w:pPr>
        <w:pStyle w:val="ListParagraph"/>
        <w:numPr>
          <w:ilvl w:val="0"/>
          <w:numId w:val="1"/>
        </w:numPr>
        <w:spacing w:after="40" w:before="40"/>
      </w:pPr>
      <w:r>
        <w:rPr>
          <w:color w:val="1C1C1E"/>
          <w:sz w:val="22"/>
          <w:szCs w:val="22"/>
        </w:rPr>
        <w:t xml:space="preserve">Output location: leave blank (no build step, files served directly)</w:t>
      </w:r>
    </w:p>
    <w:p>
      <w:pPr>
        <w:pStyle w:val="ListParagraph"/>
        <w:numPr>
          <w:ilvl w:val="0"/>
          <w:numId w:val="1"/>
        </w:numPr>
        <w:spacing w:after="40" w:before="40"/>
      </w:pPr>
      <w:r>
        <w:rPr>
          <w:color w:val="1C1C1E"/>
          <w:sz w:val="22"/>
          <w:szCs w:val="22"/>
        </w:rPr>
        <w:t xml:space="preserve">Azure automatically adds a GitHub Actions workflow file to your repo at .github/workflows/</w:t>
      </w:r>
    </w:p>
    <w:p>
      <w:pPr>
        <w:pStyle w:val="ListParagraph"/>
        <w:numPr>
          <w:ilvl w:val="0"/>
          <w:numId w:val="1"/>
        </w:numPr>
        <w:spacing w:after="40" w:before="40"/>
      </w:pPr>
      <w:r>
        <w:rPr>
          <w:color w:val="1C1C1E"/>
          <w:sz w:val="22"/>
          <w:szCs w:val="22"/>
        </w:rPr>
        <w:t xml:space="preserve">Every push to main now auto-deploys within 1-2 minutes</w:t>
      </w:r>
    </w:p>
    <w:p>
      <w:pPr>
        <w:pStyle w:val="Heading2"/>
        <w:spacing w:after="80" w:before="280"/>
      </w:pPr>
      <w:r>
        <w:t xml:space="preserve">Step 3 — Get Your URL</w:t>
      </w:r>
    </w:p>
    <w:p>
      <w:pPr>
        <w:pStyle w:val="ListParagraph"/>
        <w:numPr>
          <w:ilvl w:val="0"/>
          <w:numId w:val="1"/>
        </w:numPr>
        <w:spacing w:after="40" w:before="40"/>
      </w:pPr>
      <w:r>
        <w:rPr>
          <w:color w:val="1C1C1E"/>
          <w:sz w:val="22"/>
          <w:szCs w:val="22"/>
        </w:rPr>
        <w:t xml:space="preserve">After creation: Static Web App resource -&gt; Overview -&gt; copy the URL</w:t>
      </w:r>
    </w:p>
    <w:p>
      <w:pPr>
        <w:pStyle w:val="ListParagraph"/>
        <w:numPr>
          <w:ilvl w:val="0"/>
          <w:numId w:val="1"/>
        </w:numPr>
        <w:spacing w:after="40" w:before="40"/>
      </w:pPr>
      <w:r>
        <w:rPr>
          <w:color w:val="1C1C1E"/>
          <w:sz w:val="22"/>
          <w:szCs w:val="22"/>
        </w:rPr>
        <w:t xml:space="preserve">Format: https://random-name-123.azurestaticapps.net</w:t>
      </w:r>
    </w:p>
    <w:p>
      <w:pPr>
        <w:pStyle w:val="ListParagraph"/>
        <w:numPr>
          <w:ilvl w:val="0"/>
          <w:numId w:val="1"/>
        </w:numPr>
        <w:spacing w:after="40" w:before="40"/>
      </w:pPr>
      <w:r>
        <w:rPr>
          <w:color w:val="1C1C1E"/>
          <w:sz w:val="22"/>
          <w:szCs w:val="22"/>
        </w:rPr>
        <w:t xml:space="preserve">This is your new add-in hosting URL</w:t>
      </w:r>
    </w:p>
    <w:p>
      <w:pPr>
        <w:pStyle w:val="Heading2"/>
        <w:spacing w:after="80" w:before="280"/>
      </w:pPr>
      <w:r>
        <w:t xml:space="preserve">Step 4 — Add a Custom Domain (recommended)</w:t>
      </w:r>
    </w:p>
    <w:p>
      <w:pPr>
        <w:pStyle w:val="ListParagraph"/>
        <w:numPr>
          <w:ilvl w:val="0"/>
          <w:numId w:val="1"/>
        </w:numPr>
        <w:spacing w:after="40" w:before="40"/>
      </w:pPr>
      <w:r>
        <w:rPr>
          <w:color w:val="1C1C1E"/>
          <w:sz w:val="22"/>
          <w:szCs w:val="22"/>
        </w:rPr>
        <w:t xml:space="preserve">Static Web App -&gt; Custom domains -&gt; Add</w:t>
      </w:r>
    </w:p>
    <w:p>
      <w:pPr>
        <w:pStyle w:val="ListParagraph"/>
        <w:numPr>
          <w:ilvl w:val="0"/>
          <w:numId w:val="1"/>
        </w:numPr>
        <w:spacing w:after="40" w:before="40"/>
      </w:pPr>
      <w:r>
        <w:rPr>
          <w:color w:val="1C1C1E"/>
          <w:sz w:val="22"/>
          <w:szCs w:val="22"/>
        </w:rPr>
        <w:t xml:space="preserve">Enter your domain, e.g. addin.prometheanit.com</w:t>
      </w:r>
    </w:p>
    <w:p>
      <w:pPr>
        <w:pStyle w:val="ListParagraph"/>
        <w:numPr>
          <w:ilvl w:val="0"/>
          <w:numId w:val="1"/>
        </w:numPr>
        <w:spacing w:after="40" w:before="40"/>
      </w:pPr>
      <w:r>
        <w:rPr>
          <w:color w:val="1C1C1E"/>
          <w:sz w:val="22"/>
          <w:szCs w:val="22"/>
        </w:rPr>
        <w:t xml:space="preserve">Azure gives you a CNAME or TXT record to add in your DNS provider (GoDaddy, Cloudflare, etc.)</w:t>
      </w:r>
    </w:p>
    <w:p>
      <w:pPr>
        <w:pStyle w:val="ListParagraph"/>
        <w:numPr>
          <w:ilvl w:val="0"/>
          <w:numId w:val="1"/>
        </w:numPr>
        <w:spacing w:after="40" w:before="40"/>
      </w:pPr>
      <w:r>
        <w:rPr>
          <w:color w:val="1C1C1E"/>
          <w:sz w:val="22"/>
          <w:szCs w:val="22"/>
        </w:rPr>
        <w:t xml:space="preserve">Azure automatically provisions and renews the SSL certificate via Let's Encrypt</w:t>
      </w:r>
    </w:p>
    <w:p>
      <w:pPr>
        <w:pStyle w:val="ListParagraph"/>
        <w:numPr>
          <w:ilvl w:val="0"/>
          <w:numId w:val="1"/>
        </w:numPr>
        <w:spacing w:after="40" w:before="40"/>
      </w:pPr>
      <w:r>
        <w:rPr>
          <w:color w:val="1C1C1E"/>
          <w:sz w:val="22"/>
          <w:szCs w:val="22"/>
        </w:rPr>
        <w:t xml:space="preserve">Wait 5-10 minutes for DNS propagation — domain goes live with HTTPS</w:t>
      </w:r>
    </w:p>
    <w:p>
      <w:pPr>
        <w:pStyle w:val="Heading2"/>
        <w:spacing w:after="80" w:before="280"/>
      </w:pPr>
      <w:r>
        <w:t xml:space="preserve">Step 5 — Update the Manifests</w:t>
      </w:r>
    </w:p>
    <w:p>
      <w:pPr>
        <w:spacing w:after="80" w:before="80"/>
        <w:jc w:val="left"/>
      </w:pPr>
      <w:r>
        <w:rPr>
          <w:b w:val="false"/>
          <w:bCs w:val="false"/>
          <w:color w:val="1C1C1E"/>
          <w:sz w:val="22"/>
          <w:szCs w:val="22"/>
        </w:rPr>
        <w:t xml:space="preserve">In all three manifest files, find/replace the old hosting URL with your new Azure SWA URL:</w:t>
      </w:r>
    </w:p>
    <w:p>
      <w:pPr>
        <w:pStyle w:val="ListParagraph"/>
        <w:numPr>
          <w:ilvl w:val="0"/>
          <w:numId w:val="1"/>
        </w:numPr>
        <w:spacing w:after="40" w:before="40"/>
      </w:pPr>
      <w:r>
        <w:rPr>
          <w:color w:val="1C1C1E"/>
          <w:sz w:val="22"/>
          <w:szCs w:val="22"/>
        </w:rPr>
        <w:t xml:space="preserve">manifest.xml: AppDomain, SourceLocation, all bt:Url and bt:Image entries</w:t>
      </w:r>
    </w:p>
    <w:p>
      <w:pPr>
        <w:pStyle w:val="ListParagraph"/>
        <w:numPr>
          <w:ilvl w:val="0"/>
          <w:numId w:val="1"/>
        </w:numPr>
        <w:spacing w:after="40" w:before="40"/>
      </w:pPr>
      <w:r>
        <w:rPr>
          <w:color w:val="1C1C1E"/>
          <w:sz w:val="22"/>
          <w:szCs w:val="22"/>
        </w:rPr>
        <w:t xml:space="preserve">manifest-exchange.xml: same fields as manifest.xml</w:t>
      </w:r>
    </w:p>
    <w:p>
      <w:pPr>
        <w:pStyle w:val="ListParagraph"/>
        <w:numPr>
          <w:ilvl w:val="0"/>
          <w:numId w:val="1"/>
        </w:numPr>
        <w:spacing w:after="40" w:before="40"/>
      </w:pPr>
      <w:r>
        <w:rPr>
          <w:color w:val="1C1C1E"/>
          <w:sz w:val="22"/>
          <w:szCs w:val="22"/>
        </w:rPr>
        <w:t xml:space="preserve">manifest.json: websiteUrl, privacyUrl, termsOfUseUrl, staticTabs page, all icon urls</w:t>
      </w:r>
    </w:p>
    <w:p>
      <w:pPr>
        <w:shd w:fill="EEF0FB" w:val="clear"/>
        <w:spacing w:after="60" w:before="60"/>
        <w:ind w:left="720"/>
      </w:pPr>
      <w:r>
        <w:rPr>
          <w:rFonts w:ascii="Courier New" w:cs="Courier New" w:eastAsia="Courier New" w:hAnsi="Courier New"/>
          <w:color w:val="3D35A0"/>
          <w:sz w:val="18"/>
          <w:szCs w:val="18"/>
        </w:rPr>
        <w:t xml:space="preserve">Find: https://leighton-grey.github.io/mail-merge-addin</w:t>
      </w:r>
    </w:p>
    <w:p>
      <w:pPr>
        <w:shd w:fill="EEF0FB" w:val="clear"/>
        <w:spacing w:after="60" w:before="60"/>
        <w:ind w:left="720"/>
      </w:pPr>
      <w:r>
        <w:rPr>
          <w:rFonts w:ascii="Courier New" w:cs="Courier New" w:eastAsia="Courier New" w:hAnsi="Courier New"/>
          <w:color w:val="3D35A0"/>
          <w:sz w:val="18"/>
          <w:szCs w:val="18"/>
        </w:rPr>
        <w:t xml:space="preserve">Replace: https://addin.prometheanit.com</w:t>
      </w:r>
    </w:p>
    <w:p>
      <w:pPr>
        <w:pStyle w:val="Heading2"/>
        <w:spacing w:after="80" w:before="280"/>
      </w:pPr>
      <w:r>
        <w:t xml:space="preserve">Step 6 — Update ALLOWED_ORIGINS in Azure Functions</w:t>
      </w:r>
    </w:p>
    <w:p>
      <w:pPr>
        <w:pStyle w:val="ListParagraph"/>
        <w:numPr>
          <w:ilvl w:val="0"/>
          <w:numId w:val="1"/>
        </w:numPr>
        <w:spacing w:after="40" w:before="40"/>
      </w:pPr>
      <w:r>
        <w:rPr>
          <w:color w:val="1C1C1E"/>
          <w:sz w:val="22"/>
          <w:szCs w:val="22"/>
        </w:rPr>
        <w:t xml:space="preserve">Azure Portal -&gt; your Function App -&gt; Settings -&gt; Environment variables</w:t>
      </w:r>
    </w:p>
    <w:p>
      <w:pPr>
        <w:pStyle w:val="ListParagraph"/>
        <w:numPr>
          <w:ilvl w:val="0"/>
          <w:numId w:val="1"/>
        </w:numPr>
        <w:spacing w:after="40" w:before="40"/>
      </w:pPr>
      <w:r>
        <w:rPr>
          <w:color w:val="1C1C1E"/>
          <w:sz w:val="22"/>
          <w:szCs w:val="22"/>
        </w:rPr>
        <w:t xml:space="preserve">Edit ALLOWED_ORIGINS, add your new URL to the comma-separated list:</w:t>
      </w:r>
    </w:p>
    <w:p>
      <w:pPr>
        <w:shd w:fill="EEF0FB" w:val="clear"/>
        <w:spacing w:after="60" w:before="60"/>
        <w:ind w:left="720"/>
      </w:pPr>
      <w:r>
        <w:rPr>
          <w:rFonts w:ascii="Courier New" w:cs="Courier New" w:eastAsia="Courier New" w:hAnsi="Courier New"/>
          <w:color w:val="3D35A0"/>
          <w:sz w:val="18"/>
          <w:szCs w:val="18"/>
        </w:rPr>
        <w:t xml:space="preserve">ALLOWED_ORIGINS = https://addin.prometheanit.com,https://leighton-grey.github.io</w:t>
      </w:r>
    </w:p>
    <w:p>
      <w:pPr>
        <w:pStyle w:val="ListParagraph"/>
        <w:numPr>
          <w:ilvl w:val="0"/>
          <w:numId w:val="1"/>
        </w:numPr>
        <w:spacing w:after="40" w:before="40"/>
      </w:pPr>
      <w:r>
        <w:rPr>
          <w:color w:val="1C1C1E"/>
          <w:sz w:val="22"/>
          <w:szCs w:val="22"/>
        </w:rPr>
        <w:t xml:space="preserve">Click Apply -&gt; Save</w:t>
      </w:r>
    </w:p>
    <w:p>
      <w:pPr>
        <w:pStyle w:val="Heading2"/>
        <w:spacing w:after="80" w:before="280"/>
      </w:pPr>
      <w:r>
        <w:t xml:space="preserve">Step 7 — Update LICENSE_API_URL in taskpane.js</w:t>
      </w:r>
    </w:p>
    <w:p>
      <w:pPr>
        <w:pStyle w:val="ListParagraph"/>
        <w:numPr>
          <w:ilvl w:val="0"/>
          <w:numId w:val="1"/>
        </w:numPr>
        <w:spacing w:after="40" w:before="40"/>
      </w:pPr>
      <w:r>
        <w:rPr>
          <w:color w:val="1C1C1E"/>
          <w:sz w:val="22"/>
          <w:szCs w:val="22"/>
        </w:rPr>
        <w:t xml:space="preserve">Set the URL to your Azure Functions app (this stays on Azure regardless of where the add-in files are hosted)</w:t>
      </w:r>
    </w:p>
    <w:p>
      <w:pPr>
        <w:shd w:fill="EEF0FB" w:val="clear"/>
        <w:spacing w:after="60" w:before="60"/>
        <w:ind w:left="720"/>
      </w:pPr>
      <w:r>
        <w:rPr>
          <w:rFonts w:ascii="Courier New" w:cs="Courier New" w:eastAsia="Courier New" w:hAnsi="Courier New"/>
          <w:color w:val="3D35A0"/>
          <w:sz w:val="18"/>
          <w:szCs w:val="18"/>
        </w:rPr>
        <w:t xml:space="preserve">const LICENSE_API_URL = "https://YOUR_FUNCTION_APP.azurewebsites.net/api/license";</w:t>
      </w:r>
    </w:p>
    <w:p>
      <w:pPr>
        <w:pStyle w:val="ListParagraph"/>
        <w:numPr>
          <w:ilvl w:val="0"/>
          <w:numId w:val="1"/>
        </w:numPr>
        <w:spacing w:after="40" w:before="40"/>
      </w:pPr>
      <w:r>
        <w:rPr>
          <w:color w:val="1C1C1E"/>
          <w:sz w:val="22"/>
          <w:szCs w:val="22"/>
        </w:rPr>
        <w:t xml:space="preserve">Leave LICENSE_ENFORCEMENT = false until you are ready to require payment</w:t>
      </w:r>
    </w:p>
    <w:p>
      <w:pPr>
        <w:pStyle w:val="ListParagraph"/>
        <w:numPr>
          <w:ilvl w:val="0"/>
          <w:numId w:val="1"/>
        </w:numPr>
        <w:spacing w:after="40" w:before="40"/>
      </w:pPr>
      <w:r>
        <w:rPr>
          <w:color w:val="1C1C1E"/>
          <w:sz w:val="22"/>
          <w:szCs w:val="22"/>
        </w:rPr>
        <w:t xml:space="preserve">Push taskpane.js to GitHub — Static Web App auto-deploys it</w:t>
      </w:r>
    </w:p>
    <w:p>
      <w:pPr>
        <w:pStyle w:val="Heading2"/>
        <w:spacing w:after="80" w:before="280"/>
      </w:pPr>
      <w:r>
        <w:t xml:space="preserve">Step 8 — Add Redirect URI in Entra</w:t>
      </w:r>
    </w:p>
    <w:p>
      <w:pPr>
        <w:pStyle w:val="ListParagraph"/>
        <w:numPr>
          <w:ilvl w:val="0"/>
          <w:numId w:val="1"/>
        </w:numPr>
        <w:spacing w:after="40" w:before="40"/>
      </w:pPr>
      <w:r>
        <w:rPr>
          <w:color w:val="1C1C1E"/>
          <w:sz w:val="22"/>
          <w:szCs w:val="22"/>
        </w:rPr>
        <w:t xml:space="preserve">Azure Portal -&gt; Microsoft Entra ID -&gt; App registrations -&gt; your app (d06ae3cf...)</w:t>
      </w:r>
    </w:p>
    <w:p>
      <w:pPr>
        <w:pStyle w:val="ListParagraph"/>
        <w:numPr>
          <w:ilvl w:val="0"/>
          <w:numId w:val="1"/>
        </w:numPr>
        <w:spacing w:after="40" w:before="40"/>
      </w:pPr>
      <w:r>
        <w:rPr>
          <w:color w:val="1C1C1E"/>
          <w:sz w:val="22"/>
          <w:szCs w:val="22"/>
        </w:rPr>
        <w:t xml:space="preserve">Authentication -&gt; Web -&gt; Redirect URIs -&gt; Add URI</w:t>
      </w:r>
    </w:p>
    <w:p>
      <w:pPr>
        <w:pStyle w:val="ListParagraph"/>
        <w:numPr>
          <w:ilvl w:val="0"/>
          <w:numId w:val="1"/>
        </w:numPr>
        <w:spacing w:after="40" w:before="40"/>
      </w:pPr>
      <w:r>
        <w:rPr>
          <w:color w:val="1C1C1E"/>
          <w:sz w:val="22"/>
          <w:szCs w:val="22"/>
        </w:rPr>
        <w:t xml:space="preserve">Add your new hosting domain:</w:t>
      </w:r>
    </w:p>
    <w:p>
      <w:pPr>
        <w:shd w:fill="EEF0FB" w:val="clear"/>
        <w:spacing w:after="60" w:before="60"/>
        <w:ind w:left="720"/>
      </w:pPr>
      <w:r>
        <w:rPr>
          <w:rFonts w:ascii="Courier New" w:cs="Courier New" w:eastAsia="Courier New" w:hAnsi="Courier New"/>
          <w:color w:val="3D35A0"/>
          <w:sz w:val="18"/>
          <w:szCs w:val="18"/>
        </w:rPr>
        <w:t xml:space="preserve">https://addin.prometheanit.com</w:t>
      </w:r>
    </w:p>
    <w:p>
      <w:pPr>
        <w:pStyle w:val="Heading2"/>
        <w:spacing w:after="80" w:before="280"/>
      </w:pPr>
      <w:r>
        <w:t xml:space="preserve">Step 9 — Verify</w:t>
      </w:r>
    </w:p>
    <w:p>
      <w:pPr>
        <w:pStyle w:val="ListParagraph"/>
        <w:numPr>
          <w:ilvl w:val="0"/>
          <w:numId w:val="1"/>
        </w:numPr>
        <w:spacing w:after="40" w:before="40"/>
      </w:pPr>
      <w:r>
        <w:rPr>
          <w:color w:val="1C1C1E"/>
          <w:sz w:val="22"/>
          <w:szCs w:val="22"/>
        </w:rPr>
        <w:t xml:space="preserve">Open Outlook -&gt; launch the add-in -&gt; confirm it loads from the new URL</w:t>
      </w:r>
    </w:p>
    <w:p>
      <w:pPr>
        <w:pStyle w:val="ListParagraph"/>
        <w:numPr>
          <w:ilvl w:val="0"/>
          <w:numId w:val="1"/>
        </w:numPr>
        <w:spacing w:after="40" w:before="40"/>
      </w:pPr>
      <w:r>
        <w:rPr>
          <w:color w:val="1C1C1E"/>
          <w:sz w:val="22"/>
          <w:szCs w:val="22"/>
        </w:rPr>
        <w:t xml:space="preserve">Check browser DevTools console for CORS errors from the license check endpoint</w:t>
      </w:r>
    </w:p>
    <w:p>
      <w:pPr>
        <w:pStyle w:val="ListParagraph"/>
        <w:numPr>
          <w:ilvl w:val="0"/>
          <w:numId w:val="1"/>
        </w:numPr>
        <w:spacing w:after="40" w:before="40"/>
      </w:pPr>
      <w:r>
        <w:rPr>
          <w:color w:val="1C1C1E"/>
          <w:sz w:val="22"/>
          <w:szCs w:val="22"/>
        </w:rPr>
        <w:t xml:space="preserve">Upload the updated manifest.xml to Microsoft 365 Admin Centre -&gt; confirm add-in loads</w:t>
      </w:r>
    </w:p>
    <w:p>
      <w:pPr>
        <w:pBdr>
          <w:bottom w:val="single" w:color="D0CCF0" w:sz="6"/>
        </w:pBdr>
        <w:spacing w:after="200" w:before="200"/>
      </w:pPr>
    </w:p>
    <w:p>
      <w:pPr>
        <w:pStyle w:val="Heading1"/>
        <w:spacing w:after="120" w:before="360"/>
        <w:rPr>
          <w:b/>
          <w:bCs/>
          <w:color w:val="534AB7"/>
        </w:rPr>
      </w:pPr>
      <w:r>
        <w:t xml:space="preserve">11. Step-by-Step: AWS S3 + CloudFront Deployment</w:t>
      </w:r>
    </w:p>
    <w:p>
      <w:pPr>
        <w:spacing w:after="80" w:before="80"/>
        <w:jc w:val="left"/>
      </w:pPr>
      <w:r>
        <w:rPr>
          <w:b w:val="false"/>
          <w:bCs w:val="false"/>
          <w:color w:val="1C1C1E"/>
          <w:sz w:val="22"/>
          <w:szCs w:val="22"/>
        </w:rPr>
        <w:t xml:space="preserve">Estimated time: 45-60 minutes. Requires an AWS account. Cost: approximately $1-5/month for low traffic. Best choice if already in AWS.</w:t>
      </w:r>
    </w:p>
    <w:p>
      <w:pPr>
        <w:pStyle w:val="Heading2"/>
        <w:spacing w:after="80" w:before="280"/>
      </w:pPr>
      <w:r>
        <w:t xml:space="preserve">Step 1 — Create an S3 Bucket</w:t>
      </w:r>
    </w:p>
    <w:p>
      <w:pPr>
        <w:pStyle w:val="ListParagraph"/>
        <w:numPr>
          <w:ilvl w:val="0"/>
          <w:numId w:val="1"/>
        </w:numPr>
        <w:spacing w:after="40" w:before="40"/>
      </w:pPr>
      <w:r>
        <w:rPr>
          <w:color w:val="1C1C1E"/>
          <w:sz w:val="22"/>
          <w:szCs w:val="22"/>
        </w:rPr>
        <w:t xml:space="preserve">AWS Console -&gt; S3 -&gt; Create bucket</w:t>
      </w:r>
    </w:p>
    <w:p>
      <w:pPr>
        <w:pStyle w:val="ListParagraph"/>
        <w:numPr>
          <w:ilvl w:val="0"/>
          <w:numId w:val="1"/>
        </w:numPr>
        <w:spacing w:after="40" w:before="40"/>
      </w:pPr>
      <w:r>
        <w:rPr>
          <w:color w:val="1C1C1E"/>
          <w:sz w:val="22"/>
          <w:szCs w:val="22"/>
        </w:rPr>
        <w:t xml:space="preserve">Bucket name: match your intended domain (e.g. addin.prometheanit.com)</w:t>
      </w:r>
    </w:p>
    <w:p>
      <w:pPr>
        <w:pStyle w:val="ListParagraph"/>
        <w:numPr>
          <w:ilvl w:val="0"/>
          <w:numId w:val="1"/>
        </w:numPr>
        <w:spacing w:after="40" w:before="40"/>
      </w:pPr>
      <w:r>
        <w:rPr>
          <w:color w:val="1C1C1E"/>
          <w:sz w:val="22"/>
          <w:szCs w:val="22"/>
        </w:rPr>
        <w:t xml:space="preserve">Region: us-east-1 (required if using CloudFront + Route 53; otherwise pick closest region)</w:t>
      </w:r>
    </w:p>
    <w:p>
      <w:pPr>
        <w:pStyle w:val="ListParagraph"/>
        <w:numPr>
          <w:ilvl w:val="0"/>
          <w:numId w:val="1"/>
        </w:numPr>
        <w:spacing w:after="40" w:before="40"/>
      </w:pPr>
      <w:r>
        <w:rPr>
          <w:color w:val="1C1C1E"/>
          <w:sz w:val="22"/>
          <w:szCs w:val="22"/>
        </w:rPr>
        <w:t xml:space="preserve">Block all public access: leave ENABLED. CloudFront is the only way files will be accessed.</w:t>
      </w:r>
    </w:p>
    <w:p>
      <w:pPr>
        <w:pStyle w:val="ListParagraph"/>
        <w:numPr>
          <w:ilvl w:val="0"/>
          <w:numId w:val="1"/>
        </w:numPr>
        <w:spacing w:after="40" w:before="40"/>
      </w:pPr>
      <w:r>
        <w:rPr>
          <w:color w:val="1C1C1E"/>
          <w:sz w:val="22"/>
          <w:szCs w:val="22"/>
        </w:rPr>
        <w:t xml:space="preserve">Versioning: enable (lets you roll back bad deployments)</w:t>
      </w:r>
    </w:p>
    <w:p>
      <w:pPr>
        <w:pStyle w:val="ListParagraph"/>
        <w:numPr>
          <w:ilvl w:val="0"/>
          <w:numId w:val="1"/>
        </w:numPr>
        <w:spacing w:after="40" w:before="40"/>
      </w:pPr>
      <w:r>
        <w:rPr>
          <w:color w:val="1C1C1E"/>
          <w:sz w:val="22"/>
          <w:szCs w:val="22"/>
        </w:rPr>
        <w:t xml:space="preserve">Click Create bucket</w:t>
      </w:r>
    </w:p>
    <w:p>
      <w:pPr>
        <w:pStyle w:val="Heading2"/>
        <w:spacing w:after="80" w:before="280"/>
      </w:pPr>
      <w:r>
        <w:t xml:space="preserve">Step 2 — Upload Your Add-in Files</w:t>
      </w:r>
    </w:p>
    <w:p>
      <w:pPr>
        <w:pStyle w:val="ListParagraph"/>
        <w:numPr>
          <w:ilvl w:val="0"/>
          <w:numId w:val="1"/>
        </w:numPr>
        <w:spacing w:after="40" w:before="40"/>
      </w:pPr>
      <w:r>
        <w:rPr>
          <w:color w:val="1C1C1E"/>
          <w:sz w:val="22"/>
          <w:szCs w:val="22"/>
        </w:rPr>
        <w:t xml:space="preserve">In the bucket -&gt; Upload</w:t>
      </w:r>
    </w:p>
    <w:p>
      <w:pPr>
        <w:pStyle w:val="ListParagraph"/>
        <w:numPr>
          <w:ilvl w:val="0"/>
          <w:numId w:val="1"/>
        </w:numPr>
        <w:spacing w:after="40" w:before="40"/>
      </w:pPr>
      <w:r>
        <w:rPr>
          <w:color w:val="1C1C1E"/>
          <w:sz w:val="22"/>
          <w:szCs w:val="22"/>
        </w:rPr>
        <w:t xml:space="preserve">Upload: taskpane.html, taskpane.js, taskpane.css, assets/ folder</w:t>
      </w:r>
    </w:p>
    <w:p>
      <w:pPr>
        <w:pStyle w:val="ListParagraph"/>
        <w:numPr>
          <w:ilvl w:val="0"/>
          <w:numId w:val="1"/>
        </w:numPr>
        <w:spacing w:after="40" w:before="40"/>
      </w:pPr>
      <w:r>
        <w:rPr>
          <w:color w:val="1C1C1E"/>
          <w:sz w:val="22"/>
          <w:szCs w:val="22"/>
        </w:rPr>
        <w:t xml:space="preserve">Set Content-Type correctly: text/javascript for .js, text/css for .css</w:t>
      </w:r>
    </w:p>
    <w:p>
      <w:pPr>
        <w:pStyle w:val="ListParagraph"/>
        <w:numPr>
          <w:ilvl w:val="0"/>
          <w:numId w:val="1"/>
        </w:numPr>
        <w:spacing w:after="40" w:before="40"/>
      </w:pPr>
      <w:r>
        <w:rPr>
          <w:color w:val="1C1C1E"/>
          <w:sz w:val="22"/>
          <w:szCs w:val="22"/>
        </w:rPr>
        <w:t xml:space="preserve">For ongoing deployments use the AWS CLI (set up in Step 7):</w:t>
      </w:r>
    </w:p>
    <w:p>
      <w:pPr>
        <w:shd w:fill="EEF0FB" w:val="clear"/>
        <w:spacing w:after="60" w:before="60"/>
        <w:ind w:left="720"/>
      </w:pPr>
      <w:r>
        <w:rPr>
          <w:rFonts w:ascii="Courier New" w:cs="Courier New" w:eastAsia="Courier New" w:hAnsi="Courier New"/>
          <w:color w:val="3D35A0"/>
          <w:sz w:val="18"/>
          <w:szCs w:val="18"/>
        </w:rPr>
        <w:t xml:space="preserve">aws s3 sync ./ s3://addin.prometheanit.com/ --exclude '*.xml' --exclude '*.json'</w:t>
      </w:r>
    </w:p>
    <w:p>
      <w:pPr>
        <w:pStyle w:val="Heading2"/>
        <w:spacing w:after="80" w:before="280"/>
      </w:pPr>
      <w:r>
        <w:t xml:space="preserve">Step 3 — Request an SSL Certificate (ACM)</w:t>
      </w:r>
    </w:p>
    <w:p>
      <w:pPr>
        <w:pStyle w:val="ListParagraph"/>
        <w:numPr>
          <w:ilvl w:val="0"/>
          <w:numId w:val="1"/>
        </w:numPr>
        <w:spacing w:after="40" w:before="40"/>
      </w:pPr>
      <w:r>
        <w:rPr>
          <w:color w:val="1C1C1E"/>
          <w:sz w:val="22"/>
          <w:szCs w:val="22"/>
        </w:rPr>
        <w:t xml:space="preserve">IMPORTANT: Switch to us-east-1 region. CloudFront only uses certs from us-east-1.</w:t>
      </w:r>
    </w:p>
    <w:p>
      <w:pPr>
        <w:pStyle w:val="ListParagraph"/>
        <w:numPr>
          <w:ilvl w:val="0"/>
          <w:numId w:val="1"/>
        </w:numPr>
        <w:spacing w:after="40" w:before="40"/>
      </w:pPr>
      <w:r>
        <w:rPr>
          <w:color w:val="1C1C1E"/>
          <w:sz w:val="22"/>
          <w:szCs w:val="22"/>
        </w:rPr>
        <w:t xml:space="preserve">AWS Console -&gt; Certificate Manager -&gt; Request a certificate -&gt; Public certificate</w:t>
      </w:r>
    </w:p>
    <w:p>
      <w:pPr>
        <w:pStyle w:val="ListParagraph"/>
        <w:numPr>
          <w:ilvl w:val="0"/>
          <w:numId w:val="1"/>
        </w:numPr>
        <w:spacing w:after="40" w:before="40"/>
      </w:pPr>
      <w:r>
        <w:rPr>
          <w:color w:val="1C1C1E"/>
          <w:sz w:val="22"/>
          <w:szCs w:val="22"/>
        </w:rPr>
        <w:t xml:space="preserve">Domain: addin.prometheanit.com. Validation: DNS validation</w:t>
      </w:r>
    </w:p>
    <w:p>
      <w:pPr>
        <w:pStyle w:val="ListParagraph"/>
        <w:numPr>
          <w:ilvl w:val="0"/>
          <w:numId w:val="1"/>
        </w:numPr>
        <w:spacing w:after="40" w:before="40"/>
      </w:pPr>
      <w:r>
        <w:rPr>
          <w:color w:val="1C1C1E"/>
          <w:sz w:val="22"/>
          <w:szCs w:val="22"/>
        </w:rPr>
        <w:t xml:space="preserve">Click Request -&gt; click the certificate -&gt; copy the CNAME record shown</w:t>
      </w:r>
    </w:p>
    <w:p>
      <w:pPr>
        <w:pStyle w:val="ListParagraph"/>
        <w:numPr>
          <w:ilvl w:val="0"/>
          <w:numId w:val="1"/>
        </w:numPr>
        <w:spacing w:after="40" w:before="40"/>
      </w:pPr>
      <w:r>
        <w:rPr>
          <w:color w:val="1C1C1E"/>
          <w:sz w:val="22"/>
          <w:szCs w:val="22"/>
        </w:rPr>
        <w:t xml:space="preserve">Add that CNAME in your DNS provider. ACM validates in 5-30 minutes.</w:t>
      </w:r>
    </w:p>
    <w:p>
      <w:pPr>
        <w:pStyle w:val="Heading2"/>
        <w:spacing w:after="80" w:before="280"/>
      </w:pPr>
      <w:r>
        <w:t xml:space="preserve">Step 4 — Create a CloudFront Distribution</w:t>
      </w:r>
    </w:p>
    <w:p>
      <w:pPr>
        <w:pStyle w:val="ListParagraph"/>
        <w:numPr>
          <w:ilvl w:val="0"/>
          <w:numId w:val="1"/>
        </w:numPr>
        <w:spacing w:after="40" w:before="40"/>
      </w:pPr>
      <w:r>
        <w:rPr>
          <w:color w:val="1C1C1E"/>
          <w:sz w:val="22"/>
          <w:szCs w:val="22"/>
        </w:rPr>
        <w:t xml:space="preserve">AWS Console -&gt; CloudFront -&gt; Create distribution</w:t>
      </w:r>
    </w:p>
    <w:p>
      <w:pPr>
        <w:pStyle w:val="ListParagraph"/>
        <w:numPr>
          <w:ilvl w:val="0"/>
          <w:numId w:val="1"/>
        </w:numPr>
        <w:spacing w:after="40" w:before="40"/>
      </w:pPr>
      <w:r>
        <w:rPr>
          <w:color w:val="1C1C1E"/>
          <w:sz w:val="22"/>
          <w:szCs w:val="22"/>
        </w:rPr>
        <w:t xml:space="preserve">Origin domain: select your S3 bucket from the dropdown</w:t>
      </w:r>
    </w:p>
    <w:p>
      <w:pPr>
        <w:pStyle w:val="ListParagraph"/>
        <w:numPr>
          <w:ilvl w:val="0"/>
          <w:numId w:val="1"/>
        </w:numPr>
        <w:spacing w:after="40" w:before="40"/>
      </w:pPr>
      <w:r>
        <w:rPr>
          <w:color w:val="1C1C1E"/>
          <w:sz w:val="22"/>
          <w:szCs w:val="22"/>
        </w:rPr>
        <w:t xml:space="preserve">Origin access: Origin access control settings -&gt; Create new OAC -&gt; Sign requests -&gt; Create</w:t>
      </w:r>
    </w:p>
    <w:p>
      <w:pPr>
        <w:pStyle w:val="ListParagraph"/>
        <w:numPr>
          <w:ilvl w:val="0"/>
          <w:numId w:val="1"/>
        </w:numPr>
        <w:spacing w:after="40" w:before="40"/>
      </w:pPr>
      <w:r>
        <w:rPr>
          <w:color w:val="1C1C1E"/>
          <w:sz w:val="22"/>
          <w:szCs w:val="22"/>
        </w:rPr>
        <w:t xml:space="preserve">Viewer protocol policy: Redirect HTTP to HTTPS</w:t>
      </w:r>
    </w:p>
    <w:p>
      <w:pPr>
        <w:pStyle w:val="ListParagraph"/>
        <w:numPr>
          <w:ilvl w:val="0"/>
          <w:numId w:val="1"/>
        </w:numPr>
        <w:spacing w:after="40" w:before="40"/>
      </w:pPr>
      <w:r>
        <w:rPr>
          <w:color w:val="1C1C1E"/>
          <w:sz w:val="22"/>
          <w:szCs w:val="22"/>
        </w:rPr>
        <w:t xml:space="preserve">Cache policy: CachingOptimized</w:t>
      </w:r>
    </w:p>
    <w:p>
      <w:pPr>
        <w:pStyle w:val="ListParagraph"/>
        <w:numPr>
          <w:ilvl w:val="0"/>
          <w:numId w:val="1"/>
        </w:numPr>
        <w:spacing w:after="40" w:before="40"/>
      </w:pPr>
      <w:r>
        <w:rPr>
          <w:color w:val="1C1C1E"/>
          <w:sz w:val="22"/>
          <w:szCs w:val="22"/>
        </w:rPr>
        <w:t xml:space="preserve">Alternate domain names (CNAMEs): addin.prometheanit.com</w:t>
      </w:r>
    </w:p>
    <w:p>
      <w:pPr>
        <w:pStyle w:val="ListParagraph"/>
        <w:numPr>
          <w:ilvl w:val="0"/>
          <w:numId w:val="1"/>
        </w:numPr>
        <w:spacing w:after="40" w:before="40"/>
      </w:pPr>
      <w:r>
        <w:rPr>
          <w:color w:val="1C1C1E"/>
          <w:sz w:val="22"/>
          <w:szCs w:val="22"/>
        </w:rPr>
        <w:t xml:space="preserve">Custom SSL certificate: select the ACM certificate from Step 3</w:t>
      </w:r>
    </w:p>
    <w:p>
      <w:pPr>
        <w:pStyle w:val="ListParagraph"/>
        <w:numPr>
          <w:ilvl w:val="0"/>
          <w:numId w:val="1"/>
        </w:numPr>
        <w:spacing w:after="40" w:before="40"/>
      </w:pPr>
      <w:r>
        <w:rPr>
          <w:color w:val="1C1C1E"/>
          <w:sz w:val="22"/>
          <w:szCs w:val="22"/>
        </w:rPr>
        <w:t xml:space="preserve">Default root object: taskpane.html</w:t>
      </w:r>
    </w:p>
    <w:p>
      <w:pPr>
        <w:pStyle w:val="ListParagraph"/>
        <w:numPr>
          <w:ilvl w:val="0"/>
          <w:numId w:val="1"/>
        </w:numPr>
        <w:spacing w:after="40" w:before="40"/>
      </w:pPr>
      <w:r>
        <w:rPr>
          <w:color w:val="1C1C1E"/>
          <w:sz w:val="22"/>
          <w:szCs w:val="22"/>
        </w:rPr>
        <w:t xml:space="preserve">Click Create distribution. Takes 5-15 minutes to deploy globally.</w:t>
      </w:r>
    </w:p>
    <w:p>
      <w:pPr>
        <w:pStyle w:val="Heading2"/>
        <w:spacing w:after="80" w:before="280"/>
      </w:pPr>
      <w:r>
        <w:t xml:space="preserve">Step 5 — Update S3 Bucket Policy for CloudFront</w:t>
      </w:r>
    </w:p>
    <w:p>
      <w:pPr>
        <w:pStyle w:val="ListParagraph"/>
        <w:numPr>
          <w:ilvl w:val="0"/>
          <w:numId w:val="1"/>
        </w:numPr>
        <w:spacing w:after="40" w:before="40"/>
      </w:pPr>
      <w:r>
        <w:rPr>
          <w:color w:val="1C1C1E"/>
          <w:sz w:val="22"/>
          <w:szCs w:val="22"/>
        </w:rPr>
        <w:t xml:space="preserve">After the distribution is created, CloudFront shows: 'Update S3 bucket policy'</w:t>
      </w:r>
    </w:p>
    <w:p>
      <w:pPr>
        <w:pStyle w:val="ListParagraph"/>
        <w:numPr>
          <w:ilvl w:val="0"/>
          <w:numId w:val="1"/>
        </w:numPr>
        <w:spacing w:after="40" w:before="40"/>
      </w:pPr>
      <w:r>
        <w:rPr>
          <w:color w:val="1C1C1E"/>
          <w:sz w:val="22"/>
          <w:szCs w:val="22"/>
        </w:rPr>
        <w:t xml:space="preserve">Click it -&gt; Copy policy -&gt; go to S3 bucket -&gt; Permissions -&gt; Bucket policy -&gt; paste -&gt; Save</w:t>
      </w:r>
    </w:p>
    <w:p>
      <w:pPr>
        <w:pStyle w:val="ListParagraph"/>
        <w:numPr>
          <w:ilvl w:val="0"/>
          <w:numId w:val="1"/>
        </w:numPr>
        <w:spacing w:after="40" w:before="40"/>
      </w:pPr>
      <w:r>
        <w:rPr>
          <w:color w:val="1C1C1E"/>
          <w:sz w:val="22"/>
          <w:szCs w:val="22"/>
        </w:rPr>
        <w:t xml:space="preserve">This lets CloudFront read from the bucket without making the bucket itself public</w:t>
      </w:r>
    </w:p>
    <w:p>
      <w:pPr>
        <w:pStyle w:val="Heading2"/>
        <w:spacing w:after="80" w:before="280"/>
      </w:pPr>
      <w:r>
        <w:t xml:space="preserve">Step 6 — Point Your Domain to CloudFront</w:t>
      </w:r>
    </w:p>
    <w:p>
      <w:pPr>
        <w:pStyle w:val="ListParagraph"/>
        <w:numPr>
          <w:ilvl w:val="0"/>
          <w:numId w:val="1"/>
        </w:numPr>
        <w:spacing w:after="40" w:before="40"/>
      </w:pPr>
      <w:r>
        <w:rPr>
          <w:color w:val="1C1C1E"/>
          <w:sz w:val="22"/>
          <w:szCs w:val="22"/>
        </w:rPr>
        <w:t xml:space="preserve">Copy the CloudFront domain name: looks like d1234abcd.cloudfront.net</w:t>
      </w:r>
    </w:p>
    <w:p>
      <w:pPr>
        <w:pStyle w:val="ListParagraph"/>
        <w:numPr>
          <w:ilvl w:val="0"/>
          <w:numId w:val="1"/>
        </w:numPr>
        <w:spacing w:after="40" w:before="40"/>
      </w:pPr>
      <w:r>
        <w:rPr>
          <w:color w:val="1C1C1E"/>
          <w:sz w:val="22"/>
          <w:szCs w:val="22"/>
        </w:rPr>
        <w:t xml:space="preserve">In your DNS provider, create a CNAME record:</w:t>
      </w:r>
    </w:p>
    <w:p>
      <w:pPr>
        <w:shd w:fill="EEF0FB" w:val="clear"/>
        <w:spacing w:after="60" w:before="60"/>
        <w:ind w:left="720"/>
      </w:pPr>
      <w:r>
        <w:rPr>
          <w:rFonts w:ascii="Courier New" w:cs="Courier New" w:eastAsia="Courier New" w:hAnsi="Courier New"/>
          <w:color w:val="3D35A0"/>
          <w:sz w:val="18"/>
          <w:szCs w:val="18"/>
        </w:rPr>
        <w:t xml:space="preserve">addin.prometheanit.com  -&gt;  d1234abcd.cloudfront.net</w:t>
      </w:r>
    </w:p>
    <w:p>
      <w:pPr>
        <w:pStyle w:val="ListParagraph"/>
        <w:numPr>
          <w:ilvl w:val="0"/>
          <w:numId w:val="1"/>
        </w:numPr>
        <w:spacing w:after="40" w:before="40"/>
      </w:pPr>
      <w:r>
        <w:rPr>
          <w:color w:val="1C1C1E"/>
          <w:sz w:val="22"/>
          <w:szCs w:val="22"/>
        </w:rPr>
        <w:t xml:space="preserve">If using Route 53: create an A record (Alias) pointing to the CloudFront distribution</w:t>
      </w:r>
    </w:p>
    <w:p>
      <w:pPr>
        <w:pStyle w:val="ListParagraph"/>
        <w:numPr>
          <w:ilvl w:val="0"/>
          <w:numId w:val="1"/>
        </w:numPr>
        <w:spacing w:after="40" w:before="40"/>
      </w:pPr>
      <w:r>
        <w:rPr>
          <w:color w:val="1C1C1E"/>
          <w:sz w:val="22"/>
          <w:szCs w:val="22"/>
        </w:rPr>
        <w:t xml:space="preserve">DNS propagates in 5-60 minutes</w:t>
      </w:r>
    </w:p>
    <w:p>
      <w:pPr>
        <w:pStyle w:val="Heading2"/>
        <w:spacing w:after="80" w:before="280"/>
      </w:pPr>
      <w:r>
        <w:t xml:space="preserve">Step 7 — Set Up GitHub Actions for Auto-Deploy</w:t>
      </w:r>
    </w:p>
    <w:p>
      <w:pPr>
        <w:spacing w:after="80" w:before="80"/>
        <w:jc w:val="left"/>
      </w:pPr>
      <w:r>
        <w:rPr>
          <w:b w:val="false"/>
          <w:bCs w:val="false"/>
          <w:color w:val="1C1C1E"/>
          <w:sz w:val="22"/>
          <w:szCs w:val="22"/>
        </w:rPr>
        <w:t xml:space="preserve">Create a workflow file in your repo: .github/workflows/deploy-s3.yml</w:t>
      </w:r>
    </w:p>
    <w:p>
      <w:pPr>
        <w:shd w:fill="EEF0FB" w:val="clear"/>
        <w:spacing w:after="60" w:before="60"/>
        <w:ind w:left="720"/>
      </w:pPr>
      <w:r>
        <w:rPr>
          <w:rFonts w:ascii="Courier New" w:cs="Courier New" w:eastAsia="Courier New" w:hAnsi="Courier New"/>
          <w:color w:val="3D35A0"/>
          <w:sz w:val="18"/>
          <w:szCs w:val="18"/>
        </w:rPr>
        <w:t xml:space="preserve">name: Deploy to S3</w:t>
      </w:r>
    </w:p>
    <w:p>
      <w:pPr>
        <w:shd w:fill="EEF0FB" w:val="clear"/>
        <w:spacing w:after="60" w:before="60"/>
        <w:ind w:left="720"/>
      </w:pPr>
      <w:r>
        <w:rPr>
          <w:rFonts w:ascii="Courier New" w:cs="Courier New" w:eastAsia="Courier New" w:hAnsi="Courier New"/>
          <w:color w:val="3D35A0"/>
          <w:sz w:val="18"/>
          <w:szCs w:val="18"/>
        </w:rPr>
        <w:t xml:space="preserve">on:</w:t>
      </w:r>
    </w:p>
    <w:p>
      <w:pPr>
        <w:shd w:fill="EEF0FB" w:val="clear"/>
        <w:spacing w:after="60" w:before="60"/>
        <w:ind w:left="720"/>
      </w:pPr>
      <w:r>
        <w:rPr>
          <w:rFonts w:ascii="Courier New" w:cs="Courier New" w:eastAsia="Courier New" w:hAnsi="Courier New"/>
          <w:color w:val="3D35A0"/>
          <w:sz w:val="18"/>
          <w:szCs w:val="18"/>
        </w:rPr>
        <w:t xml:space="preserve">  push:</w:t>
      </w:r>
    </w:p>
    <w:p>
      <w:pPr>
        <w:shd w:fill="EEF0FB" w:val="clear"/>
        <w:spacing w:after="60" w:before="60"/>
        <w:ind w:left="720"/>
      </w:pPr>
      <w:r>
        <w:rPr>
          <w:rFonts w:ascii="Courier New" w:cs="Courier New" w:eastAsia="Courier New" w:hAnsi="Courier New"/>
          <w:color w:val="3D35A0"/>
          <w:sz w:val="18"/>
          <w:szCs w:val="18"/>
        </w:rPr>
        <w:t xml:space="preserve">    branches: [main]</w:t>
      </w:r>
    </w:p>
    <w:p>
      <w:pPr>
        <w:shd w:fill="EEF0FB" w:val="clear"/>
        <w:spacing w:after="60" w:before="60"/>
        <w:ind w:left="720"/>
      </w:pPr>
      <w:r>
        <w:rPr>
          <w:rFonts w:ascii="Courier New" w:cs="Courier New" w:eastAsia="Courier New" w:hAnsi="Courier New"/>
          <w:color w:val="3D35A0"/>
          <w:sz w:val="18"/>
          <w:szCs w:val="18"/>
        </w:rPr>
        <w:t xml:space="preserve">jobs:</w:t>
      </w:r>
    </w:p>
    <w:p>
      <w:pPr>
        <w:shd w:fill="EEF0FB" w:val="clear"/>
        <w:spacing w:after="60" w:before="60"/>
        <w:ind w:left="720"/>
      </w:pPr>
      <w:r>
        <w:rPr>
          <w:rFonts w:ascii="Courier New" w:cs="Courier New" w:eastAsia="Courier New" w:hAnsi="Courier New"/>
          <w:color w:val="3D35A0"/>
          <w:sz w:val="18"/>
          <w:szCs w:val="18"/>
        </w:rPr>
        <w:t xml:space="preserve">  deploy:</w:t>
      </w:r>
    </w:p>
    <w:p>
      <w:pPr>
        <w:shd w:fill="EEF0FB" w:val="clear"/>
        <w:spacing w:after="60" w:before="60"/>
        <w:ind w:left="720"/>
      </w:pPr>
      <w:r>
        <w:rPr>
          <w:rFonts w:ascii="Courier New" w:cs="Courier New" w:eastAsia="Courier New" w:hAnsi="Courier New"/>
          <w:color w:val="3D35A0"/>
          <w:sz w:val="18"/>
          <w:szCs w:val="18"/>
        </w:rPr>
        <w:t xml:space="preserve">    runs-on: ubuntu-latest</w:t>
      </w:r>
    </w:p>
    <w:p>
      <w:pPr>
        <w:shd w:fill="EEF0FB" w:val="clear"/>
        <w:spacing w:after="60" w:before="60"/>
        <w:ind w:left="720"/>
      </w:pPr>
      <w:r>
        <w:rPr>
          <w:rFonts w:ascii="Courier New" w:cs="Courier New" w:eastAsia="Courier New" w:hAnsi="Courier New"/>
          <w:color w:val="3D35A0"/>
          <w:sz w:val="18"/>
          <w:szCs w:val="18"/>
        </w:rPr>
        <w:t xml:space="preserve">    steps:</w:t>
      </w:r>
    </w:p>
    <w:p>
      <w:pPr>
        <w:shd w:fill="EEF0FB" w:val="clear"/>
        <w:spacing w:after="60" w:before="60"/>
        <w:ind w:left="720"/>
      </w:pPr>
      <w:r>
        <w:rPr>
          <w:rFonts w:ascii="Courier New" w:cs="Courier New" w:eastAsia="Courier New" w:hAnsi="Courier New"/>
          <w:color w:val="3D35A0"/>
          <w:sz w:val="18"/>
          <w:szCs w:val="18"/>
        </w:rPr>
        <w:t xml:space="preserve">      - uses: actions/checkout@v4</w:t>
      </w:r>
    </w:p>
    <w:p>
      <w:pPr>
        <w:shd w:fill="EEF0FB" w:val="clear"/>
        <w:spacing w:after="60" w:before="60"/>
        <w:ind w:left="720"/>
      </w:pPr>
      <w:r>
        <w:rPr>
          <w:rFonts w:ascii="Courier New" w:cs="Courier New" w:eastAsia="Courier New" w:hAnsi="Courier New"/>
          <w:color w:val="3D35A0"/>
          <w:sz w:val="18"/>
          <w:szCs w:val="18"/>
        </w:rPr>
        <w:t xml:space="preserve">      - uses: aws-actions/configure-aws-credentials@v4</w:t>
      </w:r>
    </w:p>
    <w:p>
      <w:pPr>
        <w:shd w:fill="EEF0FB" w:val="clear"/>
        <w:spacing w:after="60" w:before="60"/>
        <w:ind w:left="720"/>
      </w:pPr>
      <w:r>
        <w:rPr>
          <w:rFonts w:ascii="Courier New" w:cs="Courier New" w:eastAsia="Courier New" w:hAnsi="Courier New"/>
          <w:color w:val="3D35A0"/>
          <w:sz w:val="18"/>
          <w:szCs w:val="18"/>
        </w:rPr>
        <w:t xml:space="preserve">        with:</w:t>
      </w:r>
    </w:p>
    <w:p>
      <w:pPr>
        <w:shd w:fill="EEF0FB" w:val="clear"/>
        <w:spacing w:after="60" w:before="60"/>
        <w:ind w:left="720"/>
      </w:pPr>
      <w:r>
        <w:rPr>
          <w:rFonts w:ascii="Courier New" w:cs="Courier New" w:eastAsia="Courier New" w:hAnsi="Courier New"/>
          <w:color w:val="3D35A0"/>
          <w:sz w:val="18"/>
          <w:szCs w:val="18"/>
        </w:rPr>
        <w:t xml:space="preserve">          aws-access-key-id: ${{ secrets.AWS_ACCESS_KEY_ID }}</w:t>
      </w:r>
    </w:p>
    <w:p>
      <w:pPr>
        <w:shd w:fill="EEF0FB" w:val="clear"/>
        <w:spacing w:after="60" w:before="60"/>
        <w:ind w:left="720"/>
      </w:pPr>
      <w:r>
        <w:rPr>
          <w:rFonts w:ascii="Courier New" w:cs="Courier New" w:eastAsia="Courier New" w:hAnsi="Courier New"/>
          <w:color w:val="3D35A0"/>
          <w:sz w:val="18"/>
          <w:szCs w:val="18"/>
        </w:rPr>
        <w:t xml:space="preserve">          aws-secret-access-key: ${{ secrets.AWS_SECRET_ACCESS_KEY }}</w:t>
      </w:r>
    </w:p>
    <w:p>
      <w:pPr>
        <w:shd w:fill="EEF0FB" w:val="clear"/>
        <w:spacing w:after="60" w:before="60"/>
        <w:ind w:left="720"/>
      </w:pPr>
      <w:r>
        <w:rPr>
          <w:rFonts w:ascii="Courier New" w:cs="Courier New" w:eastAsia="Courier New" w:hAnsi="Courier New"/>
          <w:color w:val="3D35A0"/>
          <w:sz w:val="18"/>
          <w:szCs w:val="18"/>
        </w:rPr>
        <w:t xml:space="preserve">          aws-region: us-east-1</w:t>
      </w:r>
    </w:p>
    <w:p>
      <w:pPr>
        <w:shd w:fill="EEF0FB" w:val="clear"/>
        <w:spacing w:after="60" w:before="60"/>
        <w:ind w:left="720"/>
      </w:pPr>
      <w:r>
        <w:rPr>
          <w:rFonts w:ascii="Courier New" w:cs="Courier New" w:eastAsia="Courier New" w:hAnsi="Courier New"/>
          <w:color w:val="3D35A0"/>
          <w:sz w:val="18"/>
          <w:szCs w:val="18"/>
        </w:rPr>
        <w:t xml:space="preserve">      - run: aws s3 sync ./ s3://addin.prometheanit.com/ --exclude '*.xml' --delete</w:t>
      </w:r>
    </w:p>
    <w:p>
      <w:pPr>
        <w:shd w:fill="EEF0FB" w:val="clear"/>
        <w:spacing w:after="60" w:before="60"/>
        <w:ind w:left="720"/>
      </w:pPr>
      <w:r>
        <w:rPr>
          <w:rFonts w:ascii="Courier New" w:cs="Courier New" w:eastAsia="Courier New" w:hAnsi="Courier New"/>
          <w:color w:val="3D35A0"/>
          <w:sz w:val="18"/>
          <w:szCs w:val="18"/>
        </w:rPr>
        <w:t xml:space="preserve">      - run: aws cloudfront create-invalidation --distribution-id ${{ secrets.CF_DIST_ID }} --paths '/*'</w:t>
      </w:r>
    </w:p>
    <w:p>
      <w:pPr>
        <w:spacing w:after="80" w:before="80"/>
        <w:jc w:val="left"/>
      </w:pPr>
      <w:r>
        <w:rPr>
          <w:b w:val="false"/>
          <w:bCs w:val="false"/>
          <w:color w:val="1C1C1E"/>
          <w:sz w:val="22"/>
          <w:szCs w:val="22"/>
        </w:rPr>
        <w:t xml:space="preserve">In GitHub: Settings -&gt; Secrets -&gt; add AWS_ACCESS_KEY_ID, AWS_SECRET_ACCESS_KEY, CF_DIST_ID (your CloudFront distribution ID e.g. E1ABCDEF).</w:t>
      </w:r>
    </w:p>
    <w:p>
      <w:pPr>
        <w:spacing w:after="80" w:before="80"/>
        <w:jc w:val="left"/>
      </w:pPr>
      <w:r>
        <w:rPr>
          <w:b w:val="false"/>
          <w:bCs w:val="false"/>
          <w:color w:val="1C1C1E"/>
          <w:sz w:val="22"/>
          <w:szCs w:val="22"/>
        </w:rPr>
        <w:t xml:space="preserve">Create a dedicated IAM user with only the minimum permissions needed: s3:PutObject, s3:DeleteObject, s3:ListBucket, cloudfront:CreateInvalidation. Use that user's keys, never your root account.</w:t>
      </w:r>
    </w:p>
    <w:p>
      <w:pPr>
        <w:pStyle w:val="Heading2"/>
        <w:spacing w:after="80" w:before="280"/>
      </w:pPr>
      <w:r>
        <w:t xml:space="preserve">Step 8 — Update Manifests, ALLOWED_ORIGINS, and Entra</w:t>
      </w:r>
    </w:p>
    <w:p>
      <w:pPr>
        <w:pStyle w:val="ListParagraph"/>
        <w:numPr>
          <w:ilvl w:val="0"/>
          <w:numId w:val="1"/>
        </w:numPr>
        <w:spacing w:after="40" w:before="40"/>
      </w:pPr>
      <w:r>
        <w:rPr>
          <w:color w:val="1C1C1E"/>
          <w:sz w:val="22"/>
          <w:szCs w:val="22"/>
        </w:rPr>
        <w:t xml:space="preserve">Update all manifest files: replace leighton-grey.github.io/mail-merge-addin with addin.prometheanit.com</w:t>
      </w:r>
    </w:p>
    <w:p>
      <w:pPr>
        <w:pStyle w:val="ListParagraph"/>
        <w:numPr>
          <w:ilvl w:val="0"/>
          <w:numId w:val="1"/>
        </w:numPr>
        <w:spacing w:after="40" w:before="40"/>
      </w:pPr>
      <w:r>
        <w:rPr>
          <w:color w:val="1C1C1E"/>
          <w:sz w:val="22"/>
          <w:szCs w:val="22"/>
        </w:rPr>
        <w:t xml:space="preserve">Azure Function App -&gt; Environment variables -&gt; ALLOWED_ORIGINS -&gt; add https://addin.prometheanit.com</w:t>
      </w:r>
    </w:p>
    <w:p>
      <w:pPr>
        <w:pStyle w:val="ListParagraph"/>
        <w:numPr>
          <w:ilvl w:val="0"/>
          <w:numId w:val="1"/>
        </w:numPr>
        <w:spacing w:after="40" w:before="40"/>
      </w:pPr>
      <w:r>
        <w:rPr>
          <w:color w:val="1C1C1E"/>
          <w:sz w:val="22"/>
          <w:szCs w:val="22"/>
        </w:rPr>
        <w:t xml:space="preserve">Entra App registration -&gt; Authentication -&gt; Redirect URIs -&gt; add https://addin.prometheanit.com</w:t>
      </w:r>
    </w:p>
    <w:p>
      <w:pPr>
        <w:pStyle w:val="ListParagraph"/>
        <w:numPr>
          <w:ilvl w:val="0"/>
          <w:numId w:val="1"/>
        </w:numPr>
        <w:spacing w:after="40" w:before="40"/>
      </w:pPr>
      <w:r>
        <w:rPr>
          <w:color w:val="1C1C1E"/>
          <w:sz w:val="22"/>
          <w:szCs w:val="22"/>
        </w:rPr>
        <w:t xml:space="preserve">taskpane.js -&gt; set LICENSE_API_URL (stays on Azure, not AWS):</w:t>
      </w:r>
    </w:p>
    <w:p>
      <w:pPr>
        <w:shd w:fill="EEF0FB" w:val="clear"/>
        <w:spacing w:after="60" w:before="60"/>
        <w:ind w:left="720"/>
      </w:pPr>
      <w:r>
        <w:rPr>
          <w:rFonts w:ascii="Courier New" w:cs="Courier New" w:eastAsia="Courier New" w:hAnsi="Courier New"/>
          <w:color w:val="3D35A0"/>
          <w:sz w:val="18"/>
          <w:szCs w:val="18"/>
        </w:rPr>
        <w:t xml:space="preserve">const LICENSE_API_URL = "https://YOUR_FUNCTION_APP.azurewebsites.net/api/license";</w:t>
      </w:r>
    </w:p>
    <w:p>
      <w:pPr>
        <w:pStyle w:val="Heading2"/>
        <w:spacing w:after="80" w:before="280"/>
      </w:pPr>
      <w:r>
        <w:t xml:space="preserve">Step 9 — Verify</w:t>
      </w:r>
    </w:p>
    <w:p>
      <w:pPr>
        <w:pStyle w:val="ListParagraph"/>
        <w:numPr>
          <w:ilvl w:val="0"/>
          <w:numId w:val="1"/>
        </w:numPr>
        <w:spacing w:after="40" w:before="40"/>
      </w:pPr>
      <w:r>
        <w:rPr>
          <w:color w:val="1C1C1E"/>
          <w:sz w:val="22"/>
          <w:szCs w:val="22"/>
        </w:rPr>
        <w:t xml:space="preserve">Open https://addin.prometheanit.com/taskpane.html in a browser — should load</w:t>
      </w:r>
    </w:p>
    <w:p>
      <w:pPr>
        <w:pStyle w:val="ListParagraph"/>
        <w:numPr>
          <w:ilvl w:val="0"/>
          <w:numId w:val="1"/>
        </w:numPr>
        <w:spacing w:after="40" w:before="40"/>
      </w:pPr>
      <w:r>
        <w:rPr>
          <w:color w:val="1C1C1E"/>
          <w:sz w:val="22"/>
          <w:szCs w:val="22"/>
        </w:rPr>
        <w:t xml:space="preserve">DevTools -&gt; Network -&gt; confirm no CORS errors</w:t>
      </w:r>
    </w:p>
    <w:p>
      <w:pPr>
        <w:pStyle w:val="ListParagraph"/>
        <w:numPr>
          <w:ilvl w:val="0"/>
          <w:numId w:val="1"/>
        </w:numPr>
        <w:spacing w:after="40" w:before="40"/>
      </w:pPr>
      <w:r>
        <w:rPr>
          <w:color w:val="1C1C1E"/>
          <w:sz w:val="22"/>
          <w:szCs w:val="22"/>
        </w:rPr>
        <w:t xml:space="preserve">Upload updated manifest.xml to Microsoft 365 Admin Centre -&gt; add-in should launch from new URL</w:t>
      </w:r>
    </w:p>
    <w:p>
      <w:pPr>
        <w:pStyle w:val="ListParagraph"/>
        <w:numPr>
          <w:ilvl w:val="0"/>
          <w:numId w:val="1"/>
        </w:numPr>
        <w:spacing w:after="40" w:before="40"/>
      </w:pPr>
      <w:r>
        <w:rPr>
          <w:color w:val="1C1C1E"/>
          <w:sz w:val="22"/>
          <w:szCs w:val="22"/>
        </w:rPr>
        <w:t xml:space="preserve">CloudFront -&gt; Distributions -&gt; status must be 'Deployed' (not 'In Progress')</w:t>
      </w:r>
    </w:p>
    <w:p>
      <w:pPr>
        <w:pBdr>
          <w:bottom w:val="single" w:color="D0CCF0" w:sz="6"/>
        </w:pBdr>
        <w:spacing w:after="200" w:before="200"/>
      </w:pPr>
    </w:p>
    <w:p>
      <w:pPr>
        <w:pStyle w:val="Heading1"/>
        <w:spacing w:after="120" w:before="360"/>
        <w:rPr>
          <w:b/>
          <w:bCs/>
          <w:color w:val="534AB7"/>
        </w:rPr>
      </w:pPr>
      <w:r>
        <w:t xml:space="preserve">12. AppSource Readiness — Current State</w:t>
      </w:r>
    </w:p>
    <w:p>
      <w:pPr>
        <w:spacing w:after="80" w:before="80"/>
        <w:jc w:val="left"/>
      </w:pPr>
      <w:r>
        <w:rPr>
          <w:b w:val="false"/>
          <w:bCs w:val="false"/>
          <w:color w:val="1C1C1E"/>
          <w:sz w:val="22"/>
          <w:szCs w:val="22"/>
        </w:rPr>
        <w:t xml:space="preserve">The licensing code is complete and production-ready. The add-in continues to work via Admin Centre and EAC unchanged because LICENSE_ENFORCEMENT = false. The table below shows what is done and what needs to happen before AppSource go-live.</w:t>
      </w:r>
    </w:p>
    <w:p>
      <w:pPr>
        <w:pStyle w:val="Heading2"/>
        <w:spacing w:after="80" w:before="280"/>
      </w:pPr>
      <w:r>
        <w:t xml:space="preserve">Code Readiness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00"/>
        <w:gridCol w:w="6240"/>
      </w:tblGrid>
      <w:tr>
        <w:tc>
          <w:tcPr>
            <w:tcW w:type="dxa" w:w="3000"/>
            <w:shd w:fill="EEF0FB" w:color="534AB7" w:val="clear"/>
            <w:vAlign w:val="center"/>
          </w:tcPr>
          <w:p>
            <w:r>
              <w:rPr>
                <w:b/>
                <w:bCs/>
                <w:color w:val="534AB7"/>
                <w:sz w:val="20"/>
                <w:szCs w:val="20"/>
              </w:rPr>
              <w:t xml:space="preserve">Component</w:t>
            </w:r>
          </w:p>
        </w:tc>
        <w:tc>
          <w:tcPr>
            <w:tcW w:type="dxa" w:w="6240"/>
            <w:shd w:fill="EEF0FB" w:color="534AB7" w:val="clear"/>
            <w:vAlign w:val="center"/>
          </w:tcPr>
          <w:p>
            <w:r>
              <w:rPr>
                <w:color w:val="6B6B6B"/>
                <w:sz w:val="20"/>
                <w:szCs w:val="20"/>
              </w:rPr>
              <w:t xml:space="preserve">Status</w:t>
            </w:r>
          </w:p>
        </w:tc>
      </w:tr>
      <w:tr>
        <w:tc>
          <w:tcPr>
            <w:tcW w:type="dxa" w:w="3000"/>
            <w:vAlign w:val="center"/>
          </w:tcPr>
          <w:p>
            <w:r>
              <w:rPr>
                <w:b w:val="false"/>
                <w:bCs w:val="false"/>
                <w:color w:val="1C1C1E"/>
                <w:sz w:val="20"/>
                <w:szCs w:val="20"/>
              </w:rPr>
              <w:t xml:space="preserve">activate.js</w:t>
            </w:r>
          </w:p>
        </w:tc>
        <w:tc>
          <w:tcPr>
            <w:tcW w:type="dxa" w:w="6240"/>
            <w:vAlign w:val="center"/>
          </w:tcPr>
          <w:p>
            <w:r>
              <w:rPr>
                <w:color w:val="6B6B6B"/>
                <w:sz w:val="20"/>
                <w:szCs w:val="20"/>
              </w:rPr>
              <w:t xml:space="preserve">Complete. Handles AppSource purchase redirects, activation, and success page.</w:t>
            </w:r>
          </w:p>
        </w:tc>
      </w:tr>
      <w:tr>
        <w:tc>
          <w:tcPr>
            <w:tcW w:type="dxa" w:w="3000"/>
            <w:vAlign w:val="center"/>
          </w:tcPr>
          <w:p>
            <w:r>
              <w:rPr>
                <w:b w:val="false"/>
                <w:bCs w:val="false"/>
                <w:color w:val="1C1C1E"/>
                <w:sz w:val="20"/>
                <w:szCs w:val="20"/>
              </w:rPr>
              <w:t xml:space="preserve">saasWebhook.js</w:t>
            </w:r>
          </w:p>
        </w:tc>
        <w:tc>
          <w:tcPr>
            <w:tcW w:type="dxa" w:w="6240"/>
            <w:vAlign w:val="center"/>
          </w:tcPr>
          <w:p>
            <w:r>
              <w:rPr>
                <w:color w:val="6B6B6B"/>
                <w:sz w:val="20"/>
                <w:szCs w:val="20"/>
              </w:rPr>
              <w:t xml:space="preserve">Complete. Handles all Microsoft subscription lifecycle events with fire-and-forget pattern.</w:t>
            </w:r>
          </w:p>
        </w:tc>
      </w:tr>
      <w:tr>
        <w:tc>
          <w:tcPr>
            <w:tcW w:type="dxa" w:w="3000"/>
            <w:vAlign w:val="center"/>
          </w:tcPr>
          <w:p>
            <w:r>
              <w:rPr>
                <w:b w:val="false"/>
                <w:bCs w:val="false"/>
                <w:color w:val="1C1C1E"/>
                <w:sz w:val="20"/>
                <w:szCs w:val="20"/>
              </w:rPr>
              <w:t xml:space="preserve">licenseCheck.js</w:t>
            </w:r>
          </w:p>
        </w:tc>
        <w:tc>
          <w:tcPr>
            <w:tcW w:type="dxa" w:w="6240"/>
            <w:vAlign w:val="center"/>
          </w:tcPr>
          <w:p>
            <w:r>
              <w:rPr>
                <w:color w:val="6B6B6B"/>
                <w:sz w:val="20"/>
                <w:szCs w:val="20"/>
              </w:rPr>
              <w:t xml:space="preserve">Complete. Issues 24-hour JWT tokens. CORS configured for cross-origin add-in requests.</w:t>
            </w:r>
          </w:p>
        </w:tc>
      </w:tr>
      <w:tr>
        <w:tc>
          <w:tcPr>
            <w:tcW w:type="dxa" w:w="3000"/>
            <w:vAlign w:val="center"/>
          </w:tcPr>
          <w:p>
            <w:r>
              <w:rPr>
                <w:b w:val="false"/>
                <w:bCs w:val="false"/>
                <w:color w:val="1C1C1E"/>
                <w:sz w:val="20"/>
                <w:szCs w:val="20"/>
              </w:rPr>
              <w:t xml:space="preserve">tableStorage.js</w:t>
            </w:r>
          </w:p>
        </w:tc>
        <w:tc>
          <w:tcPr>
            <w:tcW w:type="dxa" w:w="6240"/>
            <w:vAlign w:val="center"/>
          </w:tcPr>
          <w:p>
            <w:r>
              <w:rPr>
                <w:color w:val="6B6B6B"/>
                <w:sz w:val="20"/>
                <w:szCs w:val="20"/>
              </w:rPr>
              <w:t xml:space="preserve">Complete. OData injection fixed, TableClient caching added, cross-partition scan added.</w:t>
            </w:r>
          </w:p>
        </w:tc>
      </w:tr>
      <w:tr>
        <w:tc>
          <w:tcPr>
            <w:tcW w:type="dxa" w:w="3000"/>
            <w:vAlign w:val="center"/>
          </w:tcPr>
          <w:p>
            <w:r>
              <w:rPr>
                <w:b w:val="false"/>
                <w:bCs w:val="false"/>
                <w:color w:val="1C1C1E"/>
                <w:sz w:val="20"/>
                <w:szCs w:val="20"/>
              </w:rPr>
              <w:t xml:space="preserve">fulfillmentClient.js</w:t>
            </w:r>
          </w:p>
        </w:tc>
        <w:tc>
          <w:tcPr>
            <w:tcW w:type="dxa" w:w="6240"/>
            <w:vAlign w:val="center"/>
          </w:tcPr>
          <w:p>
            <w:r>
              <w:rPr>
                <w:color w:val="6B6B6B"/>
                <w:sz w:val="20"/>
                <w:szCs w:val="20"/>
              </w:rPr>
              <w:t xml:space="preserve">Complete. OAuth token caching, all Fulfillment API v2 operations implemented.</w:t>
            </w:r>
          </w:p>
        </w:tc>
      </w:tr>
      <w:tr>
        <w:tc>
          <w:tcPr>
            <w:tcW w:type="dxa" w:w="3000"/>
            <w:vAlign w:val="center"/>
          </w:tcPr>
          <w:p>
            <w:r>
              <w:rPr>
                <w:b w:val="false"/>
                <w:bCs w:val="false"/>
                <w:color w:val="1C1C1E"/>
                <w:sz w:val="20"/>
                <w:szCs w:val="20"/>
              </w:rPr>
              <w:t xml:space="preserve">checkLicense() in taskpane.js</w:t>
            </w:r>
          </w:p>
        </w:tc>
        <w:tc>
          <w:tcPr>
            <w:tcW w:type="dxa" w:w="6240"/>
            <w:vAlign w:val="center"/>
          </w:tcPr>
          <w:p>
            <w:r>
              <w:rPr>
                <w:color w:val="6B6B6B"/>
                <w:sz w:val="20"/>
                <w:szCs w:val="20"/>
              </w:rPr>
              <w:t xml:space="preserve">Complete. Runs silently. Caches JWT in localStorage. Zero impact on current users.</w:t>
            </w:r>
          </w:p>
        </w:tc>
      </w:tr>
      <w:tr>
        <w:tc>
          <w:tcPr>
            <w:tcW w:type="dxa" w:w="3000"/>
            <w:vAlign w:val="center"/>
          </w:tcPr>
          <w:p>
            <w:r>
              <w:rPr>
                <w:b w:val="false"/>
                <w:bCs w:val="false"/>
                <w:color w:val="1C1C1E"/>
                <w:sz w:val="20"/>
                <w:szCs w:val="20"/>
              </w:rPr>
              <w:t xml:space="preserve">LICENSE_ENFORCEMENT flag</w:t>
            </w:r>
          </w:p>
        </w:tc>
        <w:tc>
          <w:tcPr>
            <w:tcW w:type="dxa" w:w="6240"/>
            <w:vAlign w:val="center"/>
          </w:tcPr>
          <w:p>
            <w:r>
              <w:rPr>
                <w:color w:val="6B6B6B"/>
                <w:sz w:val="20"/>
                <w:szCs w:val="20"/>
              </w:rPr>
              <w:t xml:space="preserve">OFF (false). Flip to true only when SaaS offer is live and tested.</w:t>
            </w:r>
          </w:p>
        </w:tc>
      </w:tr>
      <w:tr>
        <w:tc>
          <w:tcPr>
            <w:tcW w:type="dxa" w:w="3000"/>
            <w:vAlign w:val="center"/>
          </w:tcPr>
          <w:p>
            <w:r>
              <w:rPr>
                <w:b w:val="false"/>
                <w:bCs w:val="false"/>
                <w:color w:val="1C1C1E"/>
                <w:sz w:val="20"/>
                <w:szCs w:val="20"/>
              </w:rPr>
              <w:t xml:space="preserve">Webhook JWT validation</w:t>
            </w:r>
          </w:p>
        </w:tc>
        <w:tc>
          <w:tcPr>
            <w:tcW w:type="dxa" w:w="6240"/>
            <w:vAlign w:val="center"/>
          </w:tcPr>
          <w:p>
            <w:r>
              <w:rPr>
                <w:color w:val="6B6B6B"/>
                <w:sz w:val="20"/>
                <w:szCs w:val="20"/>
              </w:rPr>
              <w:t xml:space="preserve">Issuer check implemented. TODO before production: full JWKS signature verification.</w:t>
            </w:r>
          </w:p>
        </w:tc>
      </w:tr>
    </w:tbl>
    <w:p>
      <w:pPr>
        <w:pStyle w:val="Heading2"/>
        <w:spacing w:after="80" w:before="280"/>
      </w:pPr>
      <w:r>
        <w:t xml:space="preserve">Why Admin Centre and EAC Still Work</w:t>
      </w:r>
    </w:p>
    <w:p>
      <w:pPr>
        <w:spacing w:after="80" w:before="80"/>
        <w:jc w:val="left"/>
      </w:pPr>
      <w:r>
        <w:rPr>
          <w:b w:val="false"/>
          <w:bCs w:val="false"/>
          <w:color w:val="1C1C1E"/>
          <w:sz w:val="22"/>
          <w:szCs w:val="22"/>
        </w:rPr>
        <w:t xml:space="preserve">The add-in can be deployed and used via Microsoft 365 Admin Centre and Exchange Admin Centre with zero changes because:</w:t>
      </w:r>
    </w:p>
    <w:p>
      <w:pPr>
        <w:pStyle w:val="ListParagraph"/>
        <w:numPr>
          <w:ilvl w:val="0"/>
          <w:numId w:val="1"/>
        </w:numPr>
        <w:spacing w:after="40" w:before="40"/>
      </w:pPr>
      <w:r>
        <w:rPr>
          <w:color w:val="1C1C1E"/>
          <w:sz w:val="22"/>
          <w:szCs w:val="22"/>
        </w:rPr>
        <w:t xml:space="preserve">LICENSE_ENFORCEMENT = false — no gate is shown, no features are blocked, no overlay appears</w:t>
      </w:r>
    </w:p>
    <w:p>
      <w:pPr>
        <w:pStyle w:val="ListParagraph"/>
        <w:numPr>
          <w:ilvl w:val="0"/>
          <w:numId w:val="1"/>
        </w:numPr>
        <w:spacing w:after="40" w:before="40"/>
      </w:pPr>
      <w:r>
        <w:rPr>
          <w:color w:val="1C1C1E"/>
          <w:sz w:val="22"/>
          <w:szCs w:val="22"/>
        </w:rPr>
        <w:t xml:space="preserve">Manifests are unchanged — same IDs, same permissions, same hosting URLs</w:t>
      </w:r>
    </w:p>
    <w:p>
      <w:pPr>
        <w:pStyle w:val="ListParagraph"/>
        <w:numPr>
          <w:ilvl w:val="0"/>
          <w:numId w:val="1"/>
        </w:numPr>
        <w:spacing w:after="40" w:before="40"/>
      </w:pPr>
      <w:r>
        <w:rPr>
          <w:color w:val="1C1C1E"/>
          <w:sz w:val="22"/>
          <w:szCs w:val="22"/>
        </w:rPr>
        <w:t xml:space="preserve">checkLicense() is non-blocking — if the API is unreachable or returns unlicensed, the add-in still loads normally</w:t>
      </w:r>
    </w:p>
    <w:p>
      <w:pPr>
        <w:pStyle w:val="ListParagraph"/>
        <w:numPr>
          <w:ilvl w:val="0"/>
          <w:numId w:val="1"/>
        </w:numPr>
        <w:spacing w:after="40" w:before="40"/>
      </w:pPr>
      <w:r>
        <w:rPr>
          <w:color w:val="1C1C1E"/>
          <w:sz w:val="22"/>
          <w:szCs w:val="22"/>
        </w:rPr>
        <w:t xml:space="preserve">The Graph API / MSAL authentication flow is completely unchanged</w:t>
      </w:r>
    </w:p>
    <w:p>
      <w:pPr>
        <w:spacing w:after="80" w:before="80"/>
        <w:jc w:val="left"/>
      </w:pPr>
      <w:r>
        <w:rPr>
          <w:b w:val="false"/>
          <w:bCs w:val="false"/>
          <w:color w:val="1C1C1E"/>
          <w:sz w:val="22"/>
          <w:szCs w:val="22"/>
        </w:rPr>
        <w:t xml:space="preserve">When LICENSE_ENFORCEMENT is later set to true, Admin Centre and EAC users will need a paid subscription. No manifest changes are needed — only the taskpane.js update triggers the gate.</w:t>
      </w:r>
    </w:p>
    <w:p>
      <w:pPr>
        <w:pStyle w:val="Heading2"/>
        <w:spacing w:after="80" w:before="280"/>
      </w:pPr>
      <w:r>
        <w:t xml:space="preserve">Pre-AppSource Submission Checklist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00"/>
        <w:gridCol w:w="6240"/>
      </w:tblGrid>
      <w:tr>
        <w:tc>
          <w:tcPr>
            <w:tcW w:type="dxa" w:w="3000"/>
            <w:shd w:fill="EEF0FB" w:color="534AB7" w:val="clear"/>
            <w:vAlign w:val="center"/>
          </w:tcPr>
          <w:p>
            <w:r>
              <w:rPr>
                <w:b/>
                <w:bCs/>
                <w:color w:val="534AB7"/>
                <w:sz w:val="20"/>
                <w:szCs w:val="20"/>
              </w:rPr>
              <w:t xml:space="preserve">Item</w:t>
            </w:r>
          </w:p>
        </w:tc>
        <w:tc>
          <w:tcPr>
            <w:tcW w:type="dxa" w:w="6240"/>
            <w:shd w:fill="EEF0FB" w:color="534AB7" w:val="clear"/>
            <w:vAlign w:val="center"/>
          </w:tcPr>
          <w:p>
            <w:r>
              <w:rPr>
                <w:color w:val="6B6B6B"/>
                <w:sz w:val="20"/>
                <w:szCs w:val="20"/>
              </w:rPr>
              <w:t xml:space="preserve">Action Required</w:t>
            </w:r>
          </w:p>
        </w:tc>
      </w:tr>
      <w:tr>
        <w:tc>
          <w:tcPr>
            <w:tcW w:type="dxa" w:w="3000"/>
            <w:vAlign w:val="center"/>
          </w:tcPr>
          <w:p>
            <w:r>
              <w:rPr>
                <w:b w:val="false"/>
                <w:bCs w:val="false"/>
                <w:color w:val="1C1C1E"/>
                <w:sz w:val="20"/>
                <w:szCs w:val="20"/>
              </w:rPr>
              <w:t xml:space="preserve">privacy.html</w:t>
            </w:r>
          </w:p>
        </w:tc>
        <w:tc>
          <w:tcPr>
            <w:tcW w:type="dxa" w:w="6240"/>
            <w:vAlign w:val="center"/>
          </w:tcPr>
          <w:p>
            <w:r>
              <w:rPr>
                <w:color w:val="6B6B6B"/>
                <w:sz w:val="20"/>
                <w:szCs w:val="20"/>
              </w:rPr>
              <w:t xml:space="preserve">Create a privacy policy page. manifest.json references /privacy.html. AppSource requires a live, accessible privacy policy URL.</w:t>
            </w:r>
          </w:p>
        </w:tc>
      </w:tr>
      <w:tr>
        <w:tc>
          <w:tcPr>
            <w:tcW w:type="dxa" w:w="3000"/>
            <w:vAlign w:val="center"/>
          </w:tcPr>
          <w:p>
            <w:r>
              <w:rPr>
                <w:b w:val="false"/>
                <w:bCs w:val="false"/>
                <w:color w:val="1C1C1E"/>
                <w:sz w:val="20"/>
                <w:szCs w:val="20"/>
              </w:rPr>
              <w:t xml:space="preserve">terms.html</w:t>
            </w:r>
          </w:p>
        </w:tc>
        <w:tc>
          <w:tcPr>
            <w:tcW w:type="dxa" w:w="6240"/>
            <w:vAlign w:val="center"/>
          </w:tcPr>
          <w:p>
            <w:r>
              <w:rPr>
                <w:color w:val="6B6B6B"/>
                <w:sz w:val="20"/>
                <w:szCs w:val="20"/>
              </w:rPr>
              <w:t xml:space="preserve">Create a terms of use page. manifest.json references /terms.html. AppSource requires a live terms URL.</w:t>
            </w:r>
          </w:p>
        </w:tc>
      </w:tr>
      <w:tr>
        <w:tc>
          <w:tcPr>
            <w:tcW w:type="dxa" w:w="3000"/>
            <w:vAlign w:val="center"/>
          </w:tcPr>
          <w:p>
            <w:r>
              <w:rPr>
                <w:b w:val="false"/>
                <w:bCs w:val="false"/>
                <w:color w:val="1C1C1E"/>
                <w:sz w:val="20"/>
                <w:szCs w:val="20"/>
              </w:rPr>
              <w:t xml:space="preserve">AppSource icons</w:t>
            </w:r>
          </w:p>
        </w:tc>
        <w:tc>
          <w:tcPr>
            <w:tcW w:type="dxa" w:w="6240"/>
            <w:vAlign w:val="center"/>
          </w:tcPr>
          <w:p>
            <w:r>
              <w:rPr>
                <w:color w:val="6B6B6B"/>
                <w:sz w:val="20"/>
                <w:szCs w:val="20"/>
              </w:rPr>
              <w:t xml:space="preserve">icon-color.png (192x192) and icon-outline.png (32x32) must exist at the manifest.json paths. XML manifests need icon-16, icon-32, icon-80.</w:t>
            </w:r>
          </w:p>
        </w:tc>
      </w:tr>
      <w:tr>
        <w:tc>
          <w:tcPr>
            <w:tcW w:type="dxa" w:w="3000"/>
            <w:vAlign w:val="center"/>
          </w:tcPr>
          <w:p>
            <w:r>
              <w:rPr>
                <w:b w:val="false"/>
                <w:bCs w:val="false"/>
                <w:color w:val="1C1C1E"/>
                <w:sz w:val="20"/>
                <w:szCs w:val="20"/>
              </w:rPr>
              <w:t xml:space="preserve">Webhook JWKS</w:t>
            </w:r>
          </w:p>
        </w:tc>
        <w:tc>
          <w:tcPr>
            <w:tcW w:type="dxa" w:w="6240"/>
            <w:vAlign w:val="center"/>
          </w:tcPr>
          <w:p>
            <w:r>
              <w:rPr>
                <w:color w:val="6B6B6B"/>
                <w:sz w:val="20"/>
                <w:szCs w:val="20"/>
              </w:rPr>
              <w:t xml:space="preserve">Before AppSource go-live: upgrade validateWebhookAuth() to verify JWT signature against Microsoft's JWKS endpoint, not just the issuer claim.</w:t>
            </w:r>
          </w:p>
        </w:tc>
      </w:tr>
      <w:tr>
        <w:tc>
          <w:tcPr>
            <w:tcW w:type="dxa" w:w="3000"/>
            <w:vAlign w:val="center"/>
          </w:tcPr>
          <w:p>
            <w:r>
              <w:rPr>
                <w:b w:val="false"/>
                <w:bCs w:val="false"/>
                <w:color w:val="1C1C1E"/>
                <w:sz w:val="20"/>
                <w:szCs w:val="20"/>
              </w:rPr>
              <w:t xml:space="preserve">LICENSE_API_URL</w:t>
            </w:r>
          </w:p>
        </w:tc>
        <w:tc>
          <w:tcPr>
            <w:tcW w:type="dxa" w:w="6240"/>
            <w:vAlign w:val="center"/>
          </w:tcPr>
          <w:p>
            <w:r>
              <w:rPr>
                <w:color w:val="6B6B6B"/>
                <w:sz w:val="20"/>
                <w:szCs w:val="20"/>
              </w:rPr>
              <w:t xml:space="preserve">Replace placeholder with your deployed Azure Functions URL.</w:t>
            </w:r>
          </w:p>
        </w:tc>
      </w:tr>
      <w:tr>
        <w:tc>
          <w:tcPr>
            <w:tcW w:type="dxa" w:w="3000"/>
            <w:vAlign w:val="center"/>
          </w:tcPr>
          <w:p>
            <w:r>
              <w:rPr>
                <w:b w:val="false"/>
                <w:bCs w:val="false"/>
                <w:color w:val="1C1C1E"/>
                <w:sz w:val="20"/>
                <w:szCs w:val="20"/>
              </w:rPr>
              <w:t xml:space="preserve">LICENSE_ENFORCEMENT</w:t>
            </w:r>
          </w:p>
        </w:tc>
        <w:tc>
          <w:tcPr>
            <w:tcW w:type="dxa" w:w="6240"/>
            <w:vAlign w:val="center"/>
          </w:tcPr>
          <w:p>
            <w:r>
              <w:rPr>
                <w:color w:val="6B6B6B"/>
                <w:sz w:val="20"/>
                <w:szCs w:val="20"/>
              </w:rPr>
              <w:t xml:space="preserve">Set to true only after SaaS offer is live and end-to-end tested.</w:t>
            </w:r>
          </w:p>
        </w:tc>
      </w:tr>
      <w:tr>
        <w:tc>
          <w:tcPr>
            <w:tcW w:type="dxa" w:w="3000"/>
            <w:vAlign w:val="center"/>
          </w:tcPr>
          <w:p>
            <w:r>
              <w:rPr>
                <w:b w:val="false"/>
                <w:bCs w:val="false"/>
                <w:color w:val="1C1C1E"/>
                <w:sz w:val="20"/>
                <w:szCs w:val="20"/>
              </w:rPr>
              <w:t xml:space="preserve">ALLOWED_ORIGINS</w:t>
            </w:r>
          </w:p>
        </w:tc>
        <w:tc>
          <w:tcPr>
            <w:tcW w:type="dxa" w:w="6240"/>
            <w:vAlign w:val="center"/>
          </w:tcPr>
          <w:p>
            <w:r>
              <w:rPr>
                <w:color w:val="6B6B6B"/>
                <w:sz w:val="20"/>
                <w:szCs w:val="20"/>
              </w:rPr>
              <w:t xml:space="preserve">Set to production hosting URL in Azure Function App environment variables.</w:t>
            </w:r>
          </w:p>
        </w:tc>
      </w:tr>
      <w:tr>
        <w:tc>
          <w:tcPr>
            <w:tcW w:type="dxa" w:w="3000"/>
            <w:vAlign w:val="center"/>
          </w:tcPr>
          <w:p>
            <w:r>
              <w:rPr>
                <w:b w:val="false"/>
                <w:bCs w:val="false"/>
                <w:color w:val="1C1C1E"/>
                <w:sz w:val="20"/>
                <w:szCs w:val="20"/>
              </w:rPr>
              <w:t xml:space="preserve">Entra redirect URIs</w:t>
            </w:r>
          </w:p>
        </w:tc>
        <w:tc>
          <w:tcPr>
            <w:tcW w:type="dxa" w:w="6240"/>
            <w:vAlign w:val="center"/>
          </w:tcPr>
          <w:p>
            <w:r>
              <w:rPr>
                <w:color w:val="6B6B6B"/>
                <w:sz w:val="20"/>
                <w:szCs w:val="20"/>
              </w:rPr>
              <w:t xml:space="preserve">Add production hosting URL to the app registration's redirect URIs.</w:t>
            </w:r>
          </w:p>
        </w:tc>
      </w:tr>
      <w:tr>
        <w:tc>
          <w:tcPr>
            <w:tcW w:type="dxa" w:w="3000"/>
            <w:vAlign w:val="center"/>
          </w:tcPr>
          <w:p>
            <w:r>
              <w:rPr>
                <w:b w:val="false"/>
                <w:bCs w:val="false"/>
                <w:color w:val="1C1C1E"/>
                <w:sz w:val="20"/>
                <w:szCs w:val="20"/>
              </w:rPr>
              <w:t xml:space="preserve">Partner Center SaaS offer</w:t>
            </w:r>
          </w:p>
        </w:tc>
        <w:tc>
          <w:tcPr>
            <w:tcW w:type="dxa" w:w="6240"/>
            <w:vAlign w:val="center"/>
          </w:tcPr>
          <w:p>
            <w:r>
              <w:rPr>
                <w:color w:val="6B6B6B"/>
                <w:sz w:val="20"/>
                <w:szCs w:val="20"/>
              </w:rPr>
              <w:t xml:space="preserve">Create transactable SaaS offer. Set landing page URL and webhook URL. Define pricing plans.</w:t>
            </w:r>
          </w:p>
        </w:tc>
      </w:tr>
      <w:tr>
        <w:tc>
          <w:tcPr>
            <w:tcW w:type="dxa" w:w="3000"/>
            <w:vAlign w:val="center"/>
          </w:tcPr>
          <w:p>
            <w:r>
              <w:rPr>
                <w:b w:val="false"/>
                <w:bCs w:val="false"/>
                <w:color w:val="1C1C1E"/>
                <w:sz w:val="20"/>
                <w:szCs w:val="20"/>
              </w:rPr>
              <w:t xml:space="preserve">AppSource add-in listing</w:t>
            </w:r>
          </w:p>
        </w:tc>
        <w:tc>
          <w:tcPr>
            <w:tcW w:type="dxa" w:w="6240"/>
            <w:vAlign w:val="center"/>
          </w:tcPr>
          <w:p>
            <w:r>
              <w:rPr>
                <w:color w:val="6B6B6B"/>
                <w:sz w:val="20"/>
                <w:szCs w:val="20"/>
              </w:rPr>
              <w:t xml:space="preserve">Upload manifest in Partner Center. Link to SaaS offer. Microsoft review: 3-5 business days.</w:t>
            </w:r>
          </w:p>
        </w:tc>
      </w:tr>
      <w:tr>
        <w:tc>
          <w:tcPr>
            <w:tcW w:type="dxa" w:w="3000"/>
            <w:vAlign w:val="center"/>
          </w:tcPr>
          <w:p>
            <w:r>
              <w:rPr>
                <w:b w:val="false"/>
                <w:bCs w:val="false"/>
                <w:color w:val="1C1C1E"/>
                <w:sz w:val="20"/>
                <w:szCs w:val="20"/>
              </w:rPr>
              <w:t xml:space="preserve">End-to-end test</w:t>
            </w:r>
          </w:p>
        </w:tc>
        <w:tc>
          <w:tcPr>
            <w:tcW w:type="dxa" w:w="6240"/>
            <w:vAlign w:val="center"/>
          </w:tcPr>
          <w:p>
            <w:r>
              <w:rPr>
                <w:color w:val="6B6B6B"/>
                <w:sz w:val="20"/>
                <w:szCs w:val="20"/>
              </w:rPr>
              <w:t xml:space="preserve">Purchase via AppSource test account -&gt; activation page loads -&gt; licenseCheck returns licensed: true -&gt; add-in works.</w:t>
            </w:r>
          </w:p>
        </w:tc>
      </w:tr>
    </w:tbl>
    <w:p>
      <w:pPr>
        <w:pBdr>
          <w:bottom w:val="single" w:color="D0CCF0" w:sz="6"/>
        </w:pBdr>
        <w:spacing w:after="200" w:before="200"/>
      </w:pPr>
    </w:p>
    <w:p>
      <w:pPr>
        <w:spacing w:before="480"/>
        <w:jc w:val="center"/>
      </w:pPr>
      <w:r>
        <w:rPr>
          <w:color w:val="AAAAAA"/>
          <w:sz w:val="16"/>
          <w:szCs w:val="16"/>
        </w:rPr>
        <w:t xml:space="preserve">Promethean IT  ·  Mail Merge Add-in  ·  Internal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rFonts w:ascii="Segoe UI" w:cs="Segoe UI" w:eastAsia="Segoe UI" w:hAnsi="Segoe UI"/>
      <w:b/>
      <w:bCs/>
      <w:color w:val="534AB7"/>
      <w:sz w:val="36"/>
      <w:szCs w:val="36"/>
    </w:rPr>
  </w:style>
  <w:style w:type="paragraph" w:styleId="Heading2">
    <w:name w:val="Heading 2"/>
    <w:rPr>
      <w:rFonts w:ascii="Segoe UI" w:cs="Segoe UI" w:eastAsia="Segoe UI" w:hAnsi="Segoe UI"/>
      <w:b/>
      <w:bCs/>
      <w:color w:val="3D35A0"/>
      <w:sz w:val="28"/>
      <w:szCs w:val="28"/>
    </w:rPr>
  </w:style>
  <w:style w:type="paragraph" w:styleId="Heading3">
    <w:name w:val="Heading 3"/>
    <w:rPr>
      <w:rFonts w:ascii="Segoe UI" w:cs="Segoe UI" w:eastAsia="Segoe UI" w:hAnsi="Segoe UI"/>
      <w:b/>
      <w:bCs/>
      <w:color w:val="F58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2026-08-18T10:27:42.485Z</dcterms:created>
  <dcterms:modified xsi:type="dcterms:W3CDTF">2026-08-18T10:27:42.486Z</dcterms:modified>
</cp:coreProperties>
</file>

<file path=docProps/custom.xml><?xml version="1.0" encoding="utf-8"?>
<Properties xmlns="http://schemas.openxmlformats.org/officeDocument/2006/custom-properties" xmlns:vt="http://schemas.openxmlformats.org/officeDocument/2006/docPropsVTypes"/>
</file>