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Layout w:type="fixed"/>
        <w:tblCellMar>
          <w:top w:w="0" w:type="dxa"/>
          <w:left w:w="567" w:type="dxa"/>
          <w:bottom w:w="0" w:type="dxa"/>
          <w:right w:w="567" w:type="dxa"/>
        </w:tblCellMar>
      </w:tblPr>
      <w:tblGrid>
        <w:gridCol w:w="12240"/>
      </w:tblGrid>
      <w:tr>
        <w:trPr/>
        <w:tc>
          <w:tcPr>
            <w:tcW w:w="12240" w:type="dxa"/>
            <w:tcBorders/>
          </w:tcPr>
          <w:p>
            <w:pPr>
              <w:pStyle w:val="TableContents"/>
              <w:widowControl w:val="false"/>
              <w:jc w:val="right"/>
              <w:rPr/>
            </w:pPr>
            <w:r>
              <w:rPr>
                <w:rFonts w:ascii="Georgia" w:hAnsi="Georgia"/>
                <w:b/>
                <w:bCs/>
                <w:color w:val="333333"/>
                <w:sz w:val="36"/>
                <w:szCs w:val="36"/>
              </w:rPr>
              <w:t>Grey &amp; Associates</w:t>
            </w:r>
          </w:p>
        </w:tc>
      </w:tr>
      <w:tr>
        <w:trPr/>
        <w:tc>
          <w:tcPr>
            <w:tcW w:w="12240" w:type="dxa"/>
            <w:tcBorders/>
          </w:tcPr>
          <w:p>
            <w:pPr>
              <w:pStyle w:val="Normal"/>
              <w:widowControl w:val="false"/>
              <w:jc w:val="right"/>
              <w:rPr>
                <w:sz w:val="22"/>
                <w:szCs w:val="22"/>
              </w:rPr>
            </w:pPr>
            <w:r>
              <w:rPr>
                <w:rFonts w:cs="Arial" w:ascii="Franklin Gothic Medium" w:hAnsi="Franklin Gothic Medium"/>
                <w:color w:val="333333"/>
                <w:sz w:val="18"/>
                <w:szCs w:val="18"/>
              </w:rPr>
              <w:t>Party Wall Surveyors</w:t>
            </w:r>
          </w:p>
        </w:tc>
      </w:tr>
      <w:tr>
        <w:trPr/>
        <w:tc>
          <w:tcPr>
            <w:tcW w:w="12240" w:type="dxa"/>
            <w:tcBorders/>
          </w:tcPr>
          <w:p>
            <w:pPr>
              <w:pStyle w:val="TableContents"/>
              <w:widowControl w:val="false"/>
              <w:spacing w:before="0" w:after="200"/>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{{ao_surveyor}}</w:t>
              <w:br/>
              <w:t>{{aos_add_vert}}</w:t>
            </w:r>
          </w:p>
        </w:tc>
      </w:tr>
      <w:tr>
        <w:trPr/>
        <w:tc>
          <w:tcPr>
            <w:tcW w:w="12240" w:type="dxa"/>
            <w:tcBorders/>
          </w:tcPr>
          <w:p>
            <w:pPr>
              <w:pStyle w:val="Normal"/>
              <w:widowControl w:val="false"/>
              <w:spacing w:before="0" w:after="120"/>
              <w:contextualSpacing/>
              <w:jc w:val="right"/>
              <w:rPr>
                <w:rFonts w:ascii="Times New Roman" w:hAnsi="Times New Roman"/>
              </w:rPr>
            </w:pPr>
            <w:r>
              <w:rPr>
                <w:rFonts w:eastAsia="Arial Narrow" w:cs="Droid Sans Devanagari" w:ascii="Times New Roman" w:hAnsi="Times New Roman"/>
                <w:color w:val="000000"/>
                <w:kern w:val="2"/>
                <w:sz w:val="22"/>
                <w:szCs w:val="22"/>
                <w:lang w:val="en-GB" w:eastAsia="zh-CN" w:bidi="hi-IN"/>
              </w:rPr>
              <w:t>{{currdate}}</w:t>
            </w:r>
          </w:p>
        </w:tc>
      </w:tr>
      <w:tr>
        <w:trPr/>
        <w:tc>
          <w:tcPr>
            <w:tcW w:w="12240" w:type="dxa"/>
            <w:tcBorders/>
          </w:tcPr>
          <w:p>
            <w:pPr>
              <w:pStyle w:val="Normal"/>
              <w:widowControl w:val="false"/>
              <w:spacing w:before="0" w:after="120"/>
              <w:contextualSpacing/>
              <w:rPr>
                <w:rFonts w:ascii="Times New Roman" w:hAnsi="Times New Roman"/>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{{aos_firstname}}</w:t>
            </w:r>
            <w:r>
              <w:rPr>
                <w:rFonts w:eastAsia="Arial Narrow" w:ascii="Times New Roman" w:hAnsi="Times New Roman"/>
                <w:color w:val="000000"/>
                <w:sz w:val="22"/>
                <w:szCs w:val="22"/>
              </w:rPr>
              <w:t>,</w:t>
            </w:r>
          </w:p>
          <w:p>
            <w:pPr>
              <w:pStyle w:val="Normal"/>
              <w:widowControl w:val="false"/>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widowControl w:val="false"/>
              <w:spacing w:before="0" w:after="120"/>
              <w:contextualSpacing/>
              <w:rPr>
                <w:rFonts w:ascii="Times New Roman" w:hAnsi="Times New Roman"/>
                <w:b/>
                <w:b/>
                <w:bCs/>
                <w:i w:val="false"/>
                <w:i w:val="false"/>
                <w:iCs w:val="false"/>
                <w:u w:val="single"/>
              </w:rPr>
            </w:pPr>
            <w:r>
              <w:rPr>
                <w:rFonts w:eastAsia="Arial Narrow" w:ascii="Times New Roman" w:hAnsi="Times New Roman"/>
                <w:b/>
                <w:bCs/>
                <w:i w:val="false"/>
                <w:iCs w:val="false"/>
                <w:color w:val="000000"/>
                <w:sz w:val="22"/>
                <w:szCs w:val="22"/>
                <w:u w:val="single"/>
              </w:rPr>
              <w:t>{{ten_day_letter_subject}}</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eastAsia="Arial Narrow" w:ascii="Times New Roman" w:hAnsi="Times New Roman"/>
                <w:color w:val="000000"/>
                <w:sz w:val="22"/>
                <w:szCs w:val="22"/>
              </w:rPr>
              <w:t>There has been no meaningful progress on these matters. I believe that you have neglected to act effectively under Section 10(7) of the Party Wall etc Act 1996 and request that effective and meaningful action is taken within ten days of the date of service of this letter.</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Kind regards,</w:t>
            </w:r>
          </w:p>
          <w:p>
            <w:pPr>
              <w:pStyle w:val="Normal"/>
              <w:widowControl w:val="false"/>
              <w:spacing w:before="0" w:after="120"/>
              <w:contextualSpacing/>
              <w:rPr>
                <w:rFonts w:ascii="Times New Roman" w:hAnsi="Times New Roman"/>
                <w:sz w:val="22"/>
                <w:szCs w:val="22"/>
              </w:rPr>
            </w:pPr>
            <w:r>
              <w:rPr/>
              <w:drawing>
                <wp:inline distT="0" distB="0" distL="0" distR="0">
                  <wp:extent cx="2061845" cy="50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______________________</w:t>
            </w:r>
          </w:p>
          <w:p>
            <w:pPr>
              <w:pStyle w:val="Normal"/>
              <w:widowControl w:val="false"/>
              <w:spacing w:before="0" w:after="120"/>
              <w:contextualSpacing/>
              <w:rPr>
                <w:rFonts w:ascii="Times New Roman" w:hAnsi="Times New Roman"/>
                <w:sz w:val="22"/>
                <w:szCs w:val="22"/>
              </w:rPr>
            </w:pPr>
            <w:r>
              <w:rPr>
                <w:rFonts w:ascii="Times New Roman" w:hAnsi="Times New Roman"/>
                <w:sz w:val="22"/>
                <w:szCs w:val="22"/>
              </w:rPr>
              <w:t>Steve Whitehead</w:t>
            </w:r>
          </w:p>
          <w:p>
            <w:pPr>
              <w:pStyle w:val="Normal"/>
              <w:widowControl w:val="false"/>
              <w:spacing w:before="0" w:after="120"/>
              <w:contextualSpacing/>
              <w:rPr>
                <w:rFonts w:ascii="Times New Roman" w:hAnsi="Times New Roman"/>
                <w:sz w:val="22"/>
                <w:szCs w:val="22"/>
              </w:rPr>
            </w:pPr>
            <w:r>
              <w:rPr>
                <w:rFonts w:ascii="Times New Roman" w:hAnsi="Times New Roman"/>
                <w:b/>
                <w:bCs/>
                <w:color w:val="000000"/>
                <w:sz w:val="22"/>
                <w:szCs w:val="22"/>
              </w:rPr>
              <w:t>Grey &amp; Associates Ltd</w:t>
            </w:r>
          </w:p>
          <w:p>
            <w:pPr>
              <w:pStyle w:val="Normal"/>
              <w:widowControl w:val="false"/>
              <w:spacing w:before="0" w:after="120"/>
              <w:contextualSpacing/>
              <w:rPr>
                <w:rFonts w:ascii="Times New Roman" w:hAnsi="Times New Roman"/>
                <w:sz w:val="22"/>
                <w:szCs w:val="22"/>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widowControl w:val="false"/>
              <w:spacing w:before="0" w:after="120"/>
              <w:contextualSpacing/>
              <w:rPr>
                <w:rFonts w:ascii="Times New Roman" w:hAnsi="Times New Roman"/>
                <w:sz w:val="22"/>
                <w:szCs w:val="22"/>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p>
          <w:p>
            <w:pPr>
              <w:pStyle w:val="Normal"/>
              <w:widowControl w:val="false"/>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widowControl w:val="false"/>
              <w:spacing w:before="0" w:after="120"/>
              <w:contextualSpacing/>
              <w:rPr>
                <w:rFonts w:ascii="Arial" w:hAnsi="Arial" w:cs="Arial"/>
                <w:i/>
                <w:i/>
                <w:iCs/>
                <w:color w:val="000000"/>
                <w:sz w:val="16"/>
                <w:szCs w:val="16"/>
              </w:rPr>
            </w:pPr>
            <w:r>
              <w:rPr>
                <w:rFonts w:eastAsia="Arial Narrow" w:cs="Arial" w:ascii="Arial" w:hAnsi="Arial"/>
                <w:i/>
                <w:iCs/>
                <w:color w:val="000000"/>
                <w:sz w:val="16"/>
                <w:szCs w:val="16"/>
              </w:rPr>
              <w:t>“</w:t>
            </w:r>
            <w:r>
              <w:rPr>
                <w:rFonts w:eastAsia="Arial Narrow" w:cs="Arial" w:ascii="Arial" w:hAnsi="Arial"/>
                <w:i/>
                <w:iCs/>
                <w:color w:val="000000"/>
                <w:sz w:val="16"/>
                <w:szCs w:val="16"/>
              </w:rPr>
              <w:t>Could saving a few pounds now cost thousands in legal bills later?”</w:t>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p>
            <w:pPr>
              <w:pStyle w:val="Normal"/>
              <w:widowControl w:val="false"/>
              <w:spacing w:before="0" w:after="120"/>
              <w:contextualSpacing/>
              <w:rPr>
                <w:rFonts w:ascii="Times New Roman" w:hAnsi="Times New Roman"/>
              </w:rPr>
            </w:pPr>
            <w:r>
              <w:rPr>
                <w:rFonts w:ascii="Times New Roman" w:hAnsi="Times New Roman"/>
              </w:rPr>
            </w:r>
          </w:p>
        </w:tc>
      </w:tr>
    </w:tbl>
    <w:p>
      <w:pPr>
        <w:pStyle w:val="Normal"/>
        <w:spacing w:before="0" w:after="120"/>
        <w:contextualSpacing/>
        <w:rPr>
          <w:sz w:val="22"/>
          <w:szCs w:val="22"/>
        </w:rPr>
      </w:pPr>
      <w:r>
        <w:rPr/>
      </w:r>
    </w:p>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Franklin Gothic Medium">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settings.xml><?xml version="1.0" encoding="utf-8"?>
<w:settings xmlns:w="http://schemas.openxmlformats.org/wordprocessingml/2006/main">
  <w:zoom w:percent="120"/>
  <w:defaultTabStop w:val="643"/>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character" w:styleId="NumberingSymbols">
    <w:name w:val="Numbering Symbols"/>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97</TotalTime>
  <Application>LibreOffice/7.0.5.2$Linux_X86_64 LibreOffice_project/00$Build-2</Application>
  <AppVersion>15.0000</AppVersion>
  <Pages>1</Pages>
  <Words>129</Words>
  <Characters>788</Characters>
  <CharactersWithSpaces>1074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2021-06-22T22:30:44Z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