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center"/>
        <w:rPr>
          <w:sz w:val="32"/>
          <w:szCs w:val="32"/>
        </w:rPr>
      </w:pPr>
      <w:r>
        <w:rPr>
          <w:rFonts w:ascii="Times New Roman" w:hAnsi="Times New Roman"/>
          <w:b/>
          <w:bCs/>
          <w:sz w:val="32"/>
          <w:szCs w:val="32"/>
        </w:rPr>
        <w:t>AN ADDENDUM AWARD</w:t>
      </w:r>
      <w:r>
        <w:rPr>
          <w:rFonts w:ascii="Times New Roman" w:hAnsi="Times New Roman"/>
          <w:sz w:val="32"/>
          <w:szCs w:val="32"/>
        </w:rPr>
        <w:t xml:space="preserve"> </w:t>
      </w:r>
    </w:p>
    <w:p>
      <w:pPr>
        <w:pStyle w:val="Normal"/>
        <w:jc w:val="center"/>
        <w:rPr>
          <w:rFonts w:ascii="Times New Roman" w:hAnsi="Times New Roman"/>
          <w:sz w:val="22"/>
          <w:szCs w:val="22"/>
        </w:rPr>
      </w:pPr>
      <w:r>
        <w:rPr>
          <w:rFonts w:ascii="Times New Roman" w:hAnsi="Times New Roman"/>
          <w:sz w:val="22"/>
          <w:szCs w:val="22"/>
        </w:rPr>
        <w:t>under the provisions of</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sz w:val="28"/>
          <w:szCs w:val="28"/>
        </w:rPr>
      </w:pPr>
      <w:r>
        <w:rPr>
          <w:rFonts w:ascii="Times New Roman" w:hAnsi="Times New Roman"/>
          <w:sz w:val="28"/>
          <w:szCs w:val="28"/>
        </w:rPr>
        <w:t>The Party Wall etc. Act 1996</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22"/>
          <w:szCs w:val="22"/>
        </w:rPr>
      </w:pPr>
      <w:r>
        <w:rPr>
          <w:rFonts w:ascii="Times New Roman" w:hAnsi="Times New Roman"/>
          <w:sz w:val="22"/>
          <w:szCs w:val="22"/>
        </w:rPr>
        <w:t>to be served forthwith on the</w:t>
      </w:r>
    </w:p>
    <w:p>
      <w:pPr>
        <w:pStyle w:val="Normal"/>
        <w:jc w:val="center"/>
        <w:rPr>
          <w:rFonts w:ascii="Times New Roman" w:hAnsi="Times New Roman"/>
          <w:sz w:val="22"/>
          <w:szCs w:val="22"/>
        </w:rPr>
      </w:pPr>
      <w:r>
        <w:rPr>
          <w:rFonts w:ascii="Times New Roman" w:hAnsi="Times New Roman"/>
          <w:sz w:val="22"/>
          <w:szCs w:val="22"/>
        </w:rPr>
      </w:r>
    </w:p>
    <w:p>
      <w:pPr>
        <w:pStyle w:val="Normal"/>
        <w:jc w:val="center"/>
        <w:rPr>
          <w:rFonts w:ascii="Times New Roman" w:hAnsi="Times New Roman"/>
          <w:sz w:val="22"/>
          <w:szCs w:val="22"/>
        </w:rPr>
      </w:pPr>
      <w:r>
        <w:rPr>
          <w:rFonts w:ascii="Times New Roman" w:hAnsi="Times New Roman"/>
          <w:sz w:val="22"/>
          <w:szCs w:val="22"/>
        </w:rPr>
        <w:t>Appointing Owners under Section 10 (14)</w:t>
      </w:r>
    </w:p>
    <w:p>
      <w:pPr>
        <w:pStyle w:val="Normal"/>
        <w:jc w:val="center"/>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keepNext w:val="true"/>
        <w:suppressAutoHyphens w:val="false"/>
        <w:bidi w:val="0"/>
        <w:spacing w:before="0" w:after="240"/>
        <w:jc w:val="left"/>
        <w:rPr>
          <w:sz w:val="22"/>
          <w:szCs w:val="22"/>
        </w:rPr>
      </w:pPr>
      <w:r>
        <w:rPr>
          <w:b/>
          <w:bCs/>
          <w:sz w:val="22"/>
          <w:szCs w:val="22"/>
          <w:u w:val="single"/>
        </w:rPr>
        <w:t>{{bo_plural}}:</w:t>
      </w:r>
      <w:r>
        <w:rPr>
          <w:bCs/>
          <w:sz w:val="22"/>
          <w:szCs w:val="22"/>
        </w:rPr>
        <w:t xml:space="preserve"> {{bo_notice_names}}</w:t>
      </w:r>
      <w:r>
        <w:rPr>
          <w:sz w:val="22"/>
          <w:szCs w:val="22"/>
        </w:rPr>
        <w:t xml:space="preserve"> (‘the {{bo_plural}}’)</w:t>
      </w:r>
    </w:p>
    <w:p>
      <w:pPr>
        <w:pStyle w:val="Normal"/>
        <w:keepNext w:val="true"/>
        <w:suppressAutoHyphens w:val="false"/>
        <w:bidi w:val="0"/>
        <w:spacing w:before="0" w:after="240"/>
        <w:jc w:val="left"/>
        <w:rPr>
          <w:sz w:val="22"/>
          <w:szCs w:val="22"/>
        </w:rPr>
      </w:pPr>
      <w:r>
        <w:rPr>
          <w:sz w:val="22"/>
          <w:szCs w:val="22"/>
        </w:rPr>
        <w:t>Address for service: {{bo_correspond_add_horz}}</w:t>
      </w:r>
    </w:p>
    <w:p>
      <w:pPr>
        <w:pStyle w:val="Normal"/>
        <w:keepNext w:val="true"/>
        <w:suppressAutoHyphens w:val="false"/>
        <w:bidi w:val="0"/>
        <w:spacing w:before="0" w:after="240"/>
        <w:jc w:val="left"/>
        <w:rPr>
          <w:sz w:val="22"/>
          <w:szCs w:val="22"/>
        </w:rPr>
      </w:pPr>
      <w:r>
        <w:rPr>
          <w:sz w:val="22"/>
          <w:szCs w:val="22"/>
        </w:rPr>
      </w:r>
    </w:p>
    <w:p>
      <w:pPr>
        <w:pStyle w:val="Normal"/>
        <w:keepNext w:val="true"/>
        <w:suppressAutoHyphens w:val="false"/>
        <w:bidi w:val="0"/>
        <w:spacing w:before="0" w:after="240"/>
        <w:jc w:val="left"/>
        <w:rPr>
          <w:sz w:val="22"/>
          <w:szCs w:val="22"/>
        </w:rPr>
      </w:pPr>
      <w:r>
        <w:rPr>
          <w:b/>
          <w:bCs/>
          <w:sz w:val="22"/>
          <w:szCs w:val="22"/>
          <w:u w:val="single"/>
        </w:rPr>
        <w:t>{{ao_plural}}:</w:t>
      </w:r>
      <w:r>
        <w:rPr>
          <w:bCs/>
          <w:sz w:val="22"/>
          <w:szCs w:val="22"/>
        </w:rPr>
        <w:t xml:space="preserve"> {{ao_notice_names}}</w:t>
      </w:r>
      <w:r>
        <w:rPr>
          <w:sz w:val="22"/>
          <w:szCs w:val="22"/>
        </w:rPr>
        <w:t xml:space="preserve"> (‘the {{ao_plural}}’)</w:t>
      </w:r>
    </w:p>
    <w:p>
      <w:pPr>
        <w:pStyle w:val="Normal"/>
        <w:keepNext w:val="true"/>
        <w:suppressAutoHyphens w:val="false"/>
        <w:bidi w:val="0"/>
        <w:spacing w:before="0" w:after="240"/>
        <w:jc w:val="left"/>
        <w:rPr>
          <w:sz w:val="22"/>
          <w:szCs w:val="22"/>
        </w:rPr>
      </w:pPr>
      <w:r>
        <w:rPr>
          <w:sz w:val="22"/>
          <w:szCs w:val="22"/>
        </w:rPr>
        <w:t>Address for service: {{ao_correspond_add_horz}}</w:t>
      </w:r>
    </w:p>
    <w:p>
      <w:pPr>
        <w:pStyle w:val="Normal"/>
        <w:keepNext w:val="true"/>
        <w:suppressAutoHyphens w:val="false"/>
        <w:bidi w:val="0"/>
        <w:spacing w:before="0" w:after="240"/>
        <w:jc w:val="left"/>
        <w:rPr>
          <w:sz w:val="22"/>
          <w:szCs w:val="22"/>
        </w:rPr>
      </w:pPr>
      <w:r>
        <w:rPr>
          <w:sz w:val="22"/>
          <w:szCs w:val="22"/>
        </w:rPr>
      </w:r>
    </w:p>
    <w:p>
      <w:pPr>
        <w:pStyle w:val="Normal"/>
        <w:keepNext w:val="true"/>
        <w:suppressAutoHyphens w:val="false"/>
        <w:bidi w:val="0"/>
        <w:spacing w:before="0" w:after="240"/>
        <w:jc w:val="left"/>
        <w:rPr>
          <w:rFonts w:ascii="Arial" w:hAnsi="Arial" w:cs="Arial"/>
          <w:i/>
          <w:i/>
          <w:iCs/>
          <w:color w:val="000000"/>
          <w:sz w:val="16"/>
          <w:szCs w:val="16"/>
        </w:rPr>
      </w:pPr>
      <w:r>
        <w:rPr>
          <w:b/>
          <w:u w:val="single"/>
        </w:rPr>
        <w:t>The Relevant Properties</w:t>
      </w:r>
    </w:p>
    <w:p>
      <w:pPr>
        <w:pStyle w:val="Normal"/>
        <w:keepNext w:val="true"/>
        <w:suppressAutoHyphens w:val="false"/>
        <w:bidi w:val="0"/>
        <w:spacing w:before="0" w:after="240"/>
        <w:jc w:val="left"/>
        <w:rPr>
          <w:sz w:val="22"/>
          <w:szCs w:val="22"/>
        </w:rPr>
      </w:pPr>
      <w:r>
        <w:rPr>
          <w:sz w:val="22"/>
          <w:szCs w:val="22"/>
        </w:rPr>
        <w:t>{{bo_apostrophe}} Property: {{bo_property_add_horz}} (‘the {{bo_apostrophe}} property’)</w:t>
      </w:r>
    </w:p>
    <w:p>
      <w:pPr>
        <w:pStyle w:val="Normal"/>
        <w:keepNext w:val="true"/>
        <w:suppressAutoHyphens w:val="false"/>
        <w:bidi w:val="0"/>
        <w:spacing w:before="0" w:after="240"/>
        <w:jc w:val="left"/>
        <w:rPr>
          <w:sz w:val="22"/>
          <w:szCs w:val="22"/>
        </w:rPr>
      </w:pPr>
      <w:r>
        <w:rPr>
          <w:sz w:val="22"/>
          <w:szCs w:val="22"/>
        </w:rPr>
        <w:t>{{ao_apostrophe}} Property: {{ao_property_add_horz}} (‘the {{ao_apostrophe}} property’)</w:t>
      </w:r>
    </w:p>
    <w:p>
      <w:pPr>
        <w:pStyle w:val="Normal"/>
        <w:keepNext w:val="true"/>
        <w:suppressAutoHyphens w:val="false"/>
        <w:bidi w:val="0"/>
        <w:spacing w:before="0" w:after="240"/>
        <w:jc w:val="left"/>
        <w:rPr>
          <w:sz w:val="22"/>
          <w:szCs w:val="22"/>
        </w:rPr>
      </w:pPr>
      <w:r>
        <w:rPr>
          <w:sz w:val="22"/>
          <w:szCs w:val="22"/>
        </w:rPr>
      </w:r>
    </w:p>
    <w:p>
      <w:pPr>
        <w:pStyle w:val="Normal"/>
        <w:keepNext w:val="true"/>
        <w:suppressAutoHyphens w:val="false"/>
        <w:bidi w:val="0"/>
        <w:spacing w:before="0" w:after="240"/>
        <w:jc w:val="left"/>
        <w:rPr>
          <w:rFonts w:eastAsia="Arial Narrow"/>
          <w:color w:val="000000"/>
          <w:sz w:val="22"/>
          <w:szCs w:val="22"/>
        </w:rPr>
      </w:pPr>
      <w:r>
        <w:rPr>
          <w:rFonts w:eastAsia="Arial Narrow"/>
          <w:color w:val="000000"/>
          <w:sz w:val="22"/>
          <w:szCs w:val="22"/>
        </w:rPr>
        <w:t xml:space="preserve">           </w:t>
      </w:r>
    </w:p>
    <w:p>
      <w:pPr>
        <w:pStyle w:val="Normal"/>
        <w:keepNext w:val="true"/>
        <w:suppressAutoHyphens w:val="false"/>
        <w:bidi w:val="0"/>
        <w:spacing w:before="0" w:after="240"/>
        <w:jc w:val="left"/>
        <w:rPr>
          <w:rFonts w:eastAsia="Arial Narrow"/>
          <w:b/>
          <w:b/>
          <w:color w:val="000000"/>
          <w:u w:val="single"/>
        </w:rPr>
      </w:pPr>
      <w:r>
        <w:rPr>
          <w:rFonts w:eastAsia="Arial Narrow"/>
          <w:b/>
          <w:color w:val="000000"/>
          <w:u w:val="single"/>
        </w:rPr>
        <w:t>The Surveyors (‘the surveyors’)</w:t>
      </w:r>
    </w:p>
    <w:p>
      <w:pPr>
        <w:pStyle w:val="Normal"/>
        <w:keepNext w:val="true"/>
        <w:suppressAutoHyphens w:val="false"/>
        <w:bidi w:val="0"/>
        <w:spacing w:before="0" w:after="240"/>
        <w:jc w:val="left"/>
        <w:rPr>
          <w:sz w:val="22"/>
          <w:szCs w:val="22"/>
        </w:rPr>
      </w:pPr>
      <w:r>
        <w:rPr>
          <w:sz w:val="22"/>
          <w:szCs w:val="22"/>
        </w:rPr>
        <w:t>{{bo_apostrophe}} surveyor: {{bo_surveyor}}</w:t>
      </w:r>
    </w:p>
    <w:p>
      <w:pPr>
        <w:pStyle w:val="Normal"/>
        <w:keepNext w:val="true"/>
        <w:suppressAutoHyphens w:val="false"/>
        <w:bidi w:val="0"/>
        <w:spacing w:before="0" w:after="240"/>
        <w:jc w:val="left"/>
        <w:rPr>
          <w:sz w:val="22"/>
          <w:szCs w:val="22"/>
        </w:rPr>
      </w:pPr>
      <w:r>
        <w:rPr>
          <w:sz w:val="22"/>
          <w:szCs w:val="22"/>
        </w:rPr>
        <w:t>{{ao_apostrophe}} surveyor: {{ao_surveyor}}</w:t>
      </w:r>
    </w:p>
    <w:p>
      <w:pPr>
        <w:pStyle w:val="Normal"/>
        <w:keepNext w:val="true"/>
        <w:suppressAutoHyphens w:val="false"/>
        <w:bidi w:val="0"/>
        <w:spacing w:before="0" w:after="240"/>
        <w:jc w:val="left"/>
        <w:rPr>
          <w:b w:val="false"/>
          <w:b w:val="false"/>
          <w:bCs w:val="false"/>
          <w:u w:val="none"/>
        </w:rPr>
      </w:pPr>
      <w:r>
        <w:rPr>
          <w:rFonts w:ascii="Times New Roman" w:hAnsi="Times New Roman"/>
          <w:b w:val="false"/>
          <w:bCs w:val="false"/>
          <w:sz w:val="22"/>
          <w:szCs w:val="22"/>
          <w:u w:val="none"/>
        </w:rPr>
        <w:t>Third Surveyor: {{third_surveyor}}</w:t>
      </w:r>
    </w:p>
    <w:p>
      <w:pPr>
        <w:pStyle w:val="Normal"/>
        <w:jc w:val="left"/>
        <w:rPr>
          <w:rFonts w:ascii="Times New Roman" w:hAnsi="Times New Roman"/>
          <w:sz w:val="22"/>
          <w:szCs w:val="22"/>
        </w:rPr>
      </w:pPr>
      <w:r>
        <w:rPr>
          <w:rFonts w:ascii="Times New Roman" w:hAnsi="Times New Roman"/>
          <w:sz w:val="22"/>
          <w:szCs w:val="22"/>
        </w:rPr>
        <w:t xml:space="preserve">                                                                                                                                                                </w:t>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jc w:val="left"/>
        <w:rPr>
          <w:rFonts w:ascii="Times New Roman" w:hAnsi="Times New Roman"/>
          <w:sz w:val="22"/>
          <w:szCs w:val="22"/>
        </w:rPr>
      </w:pPr>
      <w:r>
        <w:rPr>
          <w:rFonts w:ascii="Times New Roman" w:hAnsi="Times New Roman"/>
          <w:sz w:val="22"/>
          <w:szCs w:val="22"/>
        </w:rPr>
      </w:r>
    </w:p>
    <w:p>
      <w:pPr>
        <w:pStyle w:val="Normal"/>
        <w:keepLines/>
        <w:numPr>
          <w:ilvl w:val="0"/>
          <w:numId w:val="0"/>
        </w:numPr>
        <w:spacing w:before="0" w:after="240"/>
        <w:ind w:left="0" w:hanging="0"/>
        <w:rPr>
          <w:rFonts w:ascii="Times New Roman" w:hAnsi="Times New Roman"/>
          <w:sz w:val="22"/>
          <w:szCs w:val="22"/>
        </w:rPr>
      </w:pPr>
      <w:r>
        <w:rPr>
          <w:rFonts w:ascii="Times New Roman" w:hAnsi="Times New Roman"/>
          <w:b/>
          <w:bCs/>
          <w:sz w:val="22"/>
          <w:szCs w:val="22"/>
          <w:u w:val="single"/>
        </w:rPr>
        <w:t>Addendum Award</w:t>
      </w:r>
    </w:p>
    <w:p>
      <w:pPr>
        <w:pStyle w:val="Normal"/>
        <w:spacing w:before="0" w:after="240"/>
        <w:ind w:hanging="0"/>
        <w:rPr>
          <w:rFonts w:ascii="Times New Roman" w:hAnsi="Times New Roman"/>
          <w:sz w:val="22"/>
          <w:szCs w:val="22"/>
        </w:rPr>
      </w:pPr>
      <w:r>
        <w:rPr>
          <w:rFonts w:ascii="Times New Roman" w:hAnsi="Times New Roman"/>
          <w:b w:val="false"/>
          <w:bCs w:val="false"/>
          <w:color w:val="000000"/>
          <w:sz w:val="22"/>
          <w:szCs w:val="22"/>
        </w:rPr>
        <w:t>An Addendum Award under the provisions of Party Wall etc. Act 1996 (‘the Act’) to be served forthwith on the appointing owners under section 10 (14)</w:t>
      </w:r>
    </w:p>
    <w:p>
      <w:pPr>
        <w:pStyle w:val="Normal"/>
        <w:numPr>
          <w:ilvl w:val="0"/>
          <w:numId w:val="0"/>
        </w:numPr>
        <w:spacing w:before="0" w:after="240"/>
        <w:ind w:left="0" w:hanging="0"/>
        <w:rPr>
          <w:rFonts w:ascii="Times New Roman" w:hAnsi="Times New Roman"/>
          <w:sz w:val="22"/>
          <w:szCs w:val="22"/>
        </w:rPr>
      </w:pPr>
      <w:r>
        <w:rPr>
          <w:rFonts w:eastAsia="Noto Serif CJK SC" w:cs="Droid Sans Devanagari" w:ascii="Times New Roman" w:hAnsi="Times New Roman"/>
          <w:b w:val="false"/>
          <w:bCs w:val="false"/>
          <w:color w:val="auto"/>
          <w:kern w:val="2"/>
          <w:sz w:val="22"/>
          <w:szCs w:val="22"/>
          <w:lang w:val="en-GB" w:eastAsia="zh-CN" w:bidi="hi-IN"/>
        </w:rPr>
        <w:t>WHEREAS</w:t>
      </w:r>
      <w:r>
        <w:rPr>
          <w:rFonts w:ascii="Times New Roman" w:hAnsi="Times New Roman"/>
          <w:sz w:val="22"/>
          <w:szCs w:val="22"/>
        </w:rPr>
        <w:t xml:space="preserve"> </w:t>
      </w:r>
      <w:r>
        <w:rPr>
          <w:rFonts w:ascii="Times New Roman" w:hAnsi="Times New Roman"/>
          <w:color w:val="000000"/>
          <w:sz w:val="22"/>
          <w:szCs w:val="22"/>
        </w:rPr>
        <w:t xml:space="preserve">by documents dated </w:t>
      </w:r>
      <w:r>
        <w:rPr>
          <w:rFonts w:ascii="Times New Roman" w:hAnsi="Times New Roman"/>
          <w:color w:val="FF0000"/>
          <w:sz w:val="22"/>
          <w:szCs w:val="22"/>
        </w:rPr>
        <w:t>{{notice_date}}</w:t>
      </w:r>
      <w:r>
        <w:rPr>
          <w:rFonts w:ascii="Times New Roman" w:hAnsi="Times New Roman"/>
          <w:color w:val="000000"/>
          <w:sz w:val="22"/>
          <w:szCs w:val="22"/>
        </w:rPr>
        <w:t>, the {{bo_plural}} served Notice on the {{ao_plural}} under {{award_sections}} of the</w:t>
      </w:r>
      <w:r>
        <w:rPr>
          <w:rFonts w:eastAsia="Noto Serif CJK SC" w:cs="Droid Sans Devanagari" w:ascii="Times New Roman" w:hAnsi="Times New Roman"/>
          <w:color w:val="auto"/>
          <w:kern w:val="2"/>
          <w:sz w:val="22"/>
          <w:szCs w:val="22"/>
          <w:lang w:val="en-GB" w:eastAsia="zh-CN" w:bidi="hi-IN"/>
        </w:rPr>
        <w:t xml:space="preserve"> Act</w:t>
      </w:r>
      <w:r>
        <w:rPr>
          <w:rFonts w:ascii="Times New Roman" w:hAnsi="Times New Roman"/>
          <w:sz w:val="22"/>
          <w:szCs w:val="22"/>
        </w:rPr>
        <w:t xml:space="preserve"> who dissented to the Notice(s) and each party appointed </w:t>
      </w:r>
      <w:r>
        <w:rPr>
          <w:rFonts w:eastAsia="Noto Serif CJK SC" w:cs="Droid Sans Devanagari" w:ascii="Times New Roman" w:hAnsi="Times New Roman"/>
          <w:color w:val="auto"/>
          <w:kern w:val="2"/>
          <w:sz w:val="22"/>
          <w:szCs w:val="22"/>
          <w:lang w:val="en-GB" w:eastAsia="zh-CN" w:bidi="hi-IN"/>
        </w:rPr>
        <w:t>a</w:t>
      </w:r>
      <w:r>
        <w:rPr>
          <w:rFonts w:ascii="Times New Roman" w:hAnsi="Times New Roman"/>
          <w:sz w:val="22"/>
          <w:szCs w:val="22"/>
        </w:rPr>
        <w:t xml:space="preserve"> surveyor.</w:t>
      </w:r>
    </w:p>
    <w:p>
      <w:pPr>
        <w:pStyle w:val="Normal"/>
        <w:keepLines/>
        <w:numPr>
          <w:ilvl w:val="0"/>
          <w:numId w:val="0"/>
        </w:numPr>
        <w:spacing w:before="0" w:after="240"/>
        <w:ind w:left="0" w:hanging="0"/>
        <w:rPr>
          <w:rFonts w:ascii="Times New Roman" w:hAnsi="Times New Roman"/>
          <w:sz w:val="22"/>
          <w:szCs w:val="22"/>
        </w:rPr>
      </w:pPr>
      <w:r>
        <w:rPr>
          <w:rFonts w:eastAsia="Noto Serif CJK SC" w:cs="Droid Sans Devanagari" w:ascii="Times New Roman" w:hAnsi="Times New Roman"/>
          <w:b w:val="false"/>
          <w:bCs w:val="false"/>
          <w:color w:val="auto"/>
          <w:kern w:val="2"/>
          <w:sz w:val="22"/>
          <w:szCs w:val="22"/>
          <w:lang w:val="en-GB" w:eastAsia="zh-CN" w:bidi="hi-IN"/>
        </w:rPr>
        <w:t>AND WHEREAS</w:t>
      </w:r>
      <w:r>
        <w:rPr>
          <w:rFonts w:ascii="Times New Roman" w:hAnsi="Times New Roman"/>
          <w:sz w:val="22"/>
          <w:szCs w:val="22"/>
        </w:rPr>
        <w:t xml:space="preserve"> the two surveyors so appointed did enter into and publish an Award (Hereinafter referred to as the Award) determining matters arising from the Notice(s) served.</w:t>
      </w:r>
    </w:p>
    <w:p>
      <w:pPr>
        <w:pStyle w:val="Normal"/>
        <w:numPr>
          <w:ilvl w:val="0"/>
          <w:numId w:val="0"/>
        </w:numPr>
        <w:suppressAutoHyphens w:val="false"/>
        <w:bidi w:val="0"/>
        <w:spacing w:before="0" w:after="240"/>
        <w:ind w:left="0" w:hanging="0"/>
        <w:jc w:val="left"/>
        <w:rPr>
          <w:rFonts w:ascii="Times New Roman" w:hAnsi="Times New Roman"/>
          <w:sz w:val="22"/>
          <w:szCs w:val="22"/>
        </w:rPr>
      </w:pPr>
      <w:r>
        <w:rPr>
          <w:rFonts w:ascii="Times New Roman" w:hAnsi="Times New Roman"/>
          <w:color w:val="000000"/>
          <w:sz w:val="22"/>
          <w:szCs w:val="22"/>
        </w:rPr>
        <w:t>AND WHEREAS i</w:t>
      </w:r>
      <w:r>
        <w:rPr>
          <w:rFonts w:ascii="Times New Roman" w:hAnsi="Times New Roman"/>
          <w:color w:val="000000"/>
          <w:sz w:val="22"/>
          <w:szCs w:val="22"/>
        </w:rPr>
        <w:t>t is a requirement of the Act that the surveyors, shall settle by Award all or any matter which is connected with any work to which the Act relates and which is in dispute between the {{bo_plural}} and the {{ao_plural}} including: the right to execute the work, the time and manner of executing the work, and any other matter arising out of the dispute.</w:t>
      </w:r>
    </w:p>
    <w:p>
      <w:pPr>
        <w:pStyle w:val="Normal"/>
        <w:numPr>
          <w:ilvl w:val="0"/>
          <w:numId w:val="0"/>
        </w:numPr>
        <w:suppressAutoHyphens w:val="false"/>
        <w:bidi w:val="0"/>
        <w:spacing w:before="0" w:after="240"/>
        <w:ind w:left="0" w:hanging="0"/>
        <w:jc w:val="left"/>
        <w:rPr>
          <w:rFonts w:ascii="Times New Roman" w:hAnsi="Times New Roman"/>
          <w:sz w:val="22"/>
          <w:szCs w:val="22"/>
        </w:rPr>
      </w:pPr>
      <w:r>
        <w:rPr>
          <w:rFonts w:ascii="Times New Roman" w:hAnsi="Times New Roman"/>
          <w:color w:val="000000"/>
          <w:sz w:val="22"/>
          <w:szCs w:val="22"/>
        </w:rPr>
        <w:t xml:space="preserve">AND WHEREAS </w:t>
      </w:r>
      <w:r>
        <w:rPr>
          <w:rFonts w:ascii="Times New Roman" w:hAnsi="Times New Roman"/>
          <w:color w:val="000000"/>
          <w:sz w:val="22"/>
          <w:szCs w:val="22"/>
        </w:rPr>
        <w:t>in accordance with the</w:t>
      </w:r>
      <w:r>
        <w:rPr>
          <w:rFonts w:ascii="Times New Roman" w:hAnsi="Times New Roman"/>
          <w:color w:val="000000"/>
          <w:sz w:val="22"/>
          <w:szCs w:val="22"/>
        </w:rPr>
        <w:t xml:space="preserve"> Award the surveyor</w:t>
      </w:r>
      <w:r>
        <w:rPr>
          <w:rFonts w:ascii="Times New Roman" w:hAnsi="Times New Roman"/>
          <w:color w:val="000000"/>
          <w:sz w:val="22"/>
          <w:szCs w:val="22"/>
        </w:rPr>
        <w:t>s</w:t>
      </w:r>
      <w:r>
        <w:rPr>
          <w:rFonts w:ascii="Times New Roman" w:hAnsi="Times New Roman"/>
          <w:color w:val="000000"/>
          <w:sz w:val="22"/>
          <w:szCs w:val="22"/>
        </w:rPr>
        <w:t xml:space="preserve"> may issue further Awards as necessary.</w:t>
      </w:r>
    </w:p>
    <w:p>
      <w:pPr>
        <w:pStyle w:val="Normal"/>
        <w:numPr>
          <w:ilvl w:val="0"/>
          <w:numId w:val="0"/>
        </w:numPr>
        <w:spacing w:before="0" w:after="240"/>
        <w:ind w:left="0" w:hanging="0"/>
        <w:rPr>
          <w:rFonts w:ascii="Times New Roman" w:hAnsi="Times New Roman"/>
          <w:sz w:val="22"/>
          <w:szCs w:val="22"/>
        </w:rPr>
      </w:pPr>
      <w:r>
        <w:rPr>
          <w:rFonts w:ascii="Times New Roman" w:hAnsi="Times New Roman"/>
          <w:b w:val="false"/>
          <w:bCs w:val="false"/>
          <w:color w:val="000000"/>
          <w:sz w:val="22"/>
          <w:szCs w:val="22"/>
        </w:rPr>
        <w:t>T</w:t>
      </w:r>
      <w:r>
        <w:rPr>
          <w:rFonts w:ascii="Times New Roman" w:hAnsi="Times New Roman"/>
          <w:color w:val="000000"/>
          <w:sz w:val="22"/>
          <w:szCs w:val="22"/>
        </w:rPr>
        <w:t>he {{bo_plural}} and the {{ao_plural}} may appeal this Addendum Award in the County Court under Section 10(17) of the Act subject as therein provided that such action is taken within fourteen days beginning with the day on which the Addendum Award is served upon them.</w:t>
      </w:r>
    </w:p>
    <w:p>
      <w:pPr>
        <w:pStyle w:val="Normal"/>
        <w:keepLines/>
        <w:suppressAutoHyphens w:val="false"/>
        <w:bidi w:val="0"/>
        <w:spacing w:before="0" w:after="240"/>
        <w:ind w:hanging="0"/>
        <w:jc w:val="left"/>
        <w:rPr>
          <w:rFonts w:ascii="Times New Roman" w:hAnsi="Times New Roman"/>
          <w:sz w:val="22"/>
          <w:szCs w:val="22"/>
        </w:rPr>
      </w:pPr>
      <w:r>
        <w:rPr>
          <w:rFonts w:ascii="Times New Roman" w:hAnsi="Times New Roman"/>
          <w:color w:val="000000"/>
          <w:sz w:val="22"/>
          <w:szCs w:val="22"/>
        </w:rPr>
        <w:t xml:space="preserve">We the undersigned, being the two surveyors, and having considered the proposals made by the </w:t>
      </w:r>
      <w:r>
        <w:rPr>
          <w:rFonts w:eastAsia="Noto Serif CJK SC" w:cs="Droid Sans Devanagari" w:ascii="Times New Roman" w:hAnsi="Times New Roman"/>
          <w:color w:val="000000"/>
          <w:kern w:val="2"/>
          <w:sz w:val="22"/>
          <w:szCs w:val="22"/>
          <w:lang w:val="en-GB" w:eastAsia="zh-CN" w:bidi="hi-IN"/>
        </w:rPr>
        <w:t>{{bo_plural}}</w:t>
      </w:r>
      <w:r>
        <w:rPr>
          <w:rFonts w:ascii="Times New Roman" w:hAnsi="Times New Roman"/>
          <w:color w:val="000000"/>
          <w:sz w:val="22"/>
          <w:szCs w:val="22"/>
        </w:rPr>
        <w:t xml:space="preserve"> and any other relevant matters brought to </w:t>
      </w:r>
      <w:r>
        <w:rPr>
          <w:rFonts w:eastAsia="Noto Serif CJK SC" w:cs="Droid Sans Devanagari" w:ascii="Times New Roman" w:hAnsi="Times New Roman"/>
          <w:color w:val="000000"/>
          <w:kern w:val="2"/>
          <w:sz w:val="22"/>
          <w:szCs w:val="22"/>
          <w:lang w:val="en-GB" w:eastAsia="zh-CN" w:bidi="hi-IN"/>
        </w:rPr>
        <w:t>our</w:t>
      </w:r>
      <w:r>
        <w:rPr>
          <w:rFonts w:ascii="Times New Roman" w:hAnsi="Times New Roman"/>
          <w:color w:val="000000"/>
          <w:sz w:val="22"/>
          <w:szCs w:val="22"/>
        </w:rPr>
        <w:t xml:space="preserve"> attention but without prejudice to any other rights of the parties or of any other persons DO HEREBY MAKE THIS </w:t>
      </w:r>
      <w:r>
        <w:rPr>
          <w:rFonts w:eastAsia="Noto Serif CJK SC" w:cs="Droid Sans Devanagari" w:ascii="Times New Roman" w:hAnsi="Times New Roman"/>
          <w:color w:val="000000"/>
          <w:kern w:val="2"/>
          <w:sz w:val="22"/>
          <w:szCs w:val="22"/>
          <w:lang w:val="en-GB" w:eastAsia="zh-CN" w:bidi="hi-IN"/>
        </w:rPr>
        <w:t>OUR</w:t>
      </w:r>
      <w:r>
        <w:rPr>
          <w:rFonts w:ascii="Times New Roman" w:hAnsi="Times New Roman"/>
          <w:color w:val="000000"/>
          <w:sz w:val="22"/>
          <w:szCs w:val="22"/>
        </w:rPr>
        <w:t xml:space="preserve"> </w:t>
      </w:r>
      <w:r>
        <w:rPr>
          <w:rFonts w:ascii="Times New Roman" w:hAnsi="Times New Roman"/>
          <w:color w:val="000000"/>
          <w:sz w:val="22"/>
          <w:szCs w:val="22"/>
        </w:rPr>
        <w:t xml:space="preserve">FURTHER </w:t>
      </w:r>
      <w:r>
        <w:rPr>
          <w:rFonts w:ascii="Times New Roman" w:hAnsi="Times New Roman"/>
          <w:color w:val="000000"/>
          <w:sz w:val="22"/>
          <w:szCs w:val="22"/>
        </w:rPr>
        <w:t>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t xml:space="preserve">    </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sz w:val="22"/>
          <w:szCs w:val="22"/>
        </w:rPr>
        <w:t>THAT</w:t>
      </w:r>
      <w:r>
        <w:rPr>
          <w:rFonts w:ascii="Times New Roman" w:hAnsi="Times New Roman"/>
          <w:sz w:val="22"/>
          <w:szCs w:val="22"/>
        </w:rPr>
        <w:t xml:space="preserve"> the Award shall remain in full force and effect and its terms and conditions shall be deemed to be incorporated in this Addendum Award insofar as they are not inconsistent with it.</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sz w:val="22"/>
          <w:szCs w:val="22"/>
        </w:rPr>
        <w:t>THAT</w:t>
      </w:r>
      <w:r>
        <w:rPr>
          <w:rFonts w:ascii="Times New Roman" w:hAnsi="Times New Roman"/>
          <w:sz w:val="22"/>
          <w:szCs w:val="22"/>
        </w:rPr>
        <w:t xml:space="preserve"> all attachments to the Award shall remain in effect.</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damage occurred to the {{ao_apostrophe}} property in the vicinity of works included in the Award and works to the party structure of the {{bo_apostrophe}} bathroom, which is below and adjacent to the {{ao_apostrophe}} bedroom.</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a dispute has occurred between the parties with respect to remedial works.                                                                                                                                                                     </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the {{ao_plural}} has requested a payment in lieu of remedial works.</w:t>
      </w:r>
    </w:p>
    <w:p>
      <w:pPr>
        <w:pStyle w:val="Normal"/>
        <w:numPr>
          <w:ilvl w:val="0"/>
          <w:numId w:val="1"/>
        </w:numPr>
        <w:suppressAutoHyphens w:val="false"/>
        <w:bidi w:val="0"/>
        <w:spacing w:before="0" w:after="240"/>
        <w:jc w:val="left"/>
        <w:rPr>
          <w:rFonts w:ascii="Times New Roman" w:hAnsi="Times New Roman"/>
          <w:b w:val="false"/>
          <w:b w:val="false"/>
          <w:bCs w:val="false"/>
          <w:sz w:val="22"/>
          <w:szCs w:val="22"/>
        </w:rPr>
      </w:pPr>
      <w:r>
        <w:rPr>
          <w:rFonts w:ascii="Times New Roman" w:hAnsi="Times New Roman"/>
          <w:b w:val="false"/>
          <w:bCs w:val="false"/>
          <w:color w:val="000000"/>
          <w:sz w:val="22"/>
          <w:szCs w:val="22"/>
        </w:rPr>
        <w:t>The following documents appended to this Addendum Award form part of this Addendum Award:</w:t>
      </w:r>
    </w:p>
    <w:tbl>
      <w:tblPr>
        <w:tblW w:w="9972" w:type="dxa"/>
        <w:jc w:val="right"/>
        <w:tblInd w:w="0" w:type="dxa"/>
        <w:tblLayout w:type="fixed"/>
        <w:tblCellMar>
          <w:top w:w="0" w:type="dxa"/>
          <w:left w:w="0" w:type="dxa"/>
          <w:bottom w:w="0" w:type="dxa"/>
          <w:right w:w="0" w:type="dxa"/>
        </w:tblCellMar>
      </w:tblPr>
      <w:tblGrid>
        <w:gridCol w:w="3262"/>
        <w:gridCol w:w="3352"/>
        <w:gridCol w:w="3358"/>
      </w:tblGrid>
      <w:tr>
        <w:trPr/>
        <w:tc>
          <w:tcPr>
            <w:tcW w:w="3262" w:type="dxa"/>
            <w:tcBorders/>
          </w:tcPr>
          <w:p>
            <w:pPr>
              <w:pStyle w:val="TextBody"/>
              <w:widowControl w:val="false"/>
              <w:bidi w:val="0"/>
              <w:spacing w:before="0" w:after="140"/>
              <w:jc w:val="left"/>
              <w:rPr>
                <w:rFonts w:ascii="Times New Roman" w:hAnsi="Times New Roman"/>
                <w:b/>
                <w:b/>
                <w:bCs/>
                <w:sz w:val="22"/>
                <w:szCs w:val="22"/>
                <w:u w:val="single"/>
              </w:rPr>
            </w:pPr>
            <w:r>
              <w:rPr>
                <w:b/>
                <w:bCs/>
                <w:sz w:val="22"/>
                <w:szCs w:val="22"/>
                <w:u w:val="single"/>
              </w:rPr>
              <w:t>{{architect_name}}</w:t>
            </w:r>
          </w:p>
        </w:tc>
        <w:tc>
          <w:tcPr>
            <w:tcW w:w="3352"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62"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Existing</w:t>
            </w:r>
          </w:p>
        </w:tc>
        <w:tc>
          <w:tcPr>
            <w:tcW w:w="3352"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Demolition (if applicable)</w:t>
            </w:r>
          </w:p>
        </w:tc>
        <w:tc>
          <w:tcPr>
            <w:tcW w:w="3358"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Proposed</w:t>
            </w:r>
          </w:p>
        </w:tc>
      </w:tr>
      <w:tr>
        <w:trPr/>
        <w:tc>
          <w:tcPr>
            <w:tcW w:w="3262" w:type="dxa"/>
            <w:tcBorders/>
          </w:tcPr>
          <w:p>
            <w:pPr>
              <w:pStyle w:val="TextBody"/>
              <w:widowControl w:val="false"/>
              <w:bidi w:val="0"/>
              <w:spacing w:before="0" w:after="140"/>
              <w:jc w:val="left"/>
              <w:rPr>
                <w:rFonts w:ascii="Times New Roman" w:hAnsi="Times New Roman"/>
                <w:sz w:val="22"/>
                <w:szCs w:val="22"/>
              </w:rPr>
            </w:pPr>
            <w:r>
              <w:rPr>
                <w:sz w:val="22"/>
                <w:szCs w:val="22"/>
              </w:rPr>
              <w:t>{{arch_plans_ex_vert}}</w:t>
            </w:r>
          </w:p>
        </w:tc>
        <w:tc>
          <w:tcPr>
            <w:tcW w:w="3352" w:type="dxa"/>
            <w:tcBorders/>
          </w:tcPr>
          <w:p>
            <w:pPr>
              <w:pStyle w:val="TextBody"/>
              <w:widowControl w:val="false"/>
              <w:bidi w:val="0"/>
              <w:spacing w:before="0" w:after="140"/>
              <w:jc w:val="left"/>
              <w:rPr>
                <w:rFonts w:ascii="Times New Roman" w:hAnsi="Times New Roman"/>
                <w:sz w:val="22"/>
                <w:szCs w:val="22"/>
              </w:rPr>
            </w:pPr>
            <w:r>
              <w:rPr>
                <w:sz w:val="22"/>
                <w:szCs w:val="22"/>
              </w:rPr>
              <w:t>{{arch_plans_dem_vert}}</w:t>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t>{{arch_plans_pr_vert}}</w:t>
            </w:r>
          </w:p>
        </w:tc>
      </w:tr>
      <w:tr>
        <w:trPr/>
        <w:tc>
          <w:tcPr>
            <w:tcW w:w="3262"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2"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62" w:type="dxa"/>
            <w:tcBorders/>
          </w:tcPr>
          <w:p>
            <w:pPr>
              <w:pStyle w:val="TextBody"/>
              <w:widowControl w:val="false"/>
              <w:bidi w:val="0"/>
              <w:spacing w:before="0" w:after="140"/>
              <w:jc w:val="left"/>
              <w:rPr>
                <w:rFonts w:ascii="Times New Roman" w:hAnsi="Times New Roman"/>
                <w:b/>
                <w:b/>
                <w:bCs/>
                <w:sz w:val="22"/>
                <w:szCs w:val="22"/>
                <w:u w:val="single"/>
              </w:rPr>
            </w:pPr>
            <w:r>
              <w:rPr>
                <w:b/>
                <w:bCs/>
                <w:sz w:val="22"/>
                <w:szCs w:val="22"/>
                <w:u w:val="single"/>
              </w:rPr>
              <w:t>{{engineer_name}}</w:t>
            </w:r>
          </w:p>
        </w:tc>
        <w:tc>
          <w:tcPr>
            <w:tcW w:w="3352"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62" w:type="dxa"/>
            <w:tcBorders/>
          </w:tcPr>
          <w:p>
            <w:pPr>
              <w:pStyle w:val="TextBody"/>
              <w:widowControl w:val="false"/>
              <w:bidi w:val="0"/>
              <w:spacing w:before="0" w:after="140"/>
              <w:jc w:val="left"/>
              <w:rPr>
                <w:rFonts w:ascii="Times New Roman" w:hAnsi="Times New Roman"/>
                <w:sz w:val="22"/>
                <w:szCs w:val="22"/>
              </w:rPr>
            </w:pPr>
            <w:r>
              <w:rPr>
                <w:sz w:val="22"/>
                <w:szCs w:val="22"/>
              </w:rPr>
              <w:t>{{eng_plans_vert}}</w:t>
            </w:r>
          </w:p>
        </w:tc>
        <w:tc>
          <w:tcPr>
            <w:tcW w:w="3352"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358" w:type="dxa"/>
            <w:tcBorders/>
          </w:tcPr>
          <w:p>
            <w:pPr>
              <w:pStyle w:val="TextBody"/>
              <w:widowControl w:val="false"/>
              <w:bidi w:val="0"/>
              <w:spacing w:before="0" w:after="140"/>
              <w:jc w:val="left"/>
              <w:rPr>
                <w:rFonts w:ascii="Times New Roman" w:hAnsi="Times New Roman"/>
                <w:sz w:val="22"/>
                <w:szCs w:val="22"/>
              </w:rPr>
            </w:pPr>
            <w:r>
              <w:rPr>
                <w:sz w:val="22"/>
                <w:szCs w:val="22"/>
              </w:rPr>
            </w:r>
          </w:p>
        </w:tc>
      </w:tr>
    </w:tbl>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bCs/>
          <w:caps/>
          <w:color w:val="FF0000"/>
          <w:sz w:val="22"/>
          <w:szCs w:val="22"/>
        </w:rPr>
        <w:t>T</w:t>
      </w:r>
      <w:r>
        <w:rPr>
          <w:rFonts w:ascii="Times New Roman" w:hAnsi="Times New Roman"/>
          <w:b/>
          <w:bCs/>
          <w:color w:val="FF0000"/>
          <w:sz w:val="22"/>
          <w:szCs w:val="22"/>
        </w:rPr>
        <w:t>HAT</w:t>
      </w:r>
      <w:r>
        <w:rPr>
          <w:rFonts w:ascii="Times New Roman" w:hAnsi="Times New Roman"/>
          <w:color w:val="FF0000"/>
          <w:sz w:val="22"/>
          <w:szCs w:val="22"/>
        </w:rPr>
        <w:t xml:space="preserve"> the {{bo_</w:t>
      </w:r>
      <w:r>
        <w:rPr>
          <w:rFonts w:eastAsia="Noto Serif CJK SC" w:cs="Droid Sans Devanagari" w:ascii="Times New Roman" w:hAnsi="Times New Roman"/>
          <w:color w:val="FF0000"/>
          <w:kern w:val="2"/>
          <w:sz w:val="22"/>
          <w:szCs w:val="22"/>
          <w:lang w:val="en-GB" w:eastAsia="zh-CN" w:bidi="hi-IN"/>
        </w:rPr>
        <w:t>plural</w:t>
      </w:r>
      <w:r>
        <w:rPr>
          <w:rFonts w:ascii="Times New Roman" w:hAnsi="Times New Roman"/>
          <w:color w:val="FF0000"/>
          <w:sz w:val="22"/>
          <w:szCs w:val="22"/>
        </w:rPr>
        <w:t>}} upon delivery of the signed Addendum, and notwithstanding the Owners' right of appeal to this Addendum Award under Section 10(17) of the Act, shall be at liberty if {{bo_he_she}} {{bo_choose_plural}}, but shall be under no obligation, to carry out the building works in accordance with the method statement which is appended to this Addendum 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color w:val="FF0000"/>
          <w:sz w:val="22"/>
          <w:szCs w:val="22"/>
        </w:rPr>
        <w:t>THAT</w:t>
      </w:r>
      <w:r>
        <w:rPr>
          <w:rFonts w:ascii="Times New Roman" w:hAnsi="Times New Roman"/>
          <w:color w:val="FF0000"/>
          <w:sz w:val="22"/>
          <w:szCs w:val="22"/>
        </w:rPr>
        <w:t xml:space="preserve"> the {{bo_</w:t>
      </w:r>
      <w:r>
        <w:rPr>
          <w:rFonts w:eastAsia="Noto Serif CJK SC" w:cs="Droid Sans Devanagari" w:ascii="Times New Roman" w:hAnsi="Times New Roman"/>
          <w:color w:val="FF0000"/>
          <w:kern w:val="2"/>
          <w:sz w:val="22"/>
          <w:szCs w:val="22"/>
          <w:lang w:val="en-GB" w:eastAsia="zh-CN" w:bidi="hi-IN"/>
        </w:rPr>
        <w:t>plural</w:t>
      </w:r>
      <w:r>
        <w:rPr>
          <w:rFonts w:ascii="Times New Roman" w:hAnsi="Times New Roman"/>
          <w:color w:val="FF0000"/>
          <w:sz w:val="22"/>
          <w:szCs w:val="22"/>
        </w:rPr>
        <w:t>}} shall:</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color w:val="FF0000"/>
          <w:sz w:val="22"/>
          <w:szCs w:val="22"/>
        </w:rPr>
        <w:t>Brick Paving Floor</w:t>
        <w:br/>
        <w:t>Ensure that any leftover brick paving is to be returned to the {{ao_</w:t>
      </w:r>
      <w:r>
        <w:rPr>
          <w:rFonts w:eastAsia="Noto Serif CJK SC" w:cs="Droid Sans Devanagari" w:ascii="Times New Roman" w:hAnsi="Times New Roman"/>
          <w:color w:val="FF0000"/>
          <w:kern w:val="2"/>
          <w:sz w:val="22"/>
          <w:szCs w:val="22"/>
          <w:lang w:val="en-GB" w:eastAsia="zh-CN" w:bidi="hi-IN"/>
        </w:rPr>
        <w:t>plural</w:t>
      </w:r>
      <w:r>
        <w:rPr>
          <w:rFonts w:ascii="Times New Roman" w:hAnsi="Times New Roman"/>
          <w:color w:val="FF0000"/>
          <w:sz w:val="22"/>
          <w:szCs w:val="22"/>
        </w:rPr>
        <w:t>}} and not disposed of.</w:t>
      </w:r>
    </w:p>
    <w:p>
      <w:pPr>
        <w:pStyle w:val="Normal"/>
        <w:numPr>
          <w:ilvl w:val="1"/>
          <w:numId w:val="1"/>
        </w:numPr>
        <w:suppressAutoHyphens w:val="false"/>
        <w:bidi w:val="0"/>
        <w:spacing w:before="0" w:after="240"/>
        <w:jc w:val="left"/>
        <w:rPr>
          <w:rFonts w:ascii="Times New Roman" w:hAnsi="Times New Roman"/>
          <w:sz w:val="22"/>
          <w:szCs w:val="22"/>
        </w:rPr>
      </w:pPr>
      <w:r>
        <w:rPr>
          <w:rFonts w:ascii="Times New Roman" w:hAnsi="Times New Roman"/>
          <w:color w:val="FF0000"/>
          <w:sz w:val="22"/>
          <w:szCs w:val="22"/>
        </w:rPr>
        <w:t>Electrical Cable</w:t>
        <w:br/>
        <w:t>Ensure that it is painted to match existing upon completion.</w:t>
      </w:r>
    </w:p>
    <w:p>
      <w:pPr>
        <w:pStyle w:val="Normal"/>
        <w:numPr>
          <w:ilvl w:val="0"/>
          <w:numId w:val="1"/>
        </w:numPr>
        <w:suppressAutoHyphens w:val="false"/>
        <w:bidi w:val="0"/>
        <w:spacing w:before="0" w:after="240"/>
        <w:jc w:val="left"/>
        <w:rPr>
          <w:color w:val="FF0000"/>
        </w:rPr>
      </w:pPr>
      <w:r>
        <w:rPr>
          <w:rFonts w:ascii="Times New Roman" w:hAnsi="Times New Roman"/>
          <w:color w:val="FF0000"/>
          <w:sz w:val="22"/>
          <w:szCs w:val="22"/>
        </w:rPr>
        <w:t>THAT the {{bo_plural}} shall make payment to the {{ao_plural}} immediately upon service of this Addendum Award as payment in lieu of remedial works in the amount of £1,450.00.</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t>THAT the surveyors have determined the scope of damage to the {{ao_apostrophe}} property.</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sz w:val="22"/>
          <w:szCs w:val="22"/>
        </w:rPr>
        <w:t>THAT the surveyors have determined costs to make good damage to the {{ao_apostrophe}} property.</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bCs/>
          <w:caps/>
          <w:sz w:val="22"/>
          <w:szCs w:val="22"/>
        </w:rPr>
        <w:t>T</w:t>
      </w:r>
      <w:r>
        <w:rPr>
          <w:rFonts w:ascii="Times New Roman" w:hAnsi="Times New Roman"/>
          <w:b/>
          <w:bCs/>
          <w:sz w:val="22"/>
          <w:szCs w:val="22"/>
        </w:rPr>
        <w:t>HAT</w:t>
      </w:r>
      <w:r>
        <w:rPr>
          <w:rFonts w:ascii="Times New Roman" w:hAnsi="Times New Roman"/>
          <w:bCs/>
          <w:caps/>
          <w:sz w:val="22"/>
          <w:szCs w:val="22"/>
        </w:rPr>
        <w:t xml:space="preserve"> </w:t>
      </w:r>
      <w:r>
        <w:rPr>
          <w:rFonts w:ascii="Times New Roman" w:hAnsi="Times New Roman"/>
          <w:sz w:val="22"/>
          <w:szCs w:val="22"/>
        </w:rPr>
        <w:t>no other variation shall be made by this Addendum to the 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sz w:val="22"/>
          <w:szCs w:val="22"/>
        </w:rPr>
        <w:t>THAT</w:t>
      </w:r>
      <w:r>
        <w:rPr>
          <w:rFonts w:ascii="Times New Roman" w:hAnsi="Times New Roman"/>
          <w:sz w:val="22"/>
          <w:szCs w:val="22"/>
        </w:rPr>
        <w:t xml:space="preserve"> in all material respects the burdens and benefits of the Award shall remain and shall apply to this Addendum as if it were part of the Award.</w:t>
      </w:r>
    </w:p>
    <w:p>
      <w:pPr>
        <w:pStyle w:val="Normal"/>
        <w:numPr>
          <w:ilvl w:val="0"/>
          <w:numId w:val="1"/>
        </w:numPr>
        <w:suppressAutoHyphens w:val="false"/>
        <w:bidi w:val="0"/>
        <w:spacing w:before="0" w:after="240"/>
        <w:jc w:val="left"/>
        <w:rPr>
          <w:rFonts w:ascii="Times New Roman" w:hAnsi="Times New Roman"/>
          <w:sz w:val="22"/>
          <w:szCs w:val="22"/>
        </w:rPr>
      </w:pPr>
      <w:r>
        <w:rPr>
          <w:rFonts w:ascii="Times New Roman" w:hAnsi="Times New Roman"/>
          <w:b/>
          <w:bCs/>
          <w:caps/>
          <w:sz w:val="22"/>
          <w:szCs w:val="22"/>
        </w:rPr>
        <w:t>That</w:t>
      </w:r>
      <w:r>
        <w:rPr>
          <w:rFonts w:ascii="Times New Roman" w:hAnsi="Times New Roman"/>
          <w:bCs/>
          <w:caps/>
          <w:sz w:val="22"/>
          <w:szCs w:val="22"/>
        </w:rPr>
        <w:t xml:space="preserve"> </w:t>
      </w:r>
      <w:r>
        <w:rPr>
          <w:rFonts w:ascii="Times New Roman" w:hAnsi="Times New Roman"/>
          <w:sz w:val="22"/>
          <w:szCs w:val="22"/>
        </w:rPr>
        <w:t>this Addendum, signed by the surveyors, shall now form part of the Award.</w:t>
      </w:r>
    </w:p>
    <w:p>
      <w:pPr>
        <w:pStyle w:val="Normal"/>
        <w:numPr>
          <w:ilvl w:val="0"/>
          <w:numId w:val="1"/>
        </w:numPr>
        <w:suppressAutoHyphens w:val="false"/>
        <w:bidi w:val="0"/>
        <w:spacing w:before="0" w:after="240"/>
        <w:jc w:val="left"/>
        <w:rPr>
          <w:color w:val="FF0000"/>
        </w:rPr>
      </w:pPr>
      <w:r>
        <w:rPr>
          <w:rFonts w:ascii="Times New Roman" w:hAnsi="Times New Roman"/>
          <w:b/>
          <w:color w:val="FF0000"/>
          <w:sz w:val="22"/>
          <w:szCs w:val="22"/>
        </w:rPr>
        <w:t xml:space="preserve">THAT </w:t>
      </w:r>
      <w:r>
        <w:rPr>
          <w:rFonts w:ascii="Times New Roman" w:hAnsi="Times New Roman"/>
          <w:color w:val="FF0000"/>
          <w:sz w:val="22"/>
          <w:szCs w:val="22"/>
        </w:rPr>
        <w:t>the {{</w:t>
      </w:r>
      <w:r>
        <w:rPr>
          <w:rFonts w:ascii="Times New Roman" w:hAnsi="Times New Roman"/>
          <w:color w:val="FF0000"/>
          <w:sz w:val="22"/>
          <w:szCs w:val="22"/>
        </w:rPr>
        <w:t>b</w:t>
      </w:r>
      <w:r>
        <w:rPr>
          <w:rFonts w:ascii="Times New Roman" w:hAnsi="Times New Roman"/>
          <w:color w:val="FF0000"/>
          <w:sz w:val="22"/>
          <w:szCs w:val="22"/>
        </w:rPr>
        <w:t xml:space="preserve">o_plural}} shall immediately on the service of this </w:t>
      </w:r>
      <w:r>
        <w:rPr>
          <w:rFonts w:ascii="Times New Roman" w:hAnsi="Times New Roman"/>
          <w:color w:val="FF0000"/>
          <w:sz w:val="22"/>
          <w:szCs w:val="22"/>
        </w:rPr>
        <w:t>Addendum</w:t>
      </w:r>
      <w:r>
        <w:rPr>
          <w:rFonts w:ascii="Times New Roman" w:hAnsi="Times New Roman"/>
          <w:color w:val="FF0000"/>
          <w:sz w:val="22"/>
          <w:szCs w:val="22"/>
        </w:rPr>
        <w:t xml:space="preserve"> Award pay the {{ao_apostrophe}}   </w:t>
      </w:r>
      <w:r>
        <w:rPr>
          <w:rFonts w:ascii="Times New Roman" w:hAnsi="Times New Roman"/>
          <w:color w:val="FF0000"/>
          <w:sz w:val="22"/>
          <w:szCs w:val="22"/>
        </w:rPr>
        <w:t>s</w:t>
      </w:r>
      <w:r>
        <w:rPr>
          <w:rFonts w:ascii="Times New Roman" w:hAnsi="Times New Roman"/>
          <w:color w:val="FF0000"/>
          <w:sz w:val="22"/>
          <w:szCs w:val="22"/>
        </w:rPr>
        <w:t xml:space="preserve">urveyor’s fees in the sum of £_________ plus VAT in connection with the obtaining and making of this </w:t>
      </w:r>
      <w:r>
        <w:rPr>
          <w:rFonts w:ascii="Times New Roman" w:hAnsi="Times New Roman"/>
          <w:color w:val="FF0000"/>
          <w:sz w:val="22"/>
          <w:szCs w:val="22"/>
        </w:rPr>
        <w:t xml:space="preserve">Addendum </w:t>
      </w:r>
      <w:r>
        <w:rPr>
          <w:rFonts w:ascii="Times New Roman" w:hAnsi="Times New Roman"/>
          <w:color w:val="FF0000"/>
          <w:sz w:val="22"/>
          <w:szCs w:val="22"/>
        </w:rPr>
        <w:t>Award.</w:t>
      </w:r>
    </w:p>
    <w:p>
      <w:pPr>
        <w:pStyle w:val="Normal"/>
        <w:keepNext w:val="true"/>
        <w:spacing w:before="0" w:after="240"/>
        <w:rPr>
          <w:rFonts w:ascii="Times New Roman" w:hAnsi="Times New Roman"/>
          <w:sz w:val="22"/>
          <w:szCs w:val="22"/>
        </w:rPr>
      </w:pPr>
      <w:r>
        <w:rPr>
          <w:rFonts w:ascii="Times New Roman" w:hAnsi="Times New Roman"/>
          <w:sz w:val="22"/>
          <w:szCs w:val="22"/>
        </w:rPr>
        <w:t xml:space="preserve">In witness whereof I have set my hand this _________ day of ________________ Two Thousand and </w:t>
      </w:r>
      <w:r>
        <w:rPr>
          <w:rFonts w:eastAsia="Noto Serif CJK SC" w:cs="Droid Sans Devanagari" w:ascii="Times New Roman" w:hAnsi="Times New Roman"/>
          <w:color w:val="auto"/>
          <w:kern w:val="2"/>
          <w:sz w:val="22"/>
          <w:szCs w:val="22"/>
          <w:lang w:val="en-GB" w:eastAsia="zh-CN" w:bidi="hi-IN"/>
        </w:rPr>
        <w:t>Twenty One</w:t>
      </w:r>
      <w:r>
        <w:rPr>
          <w:rFonts w:ascii="Times New Roman" w:hAnsi="Times New Roman"/>
          <w:sz w:val="22"/>
          <w:szCs w:val="22"/>
        </w:rPr>
        <w:t>.</w:t>
      </w:r>
    </w:p>
    <w:p>
      <w:pPr>
        <w:pStyle w:val="Normal"/>
        <w:spacing w:before="0" w:after="240"/>
        <w:rPr>
          <w:rFonts w:ascii="Times New Roman" w:hAnsi="Times New Roman"/>
          <w:sz w:val="22"/>
          <w:szCs w:val="22"/>
        </w:rPr>
      </w:pPr>
      <w:r>
        <w:rPr>
          <w:rFonts w:ascii="Times New Roman" w:hAnsi="Times New Roman"/>
          <w:sz w:val="22"/>
          <w:szCs w:val="22"/>
        </w:rPr>
      </w:r>
    </w:p>
    <w:p>
      <w:pPr>
        <w:pStyle w:val="TextBody"/>
        <w:bidi w:val="0"/>
        <w:jc w:val="left"/>
        <w:rPr/>
      </w:pPr>
      <w:r>
        <w:rPr>
          <w:sz w:val="22"/>
          <w:szCs w:val="22"/>
        </w:rPr>
        <w:t xml:space="preserve">Surveyor to the </w:t>
      </w:r>
      <w:r>
        <w:rPr>
          <w:color w:val="000000"/>
          <w:sz w:val="22"/>
          <w:szCs w:val="22"/>
        </w:rPr>
        <w:t>{{bo_plural}}</w:t>
      </w:r>
      <w:r>
        <w:rPr>
          <w:sz w:val="22"/>
          <w:szCs w:val="22"/>
        </w:rPr>
        <w:t>:</w:t>
        <w:tab/>
        <w:tab/>
        <w:t>_____________________________________</w:t>
      </w:r>
    </w:p>
    <w:p>
      <w:pPr>
        <w:pStyle w:val="TextBody"/>
        <w:bidi w:val="0"/>
        <w:jc w:val="left"/>
        <w:rPr>
          <w:u w:val="none"/>
        </w:rPr>
      </w:pPr>
      <w:r>
        <w:rPr>
          <w:color w:val="000000"/>
          <w:sz w:val="22"/>
          <w:szCs w:val="22"/>
          <w:u w:val="none"/>
        </w:rPr>
        <w:tab/>
        <w:tab/>
        <w:tab/>
        <w:tab/>
        <w:tab/>
        <w:tab/>
        <w:t>{{bo_surveyor}}</w:t>
      </w:r>
      <w:r>
        <w:rPr>
          <w:sz w:val="22"/>
          <w:szCs w:val="22"/>
          <w:u w:val="none"/>
        </w:rPr>
        <w:t xml:space="preserve"> </w:t>
      </w:r>
    </w:p>
    <w:p>
      <w:pPr>
        <w:pStyle w:val="TextBody"/>
        <w:bidi w:val="0"/>
        <w:jc w:val="left"/>
        <w:rPr/>
      </w:pPr>
      <w:r>
        <w:rPr/>
      </w:r>
    </w:p>
    <w:p>
      <w:pPr>
        <w:pStyle w:val="TextBody"/>
        <w:bidi w:val="0"/>
        <w:jc w:val="left"/>
        <w:rPr/>
      </w:pPr>
      <w:r>
        <w:rPr/>
      </w:r>
    </w:p>
    <w:p>
      <w:pPr>
        <w:pStyle w:val="TextBody"/>
        <w:bidi w:val="0"/>
        <w:jc w:val="left"/>
        <w:rPr/>
      </w:pPr>
      <w:r>
        <w:rPr>
          <w:sz w:val="22"/>
          <w:szCs w:val="22"/>
        </w:rPr>
        <w:t xml:space="preserve">Surveyor to the </w:t>
      </w:r>
      <w:r>
        <w:rPr>
          <w:color w:val="000000"/>
          <w:sz w:val="22"/>
          <w:szCs w:val="22"/>
        </w:rPr>
        <w:t>{{ao_plural}}</w:t>
      </w:r>
      <w:r>
        <w:rPr>
          <w:sz w:val="22"/>
          <w:szCs w:val="22"/>
        </w:rPr>
        <w:t xml:space="preserve">: </w:t>
        <w:tab/>
        <w:tab/>
        <w:t xml:space="preserve">_____________________________________  </w:t>
      </w:r>
    </w:p>
    <w:p>
      <w:pPr>
        <w:pStyle w:val="TextBody"/>
        <w:keepNext w:val="true"/>
        <w:keepLines/>
        <w:suppressAutoHyphens w:val="false"/>
        <w:bidi w:val="0"/>
        <w:spacing w:before="0" w:after="140"/>
        <w:jc w:val="left"/>
        <w:rPr>
          <w:rFonts w:ascii="Times New Roman" w:hAnsi="Times New Roman"/>
          <w:sz w:val="22"/>
          <w:szCs w:val="22"/>
        </w:rPr>
      </w:pPr>
      <w:r>
        <w:rPr>
          <w:color w:val="000000"/>
          <w:sz w:val="22"/>
          <w:szCs w:val="22"/>
        </w:rPr>
        <w:tab/>
        <w:tab/>
        <w:tab/>
        <w:tab/>
        <w:tab/>
        <w:tab/>
        <w:t xml:space="preserve">{{ao_surveyor}}                           </w:t>
      </w:r>
    </w:p>
    <w:sectPr>
      <w:type w:val="nextPage"/>
      <w:pgSz w:w="12240" w:h="15840"/>
      <w:pgMar w:left="567" w:right="567" w:header="0" w:top="567" w:footer="0" w:bottom="56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sz w:val="22"/>
        <w:szCs w:val="22"/>
        <w:rFonts w:ascii="Times New Roman" w:hAnsi="Times New Roman"/>
      </w:rPr>
    </w:lvl>
    <w:lvl w:ilvl="1">
      <w:start w:val="1"/>
      <w:numFmt w:val="lowerLetter"/>
      <w:lvlText w:val="%2)"/>
      <w:lvlJc w:val="left"/>
      <w:pPr>
        <w:tabs>
          <w:tab w:val="num" w:pos="1080"/>
        </w:tabs>
        <w:ind w:left="1080" w:hanging="360"/>
      </w:pPr>
      <w:rPr>
        <w:sz w:val="22"/>
        <w:szCs w:val="22"/>
        <w:rFonts w:ascii="Times New Roman" w:hAnsi="Times New Roman"/>
      </w:rPr>
    </w:lvl>
    <w:lvl w:ilvl="2">
      <w:start w:val="1"/>
      <w:numFmt w:val="decimal"/>
      <w:lvlText w:val="%3."/>
      <w:lvlJc w:val="left"/>
      <w:pPr>
        <w:tabs>
          <w:tab w:val="num" w:pos="1440"/>
        </w:tabs>
        <w:ind w:left="1440" w:hanging="360"/>
      </w:pPr>
      <w:rPr>
        <w:sz w:val="22"/>
        <w:szCs w:val="22"/>
        <w:rFonts w:ascii="Times New Roman" w:hAnsi="Times New Roman"/>
      </w:rPr>
    </w:lvl>
    <w:lvl w:ilvl="3">
      <w:start w:val="1"/>
      <w:numFmt w:val="decimal"/>
      <w:lvlText w:val="%4."/>
      <w:lvlJc w:val="left"/>
      <w:pPr>
        <w:tabs>
          <w:tab w:val="num" w:pos="1800"/>
        </w:tabs>
        <w:ind w:left="1800" w:hanging="360"/>
      </w:pPr>
      <w:rPr>
        <w:sz w:val="22"/>
        <w:szCs w:val="22"/>
        <w:rFonts w:ascii="Times New Roman" w:hAnsi="Times New Roman"/>
      </w:rPr>
    </w:lvl>
    <w:lvl w:ilvl="4">
      <w:start w:val="1"/>
      <w:numFmt w:val="decimal"/>
      <w:lvlText w:val="%5."/>
      <w:lvlJc w:val="left"/>
      <w:pPr>
        <w:tabs>
          <w:tab w:val="num" w:pos="2160"/>
        </w:tabs>
        <w:ind w:left="2160" w:hanging="360"/>
      </w:pPr>
      <w:rPr>
        <w:sz w:val="22"/>
        <w:szCs w:val="22"/>
        <w:rFonts w:ascii="Times New Roman" w:hAnsi="Times New Roman"/>
      </w:rPr>
    </w:lvl>
    <w:lvl w:ilvl="5">
      <w:start w:val="1"/>
      <w:numFmt w:val="decimal"/>
      <w:lvlText w:val="%6."/>
      <w:lvlJc w:val="left"/>
      <w:pPr>
        <w:tabs>
          <w:tab w:val="num" w:pos="2520"/>
        </w:tabs>
        <w:ind w:left="2520" w:hanging="360"/>
      </w:pPr>
      <w:rPr>
        <w:sz w:val="22"/>
        <w:szCs w:val="22"/>
        <w:rFonts w:ascii="Times New Roman" w:hAnsi="Times New Roman"/>
      </w:rPr>
    </w:lvl>
    <w:lvl w:ilvl="6">
      <w:start w:val="1"/>
      <w:numFmt w:val="decimal"/>
      <w:lvlText w:val="%7."/>
      <w:lvlJc w:val="left"/>
      <w:pPr>
        <w:tabs>
          <w:tab w:val="num" w:pos="2880"/>
        </w:tabs>
        <w:ind w:left="2880" w:hanging="360"/>
      </w:pPr>
      <w:rPr>
        <w:sz w:val="22"/>
        <w:szCs w:val="22"/>
        <w:rFonts w:ascii="Times New Roman" w:hAnsi="Times New Roman"/>
      </w:rPr>
    </w:lvl>
    <w:lvl w:ilvl="7">
      <w:start w:val="1"/>
      <w:numFmt w:val="decimal"/>
      <w:lvlText w:val="%8."/>
      <w:lvlJc w:val="left"/>
      <w:pPr>
        <w:tabs>
          <w:tab w:val="num" w:pos="3240"/>
        </w:tabs>
        <w:ind w:left="3240" w:hanging="360"/>
      </w:pPr>
      <w:rPr>
        <w:sz w:val="22"/>
        <w:szCs w:val="22"/>
        <w:rFonts w:ascii="Times New Roman" w:hAnsi="Times New Roman"/>
      </w:rPr>
    </w:lvl>
    <w:lvl w:ilvl="8">
      <w:start w:val="1"/>
      <w:numFmt w:val="decimal"/>
      <w:lvlText w:val="%9."/>
      <w:lvlJc w:val="left"/>
      <w:pPr>
        <w:tabs>
          <w:tab w:val="num" w:pos="3600"/>
        </w:tabs>
        <w:ind w:left="3600" w:hanging="360"/>
      </w:pPr>
      <w:rPr>
        <w:sz w:val="22"/>
        <w:szCs w:val="22"/>
        <w:rFonts w:ascii="Times New Roman" w:hAnsi="Times New Roman"/>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643"/>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rFonts w:ascii="Times New Roman" w:hAnsi="Times New Roman"/>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191</TotalTime>
  <Application>LibreOffice/7.0.5.2$Linux_X86_64 LibreOffice_project/00$Build-2</Application>
  <AppVersion>15.0000</AppVersion>
  <Pages>3</Pages>
  <Words>740</Words>
  <Characters>4218</Characters>
  <CharactersWithSpaces>5332</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2021-03-29T11:57:54Z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