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Luci consulta rápida de sessão</w:t>
      </w:r>
    </w:p>
    <w:p>
      <w:r>
        <w:t>Druida 2 Lua / Paladino 1 • FOR +1 DES +2 CON +2 INT +2 SAB +3 CAR +1 • CA 15 • PV 25 provisórios • iniciativa +2 • 7,5 m • Percepção passiva 15 • CD druida 13 • ataque mágico +5 • Ilusão Menor CD 12.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7597"/>
      </w:tblGrid>
      <w:tr>
        <w:trPr>
          <w:tblHeader/>
          <w:cantSplit/>
        </w:trPr>
        <w:tc>
          <w:tcPr>
            <w:tcW w:type="dxa" w:w="2438"/>
            <w:vAlign w:val="center"/>
            <w:shd w:fill="244A54"/>
            <w:tcMar>
              <w:top w:w="85" w:type="dxa"/>
              <w:left w:w="85" w:type="dxa"/>
              <w:bottom w:w="85" w:type="dxa"/>
              <w:right w:w="85" w:type="dxa"/>
            </w:tcMar>
          </w:tcPr>
          <w:p>
            <w:pPr>
              <w:keepNext/>
              <w:keepLines/>
              <w:spacing w:after="40" w:before="40"/>
            </w:pPr>
            <w:r>
              <w:rPr>
                <w:b/>
                <w:color w:val="FFFFFF"/>
                <w:sz w:val="16"/>
              </w:rPr>
              <w:t>Economia</w:t>
            </w:r>
          </w:p>
        </w:tc>
        <w:tc>
          <w:tcPr>
            <w:tcW w:type="dxa" w:w="7597"/>
            <w:vAlign w:val="center"/>
            <w:shd w:fill="244A54"/>
            <w:tcMar>
              <w:top w:w="85" w:type="dxa"/>
              <w:left w:w="85" w:type="dxa"/>
              <w:bottom w:w="85" w:type="dxa"/>
              <w:right w:w="85" w:type="dxa"/>
            </w:tcMar>
          </w:tcPr>
          <w:p>
            <w:pPr>
              <w:keepNext/>
              <w:keepLines/>
              <w:spacing w:after="40" w:before="40"/>
            </w:pPr>
            <w:r>
              <w:rPr>
                <w:b/>
                <w:color w:val="FFFFFF"/>
                <w:sz w:val="16"/>
              </w:rPr>
              <w:t>Opções prontas</w:t>
            </w:r>
          </w:p>
        </w:tc>
      </w:tr>
      <w:tr>
        <w:trPr>
          <w:cantSplit/>
        </w:trPr>
        <w:tc>
          <w:tcPr>
            <w:tcW w:type="dxa" w:w="2438"/>
            <w:vAlign w:val="center"/>
            <w:shd w:fill="FFFFFF"/>
            <w:tcMar>
              <w:top w:w="85" w:type="dxa"/>
              <w:left w:w="85" w:type="dxa"/>
              <w:bottom w:w="85" w:type="dxa"/>
              <w:right w:w="85" w:type="dxa"/>
            </w:tcMar>
          </w:tcPr>
          <w:p>
            <w:pPr>
              <w:keepNext w:val="0"/>
              <w:keepLines/>
              <w:spacing w:after="40" w:before="40"/>
            </w:pPr>
            <w:r>
              <w:rPr>
                <w:b w:val="0"/>
                <w:color w:val="111111"/>
                <w:sz w:val="16"/>
              </w:rPr>
              <w:t>Ação</w:t>
            </w:r>
          </w:p>
        </w:tc>
        <w:tc>
          <w:tcPr>
            <w:tcW w:type="dxa" w:w="7597"/>
            <w:vAlign w:val="center"/>
            <w:shd w:fill="FFFFFF"/>
            <w:tcMar>
              <w:top w:w="85" w:type="dxa"/>
              <w:left w:w="85" w:type="dxa"/>
              <w:bottom w:w="85" w:type="dxa"/>
              <w:right w:w="85" w:type="dxa"/>
            </w:tcMar>
          </w:tcPr>
          <w:p>
            <w:pPr>
              <w:keepNext w:val="0"/>
              <w:keepLines/>
              <w:spacing w:after="40" w:before="40"/>
            </w:pPr>
            <w:r>
              <w:rPr>
                <w:b w:val="0"/>
                <w:color w:val="111111"/>
                <w:sz w:val="16"/>
              </w:rPr>
              <w:t>Bordão Místico ativo: d20+5, 1d8+3. Magia preparada de ação. Ataque animal ou Ataques Múltiplos do urso. Cura pelas Mãos e toque. Sentido Divino. Desengajar, Disparada, Esquivar, Ajudar, Esconder-se, Procurar ou Preparar conforme condição.</w:t>
            </w:r>
          </w:p>
        </w:tc>
      </w:tr>
      <w:tr>
        <w:trPr>
          <w:cantSplit/>
        </w:trPr>
        <w:tc>
          <w:tcPr>
            <w:tcW w:type="dxa" w:w="2438"/>
            <w:vAlign w:val="center"/>
            <w:shd w:fill="F2F5F6"/>
            <w:tcMar>
              <w:top w:w="85" w:type="dxa"/>
              <w:left w:w="85" w:type="dxa"/>
              <w:bottom w:w="85" w:type="dxa"/>
              <w:right w:w="85" w:type="dxa"/>
            </w:tcMar>
          </w:tcPr>
          <w:p>
            <w:pPr>
              <w:keepNext w:val="0"/>
              <w:keepLines/>
              <w:spacing w:after="40" w:before="40"/>
            </w:pPr>
            <w:r>
              <w:rPr>
                <w:b w:val="0"/>
                <w:color w:val="111111"/>
                <w:sz w:val="16"/>
              </w:rPr>
              <w:t>Ação bônus uma por turno</w:t>
            </w:r>
          </w:p>
        </w:tc>
        <w:tc>
          <w:tcPr>
            <w:tcW w:type="dxa" w:w="7597"/>
            <w:vAlign w:val="center"/>
            <w:shd w:fill="F2F5F6"/>
            <w:tcMar>
              <w:top w:w="85" w:type="dxa"/>
              <w:left w:w="85" w:type="dxa"/>
              <w:bottom w:w="85" w:type="dxa"/>
              <w:right w:w="85" w:type="dxa"/>
            </w:tcMar>
          </w:tcPr>
          <w:p>
            <w:pPr>
              <w:keepNext w:val="0"/>
              <w:keepLines/>
              <w:spacing w:after="40" w:before="40"/>
            </w:pPr>
            <w:r>
              <w:rPr>
                <w:b w:val="0"/>
                <w:color w:val="111111"/>
                <w:sz w:val="16"/>
              </w:rPr>
              <w:t>Transformar: 1 uso. Reverter. Em forma animal, gastar espaço e curar 1d8. Bordão Místico. Palavra Curativa: 1 espaço, 1d4+3 a 18 m. Essas opções competem entre si.</w:t>
            </w:r>
          </w:p>
        </w:tc>
      </w:tr>
      <w:tr>
        <w:trPr>
          <w:cantSplit/>
        </w:trPr>
        <w:tc>
          <w:tcPr>
            <w:tcW w:type="dxa" w:w="2438"/>
            <w:vAlign w:val="center"/>
            <w:shd w:fill="FFFFFF"/>
            <w:tcMar>
              <w:top w:w="85" w:type="dxa"/>
              <w:left w:w="85" w:type="dxa"/>
              <w:bottom w:w="85" w:type="dxa"/>
              <w:right w:w="85" w:type="dxa"/>
            </w:tcMar>
          </w:tcPr>
          <w:p>
            <w:pPr>
              <w:keepNext w:val="0"/>
              <w:keepLines/>
              <w:spacing w:after="40" w:before="40"/>
            </w:pPr>
            <w:r>
              <w:rPr>
                <w:b w:val="0"/>
                <w:color w:val="111111"/>
                <w:sz w:val="16"/>
              </w:rPr>
              <w:t>Reação uma até próximo turno</w:t>
            </w:r>
          </w:p>
        </w:tc>
        <w:tc>
          <w:tcPr>
            <w:tcW w:type="dxa" w:w="7597"/>
            <w:vAlign w:val="center"/>
            <w:shd w:fill="FFFFFF"/>
            <w:tcMar>
              <w:top w:w="85" w:type="dxa"/>
              <w:left w:w="85" w:type="dxa"/>
              <w:bottom w:w="85" w:type="dxa"/>
              <w:right w:w="85" w:type="dxa"/>
            </w:tcMar>
          </w:tcPr>
          <w:p>
            <w:pPr>
              <w:keepNext w:val="0"/>
              <w:keepLines/>
              <w:spacing w:after="40" w:before="40"/>
            </w:pPr>
            <w:r>
              <w:rPr>
                <w:b w:val="0"/>
                <w:color w:val="111111"/>
                <w:sz w:val="16"/>
              </w:rPr>
              <w:t>Ataque de oportunidade: um ataque corpo a corpo quando inimigo visível sai do alcance por movimento que provoque. Não permite Ataques Múltiplos. Ação preparada usa reação quando gatilho ocorrer. Sem Estilo de Proteção ou magia de reação nesta ficha.</w:t>
            </w:r>
          </w:p>
        </w:tc>
      </w:tr>
    </w:tbl>
    <w:p>
      <w:pPr>
        <w:spacing w:after="20"/>
      </w:pP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4082"/>
        <w:gridCol w:w="3685"/>
      </w:tblGrid>
      <w:tr>
        <w:trPr>
          <w:tblHeader/>
          <w:cantSplit/>
        </w:trPr>
        <w:tc>
          <w:tcPr>
            <w:tcW w:type="dxa" w:w="2268"/>
            <w:vAlign w:val="center"/>
            <w:shd w:fill="244A54"/>
            <w:tcMar>
              <w:top w:w="85" w:type="dxa"/>
              <w:left w:w="85" w:type="dxa"/>
              <w:bottom w:w="85" w:type="dxa"/>
              <w:right w:w="85" w:type="dxa"/>
            </w:tcMar>
          </w:tcPr>
          <w:p>
            <w:pPr>
              <w:keepNext/>
              <w:keepLines/>
              <w:spacing w:after="40" w:before="40"/>
            </w:pPr>
            <w:r>
              <w:rPr>
                <w:b/>
                <w:color w:val="FFFFFF"/>
                <w:sz w:val="16"/>
              </w:rPr>
              <w:t>Forma vista e liberada</w:t>
            </w:r>
          </w:p>
        </w:tc>
        <w:tc>
          <w:tcPr>
            <w:tcW w:type="dxa" w:w="4082"/>
            <w:vAlign w:val="center"/>
            <w:shd w:fill="244A54"/>
            <w:tcMar>
              <w:top w:w="85" w:type="dxa"/>
              <w:left w:w="85" w:type="dxa"/>
              <w:bottom w:w="85" w:type="dxa"/>
              <w:right w:w="85" w:type="dxa"/>
            </w:tcMar>
          </w:tcPr>
          <w:p>
            <w:pPr>
              <w:keepNext/>
              <w:keepLines/>
              <w:spacing w:after="40" w:before="40"/>
            </w:pPr>
            <w:r>
              <w:rPr>
                <w:b/>
                <w:color w:val="FFFFFF"/>
                <w:sz w:val="16"/>
              </w:rPr>
              <w:t>Valores de sessão</w:t>
            </w:r>
          </w:p>
        </w:tc>
        <w:tc>
          <w:tcPr>
            <w:tcW w:type="dxa" w:w="3685"/>
            <w:vAlign w:val="center"/>
            <w:shd w:fill="244A54"/>
            <w:tcMar>
              <w:top w:w="85" w:type="dxa"/>
              <w:left w:w="85" w:type="dxa"/>
              <w:bottom w:w="85" w:type="dxa"/>
              <w:right w:w="85" w:type="dxa"/>
            </w:tcMar>
          </w:tcPr>
          <w:p>
            <w:pPr>
              <w:keepNext/>
              <w:keepLines/>
              <w:spacing w:after="40" w:before="40"/>
            </w:pPr>
            <w:r>
              <w:rPr>
                <w:b/>
                <w:color w:val="FFFFFF"/>
                <w:sz w:val="16"/>
              </w:rPr>
              <w:t>Uso</w:t>
            </w:r>
          </w:p>
        </w:tc>
      </w:tr>
      <w:tr>
        <w:trPr>
          <w:cantSplit/>
        </w:trPr>
        <w:tc>
          <w:tcPr>
            <w:tcW w:type="dxa" w:w="2268"/>
            <w:vAlign w:val="center"/>
            <w:shd w:fill="FFFFFF"/>
            <w:tcMar>
              <w:top w:w="85" w:type="dxa"/>
              <w:left w:w="85" w:type="dxa"/>
              <w:bottom w:w="85" w:type="dxa"/>
              <w:right w:w="85" w:type="dxa"/>
            </w:tcMar>
          </w:tcPr>
          <w:p>
            <w:pPr>
              <w:keepNext w:val="0"/>
              <w:keepLines/>
              <w:spacing w:after="40" w:before="40"/>
            </w:pPr>
            <w:r>
              <w:rPr>
                <w:b w:val="0"/>
                <w:color w:val="111111"/>
                <w:sz w:val="16"/>
              </w:rPr>
              <w:t>Urso Marrom</w:t>
            </w:r>
          </w:p>
        </w:tc>
        <w:tc>
          <w:tcPr>
            <w:tcW w:type="dxa" w:w="4082"/>
            <w:vAlign w:val="center"/>
            <w:shd w:fill="FFFFFF"/>
            <w:tcMar>
              <w:top w:w="85" w:type="dxa"/>
              <w:left w:w="85" w:type="dxa"/>
              <w:bottom w:w="85" w:type="dxa"/>
              <w:right w:w="85" w:type="dxa"/>
            </w:tcMar>
          </w:tcPr>
          <w:p>
            <w:pPr>
              <w:keepNext w:val="0"/>
              <w:keepLines/>
              <w:spacing w:after="40" w:before="40"/>
            </w:pPr>
            <w:r>
              <w:rPr>
                <w:b w:val="0"/>
                <w:color w:val="111111"/>
                <w:sz w:val="16"/>
              </w:rPr>
              <w:t>CA 11; PV 34; CON +3; 12 m, escalar 9 m; mordida +5, 1d8+4 e garras +5, 2d6+4</w:t>
            </w:r>
          </w:p>
        </w:tc>
        <w:tc>
          <w:tcPr>
            <w:tcW w:type="dxa" w:w="3685"/>
            <w:vAlign w:val="center"/>
            <w:shd w:fill="FFFFFF"/>
            <w:tcMar>
              <w:top w:w="85" w:type="dxa"/>
              <w:left w:w="85" w:type="dxa"/>
              <w:bottom w:w="85" w:type="dxa"/>
              <w:right w:w="85" w:type="dxa"/>
            </w:tcMar>
          </w:tcPr>
          <w:p>
            <w:pPr>
              <w:keepNext w:val="0"/>
              <w:keepLines/>
              <w:spacing w:after="40" w:before="40"/>
            </w:pPr>
            <w:r>
              <w:rPr>
                <w:b w:val="0"/>
                <w:color w:val="111111"/>
                <w:sz w:val="16"/>
              </w:rPr>
              <w:t>Dano com Ataques Múltiplos e concentração.</w:t>
            </w:r>
          </w:p>
        </w:tc>
      </w:tr>
      <w:tr>
        <w:trPr>
          <w:cantSplit/>
        </w:trPr>
        <w:tc>
          <w:tcPr>
            <w:tcW w:type="dxa" w:w="2268"/>
            <w:vAlign w:val="center"/>
            <w:shd w:fill="F2F5F6"/>
            <w:tcMar>
              <w:top w:w="85" w:type="dxa"/>
              <w:left w:w="85" w:type="dxa"/>
              <w:bottom w:w="85" w:type="dxa"/>
              <w:right w:w="85" w:type="dxa"/>
            </w:tcMar>
          </w:tcPr>
          <w:p>
            <w:pPr>
              <w:keepNext w:val="0"/>
              <w:keepLines/>
              <w:spacing w:after="40" w:before="40"/>
            </w:pPr>
            <w:r>
              <w:rPr>
                <w:b w:val="0"/>
                <w:color w:val="111111"/>
                <w:sz w:val="16"/>
              </w:rPr>
              <w:t>Lobo Atroz</w:t>
            </w:r>
          </w:p>
        </w:tc>
        <w:tc>
          <w:tcPr>
            <w:tcW w:type="dxa" w:w="4082"/>
            <w:vAlign w:val="center"/>
            <w:shd w:fill="F2F5F6"/>
            <w:tcMar>
              <w:top w:w="85" w:type="dxa"/>
              <w:left w:w="85" w:type="dxa"/>
              <w:bottom w:w="85" w:type="dxa"/>
              <w:right w:w="85" w:type="dxa"/>
            </w:tcMar>
          </w:tcPr>
          <w:p>
            <w:pPr>
              <w:keepNext w:val="0"/>
              <w:keepLines/>
              <w:spacing w:after="40" w:before="40"/>
            </w:pPr>
            <w:r>
              <w:rPr>
                <w:b w:val="0"/>
                <w:color w:val="111111"/>
                <w:sz w:val="16"/>
              </w:rPr>
              <w:t>CA 14; PV 37; CON +2; 15 m; mordida +5, 2d6+3; FOR CD 13 ou cai</w:t>
            </w:r>
          </w:p>
        </w:tc>
        <w:tc>
          <w:tcPr>
            <w:tcW w:type="dxa" w:w="3685"/>
            <w:vAlign w:val="center"/>
            <w:shd w:fill="F2F5F6"/>
            <w:tcMar>
              <w:top w:w="85" w:type="dxa"/>
              <w:left w:w="85" w:type="dxa"/>
              <w:bottom w:w="85" w:type="dxa"/>
              <w:right w:w="85" w:type="dxa"/>
            </w:tcMar>
          </w:tcPr>
          <w:p>
            <w:pPr>
              <w:keepNext w:val="0"/>
              <w:keepLines/>
              <w:spacing w:after="40" w:before="40"/>
            </w:pPr>
            <w:r>
              <w:rPr>
                <w:b w:val="0"/>
                <w:color w:val="111111"/>
                <w:sz w:val="16"/>
              </w:rPr>
              <w:t>Defesa, corrida e vantagem de Matilha se aliado a 1,5 m do alvo.</w:t>
            </w:r>
          </w:p>
        </w:tc>
      </w:tr>
    </w:tbl>
    <w:p>
      <w:pPr>
        <w:spacing w:after="20"/>
      </w:pPr>
    </w:p>
    <w:p>
      <w:r>
        <w:t>Controle: ação Constrição (FOR CD 13) OU Fogo das Fadas (DES CD 13), 1 espaço; ação bônus transformar, 1 uso. Não sobra ação para atacar. Suporte: Palavra Curativa (1 espaço, 1d4+3) + ação de ataque ou Cura pelas Mãos é legal. Explorar: Detectar Magia em ritual; Orientação antes de teste; outras formas só após encontro confirmado. Escapar: Desengajar e mover, ou Disparada se aceitar oportunidade.</w:t>
      </w:r>
    </w:p>
    <w:p>
      <w:r>
        <w:t>Recursos restantes: PV ___/25; temporários ___; Forma Selvagem □ □; espaços 1º □ □ □; Cura pelas Mãos ___/5; Sentido Divino □ □; Dados de Vida d8 □ □ e d10 □; concentração __________; forma __________; PV da forma ___/___; PV gnômicos guardados ___.</w:t>
      </w:r>
    </w:p>
    <w:p>
      <w:r>
        <w:t>Concentração: uma magia por vez. Ao sofrer dano, salvaguarda CON d20+2 na forma gnoma ou lobo atroz; d20+3 no urso. CD maior entre 10 e metade do dano, arredondando para baixo. Transformar não encerra concentração; incapacitação encerra. Não conjurar em forma animal. Ao chegar a 0 na forma, reverter e aplicar dano excedente aos PV gnômicos.</w:t>
      </w:r>
    </w:p>
    <w:p>
      <w:r>
        <w:t>Evite: somar vantagem duas vezes; usar Orientação em ataque/salvaguarda; conjurar Constrição no turno de Bordão Místico; gastar duas ações bônus; voar/nadar como forma agora; usar Destruição Divina; disparar besta com escudo; conceder ataque extra à doninha. Exemplos e referências detalhados no guia.</w:t>
      </w:r>
    </w:p>
    <w:p>
      <w:r>
        <w:t>Cap. 3, Forma Selvagem, p. 73 (PDF 72), 74 (PDF 73); Cap. 3, Círculo da Lua, p. 76 (PDF 75); Cap. 3, Paladino e características de nível 1, p. 109 (PDF 108), 110 (PDF 109); Cap. 10, Conjurando uma Magia, p. 204 (PDF 202), 205 (PDF 203), 206 (PDF 204), 207 (PDF 205); Cap. 9, Ações em Combate e Realizando um Ataque, p. 192 (PDF 190), 193 (PDF 191), 194 (PDF 192), 195 (PDF 193), 196 (PDF 194), 197 (PDF 195), 198 (PDF 196); formas: apêndice D, p. 309 / PDF 307 e p. 312 / PDF 310.</w:t>
      </w:r>
    </w:p>
    <w:sectPr w:rsidR="00FC693F" w:rsidRPr="0006063C" w:rsidSect="00034616">
      <w:pgSz w:w="11906" w:h="16838"/>
      <w:pgMar w:top="879" w:right="935" w:bottom="879"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80"/>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before="180"/>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luci consulta rapida</dc:title>
  <dc:subject>Luci Druida 2 Paladino 1 Livro do Jogador 2014</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