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F4858"/>
          <w:sz w:val="32"/>
          <w:szCs w:val="32"/>
        </w:rPr>
        <w:t xml:space="preserve">Claude Prompts 01-21: Sonnet 5 or Opus 5</w:t>
      </w:r>
    </w:p>
    <w:p>
      <w:pPr>
        <w:pBdr>
          <w:bottom w:val="single" w:color="2F4858" w:sz="6" w:space="6"/>
        </w:pBdr>
        <w:spacing w:after="320"/>
      </w:pPr>
      <w:r>
        <w:rPr>
          <w:i/>
          <w:iCs/>
          <w:color w:val="5A6B76"/>
          <w:sz w:val="19"/>
          <w:szCs w:val="19"/>
        </w:rPr>
        <w:t xml:space="preserve">greyversusblue.com parallel session batch, written after session 7 (site version 8)</w:t>
      </w:r>
    </w:p>
    <w:p>
      <w:pPr>
        <w:pStyle w:val="Heading2"/>
        <w:spacing w:after="140" w:before="280"/>
      </w:pPr>
      <w:r>
        <w:rPr>
          <w:color w:val="2F4858"/>
        </w:rPr>
        <w:t xml:space="preserve">The split</w:t>
      </w:r>
    </w:p>
    <w:tbl>
      <w:tblPr>
        <w:tblW w:type="dxa" w:w="9360"/>
        <w:tblBorders>
          <w:top w:val="single" w:color="B8C4CC" w:sz="4"/>
          <w:left w:val="single" w:color="B8C4CC" w:sz="4"/>
          <w:bottom w:val="single" w:color="B8C4CC" w:sz="4"/>
          <w:right w:val="single" w:color="B8C4CC" w:sz="4"/>
          <w:insideH w:val="single" w:color="D5DDE2" w:sz="2"/>
          <w:insideV w:val="single" w:color="D5DDE2" w:sz="2"/>
        </w:tblBorders>
      </w:tblPr>
      <w:tblGrid>
        <w:gridCol w:w="620"/>
        <w:gridCol w:w="2500"/>
        <w:gridCol w:w="1340"/>
        <w:gridCol w:w="4900"/>
      </w:tblGrid>
      <w:tr>
        <w:trPr>
          <w:tblHeader/>
        </w:trPr>
        <w:tc>
          <w:tcPr>
            <w:tcW w:type="dxa" w:w="620"/>
            <w:shd w:fill="E8EDF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shd w:fill="E8EDF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Prompt</w:t>
            </w:r>
          </w:p>
        </w:tc>
        <w:tc>
          <w:tcPr>
            <w:tcW w:type="dxa" w:w="1340"/>
            <w:shd w:fill="E8EDF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Model</w:t>
            </w:r>
          </w:p>
        </w:tc>
        <w:tc>
          <w:tcPr>
            <w:tcW w:type="dxa" w:w="4900"/>
            <w:shd w:fill="E8EDF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01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Anathema Archive</w:t>
            </w:r>
          </w:p>
        </w:tc>
        <w:tc>
          <w:tcPr>
            <w:tcW w:type="dxa" w:w="1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Sonnet 5</w:t>
            </w:r>
          </w:p>
        </w:tc>
        <w:tc>
          <w:tcPr>
            <w:tcW w:type="dxa" w:w="4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 plus a manifest-vs-disk integrity check. Bounded, verifiable, mostly mechanical.</w:t>
            </w:r>
          </w:p>
        </w:tc>
      </w:tr>
      <w:tr>
        <w:tc>
          <w:tcPr>
            <w:tcW w:type="dxa" w:w="620"/>
            <w:shd w:fill="F5F7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02</w:t>
            </w:r>
          </w:p>
        </w:tc>
        <w:tc>
          <w:tcPr>
            <w:tcW w:type="dxa" w:w="2500"/>
            <w:shd w:fill="F5F7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Pathfinder Campaigns</w:t>
            </w:r>
          </w:p>
        </w:tc>
        <w:tc>
          <w:tcPr>
            <w:tcW w:type="dxa" w:w="1340"/>
            <w:shd w:fill="F5F7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Sonnet 5</w:t>
            </w:r>
          </w:p>
        </w:tc>
        <w:tc>
          <w:tcPr>
            <w:tcW w:type="dxa" w:w="4900"/>
            <w:shd w:fill="F5F7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Vendor 3 fonts, small audit. The one interesting call (merge with the twin) is explicitly forbidden.</w:t>
            </w:r>
          </w:p>
        </w:tc>
      </w:tr>
      <w:tr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03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Pathfinder Characters</w:t>
            </w:r>
          </w:p>
        </w:tc>
        <w:tc>
          <w:tcPr>
            <w:tcW w:type="dxa" w:w="1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Sonnet 5</w:t>
            </w:r>
          </w:p>
        </w:tc>
        <w:tc>
          <w:tcPr>
            <w:tcW w:type="dxa" w:w="4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Same as 02.</w:t>
            </w:r>
          </w:p>
        </w:tc>
      </w:tr>
      <w:tr>
        <w:tc>
          <w:tcPr>
            <w:tcW w:type="dxa" w:w="620"/>
            <w:shd w:fill="F5F7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04</w:t>
            </w:r>
          </w:p>
        </w:tc>
        <w:tc>
          <w:tcPr>
            <w:tcW w:type="dxa" w:w="2500"/>
            <w:shd w:fill="F5F7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Aphelion</w:t>
            </w:r>
          </w:p>
        </w:tc>
        <w:tc>
          <w:tcPr>
            <w:tcW w:type="dxa" w:w="1340"/>
            <w:shd w:fill="F5F7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Either, lean Sonnet</w:t>
            </w:r>
          </w:p>
        </w:tc>
        <w:tc>
          <w:tcPr>
            <w:tcW w:type="dxa" w:w="4900"/>
            <w:shd w:fill="F5F7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Both concrete tasks are recipe-following with a worked example. The "is there a game here" question is the only Opus-shaped part.</w:t>
            </w:r>
          </w:p>
        </w:tc>
      </w:tr>
      <w:tr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05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Castle Conundrum</w:t>
            </w:r>
          </w:p>
        </w:tc>
        <w:tc>
          <w:tcPr>
            <w:tcW w:type="dxa" w:w="1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Opus 5</w:t>
            </w:r>
          </w:p>
        </w:tc>
        <w:tc>
          <w:tcPr>
            <w:tcW w:type="dxa" w:w="4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Blurry textures has four competing causes with different fixes. Largest project, most locked decisions, owns its own play suite.</w:t>
            </w:r>
          </w:p>
        </w:tc>
      </w:tr>
      <w:tr>
        <w:tc>
          <w:tcPr>
            <w:tcW w:type="dxa" w:w="620"/>
            <w:shd w:fill="F5F7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06</w:t>
            </w:r>
          </w:p>
        </w:tc>
        <w:tc>
          <w:tcPr>
            <w:tcW w:type="dxa" w:w="2500"/>
            <w:shd w:fill="F5F7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Closing Time</w:t>
            </w:r>
          </w:p>
        </w:tc>
        <w:tc>
          <w:tcPr>
            <w:tcW w:type="dxa" w:w="1340"/>
            <w:shd w:fill="F5F7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Opus 5</w:t>
            </w:r>
          </w:p>
        </w:tc>
        <w:tc>
          <w:tcPr>
            <w:tcW w:type="dxa" w:w="4900"/>
            <w:shd w:fill="F5F7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just adopting the module, but answering whether the module generalizes past one adopter. That answer feeds prompt 21.</w:t>
            </w:r>
          </w:p>
        </w:tc>
      </w:tr>
      <w:tr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07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Fourth Quarter</w:t>
            </w:r>
          </w:p>
        </w:tc>
        <w:tc>
          <w:tcPr>
            <w:tcW w:type="dxa" w:w="1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Opus 5</w:t>
            </w:r>
          </w:p>
        </w:tc>
        <w:tc>
          <w:tcPr>
            <w:tcW w:type="dxa" w:w="4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Mid-campaign import means discarding live state. That is a design call, not a wiring job.</w:t>
            </w:r>
          </w:p>
        </w:tc>
      </w:tr>
      <w:tr>
        <w:tc>
          <w:tcPr>
            <w:tcW w:type="dxa" w:w="620"/>
            <w:shd w:fill="F5F7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08</w:t>
            </w:r>
          </w:p>
        </w:tc>
        <w:tc>
          <w:tcPr>
            <w:tcW w:type="dxa" w:w="2500"/>
            <w:shd w:fill="F5F7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Golden Hour</w:t>
            </w:r>
          </w:p>
        </w:tc>
        <w:tc>
          <w:tcPr>
            <w:tcW w:type="dxa" w:w="1340"/>
            <w:shd w:fill="F5F7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Either, lean Opus</w:t>
            </w:r>
          </w:p>
        </w:tc>
        <w:tc>
          <w:tcPr>
            <w:tcW w:type="dxa" w:w="4900"/>
            <w:shd w:fill="F5F7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 backlog, so the deliverable is basically an opinion about whether the piece is finished. Taste-heavy.</w:t>
            </w:r>
          </w:p>
        </w:tc>
      </w:tr>
      <w:tr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09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Faire Weekend</w:t>
            </w:r>
          </w:p>
        </w:tc>
        <w:tc>
          <w:tcPr>
            <w:tcW w:type="dxa" w:w="1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Opus 5</w:t>
            </w:r>
          </w:p>
        </w:tc>
        <w:tc>
          <w:tcPr>
            <w:tcW w:type="dxa" w:w="4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Choosing persist vs persist-and-lock changes game difficulty and forces a shared-suite rewrite.</w:t>
            </w:r>
          </w:p>
        </w:tc>
      </w:tr>
      <w:tr>
        <w:tc>
          <w:tcPr>
            <w:tcW w:type="dxa" w:w="620"/>
            <w:shd w:fill="F5F7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500"/>
            <w:shd w:fill="F5F7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Torchbearer</w:t>
            </w:r>
          </w:p>
        </w:tc>
        <w:tc>
          <w:tcPr>
            <w:tcW w:type="dxa" w:w="1340"/>
            <w:shd w:fill="F5F7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Either, lean Opus</w:t>
            </w:r>
          </w:p>
        </w:tc>
        <w:tc>
          <w:tcPr>
            <w:tcW w:type="dxa" w:w="4900"/>
            <w:shd w:fill="F5F7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227 KB never examined, and checking the authoring guide against the parser field by field is the kind of drift audit that rewards care.</w:t>
            </w:r>
          </w:p>
        </w:tc>
      </w:tr>
      <w:tr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Absalom Inheritance</w:t>
            </w:r>
          </w:p>
        </w:tc>
        <w:tc>
          <w:tcPr>
            <w:tcW w:type="dxa" w:w="1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Either, lean Opus</w:t>
            </w:r>
          </w:p>
        </w:tc>
        <w:tc>
          <w:tcPr>
            <w:tcW w:type="dxa" w:w="4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Greenfield save design where the key is permanent from day one. Cheap to get right now, expensive later.</w:t>
            </w:r>
          </w:p>
        </w:tc>
      </w:tr>
      <w:tr>
        <w:tc>
          <w:tcPr>
            <w:tcW w:type="dxa" w:w="620"/>
            <w:shd w:fill="F5F7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500"/>
            <w:shd w:fill="F5F7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Coffee Shop Sim</w:t>
            </w:r>
          </w:p>
        </w:tc>
        <w:tc>
          <w:tcPr>
            <w:tcW w:type="dxa" w:w="1340"/>
            <w:shd w:fill="F5F7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Sonnet 5</w:t>
            </w:r>
          </w:p>
        </w:tc>
        <w:tc>
          <w:tcPr>
            <w:tcW w:type="dxa" w:w="4900"/>
            <w:shd w:fill="F5F7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Fonts plus module adoption with two close siblings as worked examples. Well-trodden path.</w:t>
            </w:r>
          </w:p>
        </w:tc>
      </w:tr>
      <w:tr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Daredevil</w:t>
            </w:r>
          </w:p>
        </w:tc>
        <w:tc>
          <w:tcPr>
            <w:tcW w:type="dxa" w:w="1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Opus 5</w:t>
            </w:r>
          </w:p>
        </w:tc>
        <w:tc>
          <w:tcPr>
            <w:tcW w:type="dxa" w:w="4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344 KB nobody has ever looked at, and the core task is separating prose from engine so a save can store a node id. Structural judgment.</w:t>
            </w:r>
          </w:p>
        </w:tc>
      </w:tr>
      <w:tr>
        <w:tc>
          <w:tcPr>
            <w:tcW w:type="dxa" w:w="620"/>
            <w:shd w:fill="F5F7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500"/>
            <w:shd w:fill="F5F7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Integer Foundry</w:t>
            </w:r>
          </w:p>
        </w:tc>
        <w:tc>
          <w:tcPr>
            <w:tcW w:type="dxa" w:w="1340"/>
            <w:shd w:fill="F5F7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Either, lean Opus</w:t>
            </w:r>
          </w:p>
        </w:tc>
        <w:tc>
          <w:tcPr>
            <w:tcW w:type="dxa" w:w="4900"/>
            <w:shd w:fill="F5F7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reachable-range math is bounded, but the fix has to guarantee solvability and produce precise removal instructions for play-games.mjs.</w:t>
            </w:r>
          </w:p>
        </w:tc>
      </w:tr>
      <w:tr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Fracture Cycle</w:t>
            </w:r>
          </w:p>
        </w:tc>
        <w:tc>
          <w:tcPr>
            <w:tcW w:type="dxa" w:w="1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Sonnet 5</w:t>
            </w:r>
          </w:p>
        </w:tc>
        <w:tc>
          <w:tcPr>
            <w:tcW w:type="dxa" w:w="4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675 lines, smallest game, task list is finishable.</w:t>
            </w:r>
          </w:p>
        </w:tc>
      </w:tr>
      <w:tr>
        <w:tc>
          <w:tcPr>
            <w:tcW w:type="dxa" w:w="620"/>
            <w:shd w:fill="F5F7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500"/>
            <w:shd w:fill="F5F7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Final Grade Checker</w:t>
            </w:r>
          </w:p>
        </w:tc>
        <w:tc>
          <w:tcPr>
            <w:tcW w:type="dxa" w:w="1340"/>
            <w:shd w:fill="F5F7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Opus 5</w:t>
            </w:r>
          </w:p>
        </w:tc>
        <w:tc>
          <w:tcPr>
            <w:tcW w:type="dxa" w:w="4900"/>
            <w:shd w:fill="F5F7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Real report cards. Dual-method-picks-higher and the 89.49999999999999 case are exactly where a plausible-looking answer is wrong.</w:t>
            </w:r>
          </w:p>
        </w:tc>
      </w:tr>
      <w:tr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Image to PDF</w:t>
            </w:r>
          </w:p>
        </w:tc>
        <w:tc>
          <w:tcPr>
            <w:tcW w:type="dxa" w:w="1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Sonnet 5</w:t>
            </w:r>
          </w:p>
        </w:tc>
        <w:tc>
          <w:tcPr>
            <w:tcW w:type="dxa" w:w="4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748 lines, vendor one library, verify by hand.</w:t>
            </w:r>
          </w:p>
        </w:tc>
      </w:tr>
      <w:tr>
        <w:tc>
          <w:tcPr>
            <w:tcW w:type="dxa" w:w="620"/>
            <w:shd w:fill="F5F7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2500"/>
            <w:shd w:fill="F5F7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Name Picker</w:t>
            </w:r>
          </w:p>
        </w:tc>
        <w:tc>
          <w:tcPr>
            <w:tcW w:type="dxa" w:w="1340"/>
            <w:shd w:fill="F5F7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Opus 5</w:t>
            </w:r>
          </w:p>
        </w:tc>
        <w:tc>
          <w:tcPr>
            <w:tcW w:type="dxa" w:w="4900"/>
            <w:shd w:fill="F5F7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Twelve keys, forty-six sites, FERPA, and the interesting work (grouping preferences vs data vs records without renaming keys) is design. Most likely thread to find a real module gap.</w:t>
            </w:r>
          </w:p>
        </w:tc>
      </w:tr>
      <w:tr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Schedule Visualizer</w:t>
            </w:r>
          </w:p>
        </w:tc>
        <w:tc>
          <w:tcPr>
            <w:tcW w:type="dxa" w:w="1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Opus 5</w:t>
            </w:r>
          </w:p>
        </w:tc>
        <w:tc>
          <w:tcPr>
            <w:tcW w:type="dxa" w:w="4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859 KB, a public file that may contain student names, and a URL-breaking decision. Highest stakes in the set.</w:t>
            </w:r>
          </w:p>
        </w:tc>
      </w:tr>
      <w:tr>
        <w:tc>
          <w:tcPr>
            <w:tcW w:type="dxa" w:w="620"/>
            <w:shd w:fill="F5F7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500"/>
            <w:shd w:fill="F5F7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Seating Chart</w:t>
            </w:r>
          </w:p>
        </w:tc>
        <w:tc>
          <w:tcPr>
            <w:tcW w:type="dxa" w:w="1340"/>
            <w:shd w:fill="F5F7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Either, lean Opus</w:t>
            </w:r>
          </w:p>
        </w:tc>
        <w:tc>
          <w:tcPr>
            <w:tcW w:type="dxa" w:w="4900"/>
            <w:shd w:fill="F5F7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Permanent multi-section slot shape plus the notes-field and FERPA tension.</w:t>
            </w:r>
          </w:p>
        </w:tc>
      </w:tr>
      <w:tr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General Site Improvements</w:t>
            </w:r>
          </w:p>
        </w:tc>
        <w:tc>
          <w:tcPr>
            <w:tcW w:type="dxa" w:w="1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Opus 5</w:t>
            </w:r>
          </w:p>
        </w:tc>
        <w:tc>
          <w:tcPr>
            <w:tcW w:type="dxa" w:w="4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Reconciling twenty threads’ requests, deciding which to refuse, and writing v8. Synthesis across everything.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sz w:val="21"/>
          <w:szCs w:val="21"/>
        </w:rPr>
        <w:t xml:space="preserve">Nine clear Opus, six clear Sonnet, six borderline. If you take the leans, it lands at 13 Opus and 8 Sonnet.</w:t>
      </w:r>
    </w:p>
    <w:p>
      <w:pPr>
        <w:pStyle w:val="Heading2"/>
        <w:spacing w:after="140" w:before="280"/>
      </w:pPr>
      <w:r>
        <w:rPr>
          <w:color w:val="2F4858"/>
        </w:rPr>
        <w:t xml:space="preserve">The rule I used</w:t>
      </w:r>
    </w:p>
    <w:p>
      <w:pPr>
        <w:spacing w:after="140"/>
      </w:pPr>
      <w:r>
        <w:rPr>
          <w:sz w:val="21"/>
          <w:szCs w:val="21"/>
        </w:rPr>
        <w:t xml:space="preserve">Opus where the deliverable is a judgment nobody has written down yet, or where a wrong answer is expensive and quiet. Sonnet where the prompt already contains the recipe and a worked example, and the work is verifiable by running something.</w:t>
      </w:r>
    </w:p>
    <w:p>
      <w:pPr>
        <w:spacing w:after="140"/>
      </w:pPr>
      <w:r>
        <w:rPr>
          <w:sz w:val="21"/>
          <w:szCs w:val="21"/>
        </w:rPr>
        <w:t xml:space="preserve">That is why 16 and 19 are Opus despite being ordinary-looking tools. A grade checker that reports the lower of two methods, and a public HTML file with student names in it, are the two findings in this batch that matter outside the repo.</w:t>
      </w:r>
    </w:p>
    <w:p>
      <w:pPr>
        <w:pStyle w:val="Heading2"/>
        <w:spacing w:after="140" w:before="280"/>
      </w:pPr>
      <w:r>
        <w:rPr>
          <w:color w:val="2F4858"/>
        </w:rPr>
        <w:t xml:space="preserve">Three things worth knowing before you launch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Prompt 21’s "23 notices" problem cuts differently by model. </w:t>
      </w:r>
      <w:r>
        <w:rPr>
          <w:sz w:val="21"/>
          <w:szCs w:val="21"/>
        </w:rPr>
        <w:t xml:space="preserve">The README already flags that deleting the Bestiary Gallery drops the board to 22. Every other prompt tells its thread to expect 23. A Sonnet thread that sees 22 is more likely to treat it as a regression and go hunting; an Opus thread is more likely to reason past it. If you run 21 first, favor Opus on the threads that follow, or paste a one-line correction into the Sonnet ones.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Prompt 21 is the one place model choice compounds. </w:t>
      </w:r>
      <w:r>
        <w:rPr>
          <w:sz w:val="21"/>
          <w:szCs w:val="21"/>
        </w:rPr>
        <w:t xml:space="preserve">It applies or refuses twenty threads’ shared-file requests. A request that silently vanishes leaves a project thread believing something shipped that did not, and that error propagates into v8 and then into next session’s assumptions.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The Sonnet six are also the six cheapest to re-run. </w:t>
      </w:r>
      <w:r>
        <w:rPr>
          <w:sz w:val="21"/>
          <w:szCs w:val="21"/>
        </w:rPr>
        <w:t xml:space="preserve">If one comes back thin, rerunning it on Opus costs you a session. Rerunning 19 or 21 costs a lot more, which is another argument for starting those on Opus.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2026-07-27T04:03:09.406Z</dcterms:created>
  <dcterms:modified xsi:type="dcterms:W3CDTF">2026-07-27T04:03:09.408Z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