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120" w:before="480"/>
        <w:jc w:val="center"/>
      </w:pPr>
      <w:r>
        <w:rPr>
          <w:rFonts w:ascii="Arial" w:cs="Arial" w:eastAsia="Arial" w:hAnsi="Arial"/>
          <w:b/>
          <w:bCs/>
          <w:color w:val="1F3864"/>
          <w:sz w:val="48"/>
          <w:szCs w:val="48"/>
        </w:rPr>
        <w:t xml:space="preserve">Abbott Database Services</w:t>
      </w:r>
    </w:p>
    <w:p>
      <w:pPr>
        <w:spacing w:after="120" w:before="0"/>
        <w:jc w:val="center"/>
      </w:pPr>
      <w:r>
        <w:rPr>
          <w:rFonts w:ascii="Arial" w:cs="Arial" w:eastAsia="Arial" w:hAnsi="Arial"/>
          <w:b/>
          <w:bCs/>
          <w:color w:val="2E75B6"/>
          <w:sz w:val="40"/>
          <w:szCs w:val="40"/>
        </w:rPr>
        <w:t xml:space="preserve">SQL Server 2025 Certification</w:t>
      </w:r>
    </w:p>
    <w:p>
      <w:pPr>
        <w:spacing w:after="480" w:before="0"/>
        <w:jc w:val="center"/>
      </w:pPr>
      <w:r>
        <w:rPr>
          <w:rFonts w:ascii="Arial" w:cs="Arial" w:eastAsia="Arial" w:hAnsi="Arial"/>
          <w:color w:val="1F3864"/>
          <w:sz w:val="32"/>
          <w:szCs w:val="32"/>
        </w:rPr>
        <w:t xml:space="preserve">Validation &amp; Test Plan</w:t>
      </w:r>
    </w:p>
    <w:p>
      <w:r>
        <w:t xml:space="preserve"/>
      </w:r>
    </w:p>
    <w:p>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April 2026</w:t>
            </w:r>
          </w:p>
        </w:tc>
      </w:tr>
      <w:tr>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Authors</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Chaz Trickey, Jon Kreft</w:t>
            </w:r>
          </w:p>
        </w:tc>
      </w:tr>
      <w:tr>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Approver</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Sonny Nguyen (DBA Manager)</w:t>
            </w:r>
          </w:p>
        </w:tc>
      </w:tr>
      <w:tr>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DRAFT - Testing In Progress</w:t>
            </w:r>
          </w:p>
        </w:tc>
      </w:tr>
      <w:tr>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Internal Use Only</w:t>
            </w:r>
          </w:p>
        </w:tc>
      </w:tr>
    </w:tbl>
    <w:p>
      <w:r>
        <w:t xml:space="preserve"/>
      </w:r>
    </w:p>
    <w:p>
      <w:pPr>
        <w:jc w:val="center"/>
      </w:pPr>
      <w:r>
        <w:rPr>
          <w:rFonts w:ascii="Arial" w:cs="Arial" w:eastAsia="Arial" w:hAnsi="Arial"/>
          <w:i/>
          <w:iCs/>
          <w:color w:val="666666"/>
          <w:sz w:val="16"/>
          <w:szCs w:val="16"/>
        </w:rPr>
        <w:t xml:space="preserve">This document is for internal use by the Abbott DBA team only. Not for external distribution without express written permission of the DBA Manager.</w:t>
      </w:r>
    </w:p>
    <w:p>
      <w:pPr>
        <w:pageBreakBefore/>
      </w:pPr>
      <w:r>
        <w:t xml:space="preserve"/>
      </w:r>
    </w:p>
    <w:p>
      <w:pPr>
        <w:pStyle w:val="Heading1"/>
        <w:shd w:fill="1F3864" w:val="clear"/>
        <w:spacing w:after="120" w:before="240"/>
      </w:pPr>
      <w:r>
        <w:rPr>
          <w:rFonts w:ascii="Arial" w:cs="Arial" w:eastAsia="Arial" w:hAnsi="Arial"/>
          <w:b/>
          <w:bCs/>
          <w:color w:val="FFFFFF"/>
          <w:sz w:val="28"/>
          <w:szCs w:val="28"/>
        </w:rPr>
        <w:t xml:space="preserve">1. Revision History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560"/>
        <w:gridCol w:w="4000"/>
      </w:tblGrid>
      <w:tr>
        <w:trPr>
          <w:tblHeader/>
        </w:trPr>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5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4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April 2026</w:t>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Chaz Trickey, Jon Kreft</w:t>
            </w:r>
          </w:p>
        </w:tc>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Initial draft - SQL Server 2025 test plan and validation framework</w:t>
            </w:r>
          </w:p>
        </w:tc>
      </w:tr>
    </w:tbl>
    <w:p>
      <w:r>
        <w:t xml:space="preserve"/>
      </w:r>
    </w:p>
    <w:p>
      <w:pPr>
        <w:pStyle w:val="Heading1"/>
        <w:shd w:fill="1F3864" w:val="clear"/>
        <w:spacing w:after="120" w:before="240"/>
      </w:pPr>
      <w:r>
        <w:rPr>
          <w:rFonts w:ascii="Arial" w:cs="Arial" w:eastAsia="Arial" w:hAnsi="Arial"/>
          <w:b/>
          <w:bCs/>
          <w:color w:val="FFFFFF"/>
          <w:sz w:val="28"/>
          <w:szCs w:val="28"/>
        </w:rPr>
        <w:t xml:space="preserve">2. Approvals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3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3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23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Chaz Trickey</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DBA</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Jon Kreft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DBA</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Sonny Nguyen</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DBA Manager</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r>
        <w:t xml:space="preserve"/>
      </w:r>
    </w:p>
    <w:p>
      <w:pPr>
        <w:pStyle w:val="Heading1"/>
        <w:shd w:fill="1F3864" w:val="clear"/>
        <w:spacing w:after="120" w:before="240"/>
      </w:pPr>
      <w:r>
        <w:rPr>
          <w:rFonts w:ascii="Arial" w:cs="Arial" w:eastAsia="Arial" w:hAnsi="Arial"/>
          <w:b/>
          <w:bCs/>
          <w:color w:val="FFFFFF"/>
          <w:sz w:val="28"/>
          <w:szCs w:val="28"/>
        </w:rPr>
        <w:t xml:space="preserve">3. Purpose</w:t>
      </w:r>
    </w:p>
    <w:p>
      <w:r>
        <w:rPr>
          <w:rFonts w:ascii="Arial" w:cs="Arial" w:eastAsia="Arial" w:hAnsi="Arial"/>
          <w:sz w:val="20"/>
          <w:szCs w:val="20"/>
        </w:rPr>
        <w:t xml:space="preserve">The purpose of this document is to summarize the results of the Abbott SQL Server DBA team's evaluation and certification of Microsoft SQL Server 2025. All test results and corrective actions will be documented in this report.</w:t>
      </w:r>
    </w:p>
    <w:p>
      <w:r>
        <w:t xml:space="preserve"/>
      </w:r>
    </w:p>
    <w:p>
      <w:pPr>
        <w:pStyle w:val="Heading1"/>
        <w:shd w:fill="1F3864" w:val="clear"/>
        <w:spacing w:after="120" w:before="240"/>
      </w:pPr>
      <w:r>
        <w:rPr>
          <w:rFonts w:ascii="Arial" w:cs="Arial" w:eastAsia="Arial" w:hAnsi="Arial"/>
          <w:b/>
          <w:bCs/>
          <w:color w:val="FFFFFF"/>
          <w:sz w:val="28"/>
          <w:szCs w:val="28"/>
        </w:rPr>
        <w:t xml:space="preserve">4. Intended Audience</w:t>
      </w:r>
    </w:p>
    <w:p>
      <w:r>
        <w:rPr>
          <w:rFonts w:ascii="Arial" w:cs="Arial" w:eastAsia="Arial" w:hAnsi="Arial"/>
          <w:sz w:val="20"/>
          <w:szCs w:val="20"/>
        </w:rPr>
        <w:t xml:space="preserve">This document is for internal use by Abbott database administrators only. This document is not to be distributed externally or reproduced without the express written permission of the DBA Manager.</w:t>
      </w:r>
    </w:p>
    <w:p>
      <w:r>
        <w:t xml:space="preserve"/>
      </w:r>
    </w:p>
    <w:p>
      <w:pPr>
        <w:pStyle w:val="Heading1"/>
        <w:shd w:fill="1F3864" w:val="clear"/>
        <w:spacing w:after="120" w:before="240"/>
      </w:pPr>
      <w:r>
        <w:rPr>
          <w:rFonts w:ascii="Arial" w:cs="Arial" w:eastAsia="Arial" w:hAnsi="Arial"/>
          <w:b/>
          <w:bCs/>
          <w:color w:val="FFFFFF"/>
          <w:sz w:val="28"/>
          <w:szCs w:val="28"/>
        </w:rPr>
        <w:t xml:space="preserve">5. Background</w:t>
      </w:r>
    </w:p>
    <w:p>
      <w:r>
        <w:rPr>
          <w:rFonts w:ascii="Arial" w:cs="Arial" w:eastAsia="Arial" w:hAnsi="Arial"/>
          <w:sz w:val="20"/>
          <w:szCs w:val="20"/>
        </w:rPr>
        <w:t xml:space="preserve">In 2025, Microsoft released SQL Server 2025, marketed as the AI-ready enterprise database. SQL Server 2025 introduces significant changes across AI capabilities, security, performance, availability, and developer tooling. This version represents the most substantial feature release since SQL Server 2019 introduced Accelerated Database Recovery.</w:t>
      </w:r>
    </w:p>
    <w:p>
      <w:r>
        <w:t xml:space="preserve"/>
      </w:r>
    </w:p>
    <w:p>
      <w:r>
        <w:rPr>
          <w:rFonts w:ascii="Arial" w:cs="Arial" w:eastAsia="Arial" w:hAnsi="Arial"/>
          <w:sz w:val="20"/>
          <w:szCs w:val="20"/>
        </w:rPr>
        <w:t xml:space="preserve">The Abbott DBA team began evaluating SQL Server 2025 in Q2 2026, reviewing new features and functionality, and performing compatibility testing of existing processes, scripts, and infrastructure. SQL Server 2025 was tested on [TBD - insert OS/CU version] in the Abbott lab environment.</w:t>
      </w:r>
    </w:p>
    <w:p>
      <w:r>
        <w:t xml:space="preserve"/>
      </w:r>
    </w:p>
    <w:p>
      <w:pPr>
        <w:pStyle w:val="Heading1"/>
        <w:shd w:fill="1F3864" w:val="clear"/>
        <w:spacing w:after="120" w:before="240"/>
      </w:pPr>
      <w:r>
        <w:rPr>
          <w:rFonts w:ascii="Arial" w:cs="Arial" w:eastAsia="Arial" w:hAnsi="Arial"/>
          <w:b/>
          <w:bCs/>
          <w:color w:val="FFFFFF"/>
          <w:sz w:val="28"/>
          <w:szCs w:val="28"/>
        </w:rPr>
        <w:t xml:space="preserve">6. Acceptance Criteria</w:t>
      </w:r>
    </w:p>
    <w:p>
      <w:r>
        <w:rPr>
          <w:rFonts w:ascii="Arial" w:cs="Arial" w:eastAsia="Arial" w:hAnsi="Arial"/>
          <w:sz w:val="20"/>
          <w:szCs w:val="20"/>
        </w:rPr>
        <w:t xml:space="preserve">During testing, all failures and their corrective actions must be documented before releasing this product to the production environment. All tests must be successful before Microsoft SQL Server 2025 can be made available to Abbott teams.</w:t>
      </w:r>
    </w:p>
    <w:p>
      <w:r>
        <w:t xml:space="preserve"/>
      </w:r>
    </w:p>
    <w:p>
      <w:pPr>
        <w:pStyle w:val="Heading1"/>
        <w:shd w:fill="1F3864" w:val="clear"/>
        <w:spacing w:after="120" w:before="240"/>
      </w:pPr>
      <w:r>
        <w:rPr>
          <w:rFonts w:ascii="Arial" w:cs="Arial" w:eastAsia="Arial" w:hAnsi="Arial"/>
          <w:b/>
          <w:bCs/>
          <w:color w:val="FFFFFF"/>
          <w:sz w:val="28"/>
          <w:szCs w:val="28"/>
        </w:rPr>
        <w:t xml:space="preserve">7. Testing Environment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rPr>
          <w:tblHeader w:val="false"/>
        </w:trP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Server Version</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Server 2025 [TBD - CU version]</w:t>
            </w:r>
          </w:p>
        </w:tc>
      </w:tr>
      <w:tr>
        <w:trPr>
          <w:tblHeader w:val="false"/>
        </w:trP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Operating System</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Windows Server [TBD]</w:t>
            </w:r>
          </w:p>
        </w:tc>
      </w:tr>
      <w:tr>
        <w:trPr>
          <w:tblHeader w:val="false"/>
        </w:trP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Server Count</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TBD</w:t>
            </w:r>
          </w:p>
        </w:tc>
      </w:tr>
      <w:tr>
        <w:trPr>
          <w:tblHeader w:val="false"/>
        </w:trP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Server Configuration</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TBD (e.g., Windows Server Failover Cluster)</w:t>
            </w:r>
          </w:p>
        </w:tc>
      </w:tr>
      <w:tr>
        <w:trPr>
          <w:tblHeader w:val="false"/>
        </w:trP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Availability</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TBD (e.g., AlwaysOn Availability Groups)</w:t>
            </w:r>
          </w:p>
        </w:tc>
      </w:tr>
      <w:tr>
        <w:trPr>
          <w:tblHeader w:val="false"/>
        </w:trP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Centers</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TBD</w:t>
            </w:r>
          </w:p>
        </w:tc>
      </w:tr>
      <w:tr>
        <w:trPr>
          <w:tblHeader w:val="false"/>
        </w:trP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AG Commit Mode</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TBD (e.g., Async/Sync)</w:t>
            </w:r>
          </w:p>
        </w:tc>
      </w:tr>
      <w:tr>
        <w:trPr>
          <w:tblHeader w:val="false"/>
        </w:trP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Edition</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Developer Edition (lab) / Enterprise Edition (production)</w:t>
            </w:r>
          </w:p>
        </w:tc>
      </w:tr>
    </w:tbl>
    <w:p>
      <w:r>
        <w:t xml:space="preserve"/>
      </w:r>
    </w:p>
    <w:p>
      <w:pPr>
        <w:pStyle w:val="Heading1"/>
        <w:shd w:fill="1F3864" w:val="clear"/>
        <w:spacing w:after="120" w:before="240"/>
      </w:pPr>
      <w:r>
        <w:rPr>
          <w:rFonts w:ascii="Arial" w:cs="Arial" w:eastAsia="Arial" w:hAnsi="Arial"/>
          <w:b/>
          <w:bCs/>
          <w:color w:val="FFFFFF"/>
          <w:sz w:val="28"/>
          <w:szCs w:val="28"/>
        </w:rPr>
        <w:t xml:space="preserve">8. SQL Server 2025 New Key Features / Changes</w:t>
      </w:r>
    </w:p>
    <w:p>
      <w:r>
        <w:rPr>
          <w:rFonts w:ascii="Arial" w:cs="Arial" w:eastAsia="Arial" w:hAnsi="Arial"/>
          <w:sz w:val="20"/>
          <w:szCs w:val="20"/>
        </w:rPr>
        <w:t xml:space="preserve">The following table summarizes the key new features and changes in SQL Server 2025 that were evaluated by the Abbott DBA team.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Feature</w:t>
            </w:r>
          </w:p>
        </w:tc>
        <w:tc>
          <w:tcPr>
            <w:tcW w:type="dxa" w:w="62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TDS 8.0 / TLS 1.3 as Default (Breaking Change)</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SQL Server 2025 defaults to Strict Encryption (TDS 8.0) with TLS 1.3. This is a breaking change that affects Linked Servers, Replication, and Log Shipping connections not configured with trusted certificates.</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PBKDF2 Password Hashing</w:t>
            </w:r>
          </w:p>
        </w:tc>
        <w:tc>
          <w:tcPr>
            <w:tcW w:type="dxa" w:w="62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SHA-based SQL login password hashing replaced with PBKDF2 (Password-Based Key Derivation Function 2), significantly hardening stored credentials against modern brute-force attacks.</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Native Vector Data Type and AI Capabilities</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Introduction of a native VECTOR data type, DiskANN vector indexing, and the AI_GENERATE_EMBEDDINGS function for retrieval-augmented generation (RAG) and semantic search directly in T-SQL.</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Native JSON Data Type</w:t>
            </w:r>
          </w:p>
        </w:tc>
        <w:tc>
          <w:tcPr>
            <w:tcW w:type="dxa" w:w="62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JSON is now stored as a binary format (up to 2GB per row) with a dedicated JSON index. Adds JSON_OBJECTAGG, JSON_ARRAYAGG, and JSON_CONTAINS functions.</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Optimized Locking</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New Transaction ID (TID) locking and lock-after-qualification (LAQ) reduce row/page lock overhead, improving concurrency for high-volume OLTP workloads.</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Secondary Replica Backups</w:t>
            </w:r>
          </w:p>
        </w:tc>
        <w:tc>
          <w:tcPr>
            <w:tcW w:type="dxa" w:w="62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Full and differential backups can now be taken on any secondary replica in an Always On AG (not restricted to copy-only). Enables offloading backup workload from the primary.</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Distributed Contained Availability Group</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Combines Distributed AG with Contained AG functionality. Logins, SQL Agent jobs, and system objects are automatically synchronized across separate clusters.</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Microsoft Entra ID Integration</w:t>
            </w:r>
          </w:p>
        </w:tc>
        <w:tc>
          <w:tcPr>
            <w:tcW w:type="dxa" w:w="62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Native integration with Microsoft Entra ID (formerly Azure AD) for SQL logins, supporting MFA, RBAC, managed identity, and conditional-access policies.</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Query Store Enhancements</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Query Store now active on readable secondaries. New capabilities include Optional Parameter Plan Optimization (OPPO), DOP feedback, and cardinality estimation feedback.</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T-SQL Enhancements (RegEx, JSON functions)</w:t>
            </w:r>
          </w:p>
        </w:tc>
        <w:tc>
          <w:tcPr>
            <w:tcW w:type="dxa" w:w="62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New native Regular Expression (RegEx) support in T-SQL, enhanced JSON aggregate functions, and improvements to existing scalar functions.</w:t>
            </w:r>
          </w:p>
        </w:tc>
      </w:tr>
    </w:tbl>
    <w:p>
      <w:r>
        <w:t xml:space="preserve"/>
      </w:r>
    </w:p>
    <w:p>
      <w:pPr>
        <w:pStyle w:val="Heading1"/>
        <w:shd w:fill="1F3864" w:val="clear"/>
        <w:spacing w:after="120" w:before="240"/>
      </w:pPr>
      <w:r>
        <w:rPr>
          <w:rFonts w:ascii="Arial" w:cs="Arial" w:eastAsia="Arial" w:hAnsi="Arial"/>
          <w:b/>
          <w:bCs/>
          <w:color w:val="FFFFFF"/>
          <w:sz w:val="28"/>
          <w:szCs w:val="28"/>
        </w:rPr>
        <w:t xml:space="preserve">9. Key Feature Test Results</w:t>
      </w:r>
    </w:p>
    <w:p>
      <w:r>
        <w:t xml:space="preserve"/>
      </w:r>
    </w:p>
    <w:p>
      <w:pPr>
        <w:pStyle w:val="Heading3"/>
        <w:pBdr>
          <w:bottom w:val="single" w:color="2E75B6" w:sz="4" w:space="1"/>
        </w:pBdr>
        <w:spacing w:after="80" w:before="160"/>
      </w:pPr>
      <w:r>
        <w:rPr>
          <w:rFonts w:ascii="Arial" w:cs="Arial" w:eastAsia="Arial" w:hAnsi="Arial"/>
          <w:b/>
          <w:bCs/>
          <w:color w:val="2E75B6"/>
          <w:sz w:val="22"/>
          <w:szCs w:val="22"/>
        </w:rPr>
        <w:t xml:space="preserve">9.1. TDS 8.0 / TLS 1.3 Strict Encryption as Default (Breaking Change)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9.1. TDS 8.0 / TLS 1.3 Strict Encryption as Default (Breaking Change)</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SQL Server 2025 defaults to Strict Encryption (TDS 8.0) with TLS 1.3. Unlike previous versions where encryption was optional, TDS 8.0 enforces that the server certificate is trusted by the client before the connection is allowed. This is a significant breaking change: any Linked Servers, Replication Distributors, Log Shipping, and client connections not configured with trusted certificates will fail to connect. Additionally, SQL Server 2025 extends TLS 1.3 support across Replication, AlwaysOn AG communication, Log Shipping, and Linked Servers.</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All connections use TDS 8.0 / TLS 1.3. No legacy plaintext or self-signed cert connections succeed without remediation. All Linked Servers, AG replicas, and replication connections verified working.</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Notes / Findings</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TBD - Record any Linked Servers, applications, or services that required remediation. Note corrective actions taken (certificate installs, connection string changes, provider upgrades).</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Test Status</w:t>
            </w:r>
          </w:p>
        </w:tc>
        <w:tc>
          <w:tcPr>
            <w:tcW w:type="dxa" w:w="7360"/>
            <w:tcBorders>
              <w:top w:val="single" w:color="AAAAAA" w:sz="4"/>
              <w:left w:val="single" w:color="AAAAAA" w:sz="4"/>
              <w:bottom w:val="single" w:color="AAAAAA" w:sz="4"/>
              <w:right w:val="single" w:color="AAAAAA" w:sz="4"/>
            </w:tcBorders>
            <w:shd w:fill="FFEB9C" w:val="clear"/>
            <w:tcMar>
              <w:top w:type="dxa" w:w="80"/>
              <w:left w:type="dxa" w:w="120"/>
              <w:bottom w:type="dxa" w:w="80"/>
              <w:right w:type="dxa" w:w="120"/>
            </w:tcMar>
          </w:tcPr>
          <w:p>
            <w:r>
              <w:rPr>
                <w:rFonts w:ascii="Arial" w:cs="Arial" w:eastAsia="Arial" w:hAnsi="Arial"/>
                <w:b/>
                <w:bCs/>
                <w:color w:val="7F6000"/>
                <w:sz w:val="20"/>
                <w:szCs w:val="20"/>
              </w:rPr>
              <w:t xml:space="preserve">PENDING</w:t>
            </w:r>
          </w:p>
        </w:tc>
      </w:tr>
    </w:tbl>
    <w:p>
      <w:r>
        <w:t xml:space="preserve"/>
      </w:r>
    </w:p>
    <w:p>
      <w:r>
        <w:rPr>
          <w:rFonts w:ascii="Arial" w:cs="Arial" w:eastAsia="Arial" w:hAnsi="Arial"/>
          <w:b/>
          <w:bCs/>
          <w:sz w:val="20"/>
          <w:szCs w:val="20"/>
        </w:rPr>
        <w:t xml:space="preserve">Test Steps:</w:t>
      </w:r>
    </w:p>
    <w:p>
      <w:pPr>
        <w:pStyle w:val="ListParagraph"/>
        <w:numPr>
          <w:ilvl w:val="0"/>
          <w:numId w:val="2"/>
        </w:numPr>
      </w:pPr>
      <w:r>
        <w:rPr>
          <w:rFonts w:ascii="Arial" w:cs="Arial" w:eastAsia="Arial" w:hAnsi="Arial"/>
          <w:sz w:val="20"/>
          <w:szCs w:val="20"/>
        </w:rPr>
        <w:t xml:space="preserve">Verify SQL Server 2025 instance encryption setting defaults to 'Strict' (TDS 8.0) post-installation.</w:t>
      </w:r>
    </w:p>
    <w:p>
      <w:pPr>
        <w:pStyle w:val="ListParagraph"/>
        <w:numPr>
          <w:ilvl w:val="0"/>
          <w:numId w:val="2"/>
        </w:numPr>
      </w:pPr>
      <w:r>
        <w:rPr>
          <w:rFonts w:ascii="Arial" w:cs="Arial" w:eastAsia="Arial" w:hAnsi="Arial"/>
          <w:sz w:val="20"/>
          <w:szCs w:val="20"/>
        </w:rPr>
        <w:t xml:space="preserve">Attempt connection from a SQL client without a trusted certificate; confirm connection is refused.</w:t>
      </w:r>
    </w:p>
    <w:p>
      <w:pPr>
        <w:pStyle w:val="ListParagraph"/>
        <w:numPr>
          <w:ilvl w:val="0"/>
          <w:numId w:val="2"/>
        </w:numPr>
      </w:pPr>
      <w:r>
        <w:rPr>
          <w:rFonts w:ascii="Arial" w:cs="Arial" w:eastAsia="Arial" w:hAnsi="Arial"/>
          <w:sz w:val="20"/>
          <w:szCs w:val="20"/>
        </w:rPr>
        <w:t xml:space="preserve">Install a trusted certificate on the SQL Server 2025 instance (trusted by the domain CA or a valid commercial cert).</w:t>
      </w:r>
    </w:p>
    <w:p>
      <w:pPr>
        <w:pStyle w:val="ListParagraph"/>
        <w:numPr>
          <w:ilvl w:val="0"/>
          <w:numId w:val="2"/>
        </w:numPr>
      </w:pPr>
      <w:r>
        <w:rPr>
          <w:rFonts w:ascii="Arial" w:cs="Arial" w:eastAsia="Arial" w:hAnsi="Arial"/>
          <w:sz w:val="20"/>
          <w:szCs w:val="20"/>
        </w:rPr>
        <w:t xml:space="preserve">Verify all existing Linked Server connections function correctly. Identify and remediate any Linked Server using providers that do not support TLS 1.3.</w:t>
      </w:r>
    </w:p>
    <w:p>
      <w:pPr>
        <w:pStyle w:val="ListParagraph"/>
        <w:numPr>
          <w:ilvl w:val="0"/>
          <w:numId w:val="2"/>
        </w:numPr>
      </w:pPr>
      <w:r>
        <w:rPr>
          <w:rFonts w:ascii="Arial" w:cs="Arial" w:eastAsia="Arial" w:hAnsi="Arial"/>
          <w:sz w:val="20"/>
          <w:szCs w:val="20"/>
        </w:rPr>
        <w:t xml:space="preserve">Verify Replication Distributor connections to SQL 2025 subscribers/publishers work without error.</w:t>
      </w:r>
    </w:p>
    <w:p>
      <w:pPr>
        <w:pStyle w:val="ListParagraph"/>
        <w:numPr>
          <w:ilvl w:val="0"/>
          <w:numId w:val="2"/>
        </w:numPr>
      </w:pPr>
      <w:r>
        <w:rPr>
          <w:rFonts w:ascii="Arial" w:cs="Arial" w:eastAsia="Arial" w:hAnsi="Arial"/>
          <w:sz w:val="20"/>
          <w:szCs w:val="20"/>
        </w:rPr>
        <w:t xml:space="preserve">Verify AlwaysOn AG health after enabling TLS 1.3 on all AG replica endpoints.</w:t>
      </w:r>
    </w:p>
    <w:p>
      <w:pPr>
        <w:pStyle w:val="ListParagraph"/>
        <w:numPr>
          <w:ilvl w:val="0"/>
          <w:numId w:val="2"/>
        </w:numPr>
      </w:pPr>
      <w:r>
        <w:rPr>
          <w:rFonts w:ascii="Arial" w:cs="Arial" w:eastAsia="Arial" w:hAnsi="Arial"/>
          <w:sz w:val="20"/>
          <w:szCs w:val="20"/>
        </w:rPr>
        <w:t xml:space="preserve">Verify Log Shipping monitor and backup/copy/restore jobs complete without SSL errors.</w:t>
      </w:r>
    </w:p>
    <w:p>
      <w:pPr>
        <w:pStyle w:val="ListParagraph"/>
        <w:numPr>
          <w:ilvl w:val="0"/>
          <w:numId w:val="2"/>
        </w:numPr>
      </w:pPr>
      <w:r>
        <w:rPr>
          <w:rFonts w:ascii="Arial" w:cs="Arial" w:eastAsia="Arial" w:hAnsi="Arial"/>
          <w:sz w:val="20"/>
          <w:szCs w:val="20"/>
        </w:rPr>
        <w:t xml:space="preserve">Test legacy ODBC and OLEDB application connections; update connection strings where ForceEncryption=Yes is required.</w:t>
      </w:r>
    </w:p>
    <w:p>
      <w:pPr>
        <w:pStyle w:val="ListParagraph"/>
        <w:numPr>
          <w:ilvl w:val="0"/>
          <w:numId w:val="2"/>
        </w:numPr>
      </w:pPr>
      <w:r>
        <w:rPr>
          <w:rFonts w:ascii="Arial" w:cs="Arial" w:eastAsia="Arial" w:hAnsi="Arial"/>
          <w:sz w:val="20"/>
          <w:szCs w:val="20"/>
        </w:rPr>
        <w:t xml:space="preserve">Document all applications or services requiring certificate updates or connection string changes.</w:t>
      </w:r>
    </w:p>
    <w:p>
      <w:r>
        <w:t xml:space="preserve"/>
      </w:r>
    </w:p>
    <w:p>
      <w:pPr>
        <w:pStyle w:val="Heading3"/>
        <w:pBdr>
          <w:bottom w:val="single" w:color="2E75B6" w:sz="4" w:space="1"/>
        </w:pBdr>
        <w:spacing w:after="80" w:before="160"/>
      </w:pPr>
      <w:r>
        <w:rPr>
          <w:rFonts w:ascii="Arial" w:cs="Arial" w:eastAsia="Arial" w:hAnsi="Arial"/>
          <w:b/>
          <w:bCs/>
          <w:color w:val="2E75B6"/>
          <w:sz w:val="22"/>
          <w:szCs w:val="22"/>
        </w:rPr>
        <w:t xml:space="preserve">9.2. PBKDF2 Password Hashing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9.2. PBKDF2 Password Hashing</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SQL Server 2025 replaces the legacy SHA-based password hashing scheme for SQL logins with PBKDF2 (Password-Based Key Derivation Function 2). PBKDF2 applies thousands of iterations of hashing, making it significantly harder for attackers to crack stolen password hashes using GPU-accelerated brute force. Existing SQL logins will have their hashes upgraded automatically on the next successful login. SQL logins that never authenticate will retain the legacy hash until they next log in.</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All SQL logins authenticate successfully. New and updated logins use PBKDF2 hashing. No application connectivity issues due to authentication changes.</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Notes / Findings</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TBD - Note any logins that failed to authenticate or required manual password resets. Document any application connection string updates required.</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Test Status</w:t>
            </w:r>
          </w:p>
        </w:tc>
        <w:tc>
          <w:tcPr>
            <w:tcW w:type="dxa" w:w="7360"/>
            <w:tcBorders>
              <w:top w:val="single" w:color="AAAAAA" w:sz="4"/>
              <w:left w:val="single" w:color="AAAAAA" w:sz="4"/>
              <w:bottom w:val="single" w:color="AAAAAA" w:sz="4"/>
              <w:right w:val="single" w:color="AAAAAA" w:sz="4"/>
            </w:tcBorders>
            <w:shd w:fill="FFEB9C" w:val="clear"/>
            <w:tcMar>
              <w:top w:type="dxa" w:w="80"/>
              <w:left w:type="dxa" w:w="120"/>
              <w:bottom w:type="dxa" w:w="80"/>
              <w:right w:type="dxa" w:w="120"/>
            </w:tcMar>
          </w:tcPr>
          <w:p>
            <w:r>
              <w:rPr>
                <w:rFonts w:ascii="Arial" w:cs="Arial" w:eastAsia="Arial" w:hAnsi="Arial"/>
                <w:b/>
                <w:bCs/>
                <w:color w:val="7F6000"/>
                <w:sz w:val="20"/>
                <w:szCs w:val="20"/>
              </w:rPr>
              <w:t xml:space="preserve">PENDING</w:t>
            </w:r>
          </w:p>
        </w:tc>
      </w:tr>
    </w:tbl>
    <w:p>
      <w:r>
        <w:t xml:space="preserve"/>
      </w:r>
    </w:p>
    <w:p>
      <w:r>
        <w:rPr>
          <w:rFonts w:ascii="Arial" w:cs="Arial" w:eastAsia="Arial" w:hAnsi="Arial"/>
          <w:b/>
          <w:bCs/>
          <w:sz w:val="20"/>
          <w:szCs w:val="20"/>
        </w:rPr>
        <w:t xml:space="preserve">Test Steps:</w:t>
      </w:r>
    </w:p>
    <w:p>
      <w:pPr>
        <w:pStyle w:val="ListParagraph"/>
        <w:numPr>
          <w:ilvl w:val="0"/>
          <w:numId w:val="2"/>
        </w:numPr>
      </w:pPr>
      <w:r>
        <w:rPr>
          <w:rFonts w:ascii="Arial" w:cs="Arial" w:eastAsia="Arial" w:hAnsi="Arial"/>
          <w:sz w:val="20"/>
          <w:szCs w:val="20"/>
        </w:rPr>
        <w:t xml:space="preserve">Create a new SQL login on a SQL Server 2025 instance and verify the password hash is stored using PBKDF2 format (via sys.sql_logins or DMV inspection).</w:t>
      </w:r>
    </w:p>
    <w:p>
      <w:pPr>
        <w:pStyle w:val="ListParagraph"/>
        <w:numPr>
          <w:ilvl w:val="0"/>
          <w:numId w:val="2"/>
        </w:numPr>
      </w:pPr>
      <w:r>
        <w:rPr>
          <w:rFonts w:ascii="Arial" w:cs="Arial" w:eastAsia="Arial" w:hAnsi="Arial"/>
          <w:sz w:val="20"/>
          <w:szCs w:val="20"/>
        </w:rPr>
        <w:t xml:space="preserve">Log in as an existing SQL login migrated from SQL Server 2022; verify the hash is automatically upgraded to PBKDF2 on first successful login.</w:t>
      </w:r>
    </w:p>
    <w:p>
      <w:pPr>
        <w:pStyle w:val="ListParagraph"/>
        <w:numPr>
          <w:ilvl w:val="0"/>
          <w:numId w:val="2"/>
        </w:numPr>
      </w:pPr>
      <w:r>
        <w:rPr>
          <w:rFonts w:ascii="Arial" w:cs="Arial" w:eastAsia="Arial" w:hAnsi="Arial"/>
          <w:sz w:val="20"/>
          <w:szCs w:val="20"/>
        </w:rPr>
        <w:t xml:space="preserve">Verify that applications using SQL authentication continue to connect without modification.</w:t>
      </w:r>
    </w:p>
    <w:p>
      <w:pPr>
        <w:pStyle w:val="ListParagraph"/>
        <w:numPr>
          <w:ilvl w:val="0"/>
          <w:numId w:val="2"/>
        </w:numPr>
      </w:pPr>
      <w:r>
        <w:rPr>
          <w:rFonts w:ascii="Arial" w:cs="Arial" w:eastAsia="Arial" w:hAnsi="Arial"/>
          <w:sz w:val="20"/>
          <w:szCs w:val="20"/>
        </w:rPr>
        <w:t xml:space="preserve">Review all SQL login-based service accounts used by Abbott applications and confirm they authenticate successfully post-upgrade.</w:t>
      </w:r>
    </w:p>
    <w:p>
      <w:pPr>
        <w:pStyle w:val="ListParagraph"/>
        <w:numPr>
          <w:ilvl w:val="0"/>
          <w:numId w:val="2"/>
        </w:numPr>
      </w:pPr>
      <w:r>
        <w:rPr>
          <w:rFonts w:ascii="Arial" w:cs="Arial" w:eastAsia="Arial" w:hAnsi="Arial"/>
          <w:sz w:val="20"/>
          <w:szCs w:val="20"/>
        </w:rPr>
        <w:t xml:space="preserve">Test password reset procedures to ensure PBKDF2 hashing applies to updated passwords.</w:t>
      </w:r>
    </w:p>
    <w:p>
      <w:pPr>
        <w:pStyle w:val="ListParagraph"/>
        <w:numPr>
          <w:ilvl w:val="0"/>
          <w:numId w:val="2"/>
        </w:numPr>
      </w:pPr>
      <w:r>
        <w:rPr>
          <w:rFonts w:ascii="Arial" w:cs="Arial" w:eastAsia="Arial" w:hAnsi="Arial"/>
          <w:sz w:val="20"/>
          <w:szCs w:val="20"/>
        </w:rPr>
        <w:t xml:space="preserve">Verify that any login auditing or SIEM integrations still capture login events correctly.</w:t>
      </w:r>
    </w:p>
    <w:p>
      <w:r>
        <w:t xml:space="preserve"/>
      </w:r>
    </w:p>
    <w:p>
      <w:pPr>
        <w:pStyle w:val="Heading3"/>
        <w:pBdr>
          <w:bottom w:val="single" w:color="2E75B6" w:sz="4" w:space="1"/>
        </w:pBdr>
        <w:spacing w:after="80" w:before="160"/>
      </w:pPr>
      <w:r>
        <w:rPr>
          <w:rFonts w:ascii="Arial" w:cs="Arial" w:eastAsia="Arial" w:hAnsi="Arial"/>
          <w:b/>
          <w:bCs/>
          <w:color w:val="2E75B6"/>
          <w:sz w:val="22"/>
          <w:szCs w:val="22"/>
        </w:rPr>
        <w:t xml:space="preserve">9.3. Native Vector Data Type and AI Capabilities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9.3. Native Vector Data Type and AI Capabilities</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SQL Server 2025 introduces a native VECTOR data type for storing AI embeddings directly in the database. This enables semantic search, retrieval-augmented generation (RAG), and similarity search without requiring external vector databases. Key additions include: VECTOR data type (stored as single-precision floats), DiskANN vector indexing for fast approximate nearest-neighbor (ANN) search, the AI_GENERATE_EMBEDDINGS() function to generate embeddings from text using Azure OpenAI or other configured models, and VECTOR_DISTANCE() for similarity comparisons. These features require the PREVIEW_FEATURES configuration to be enabled for some capabilities.</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VECTOR data type and DiskANN index creation succeed. Similarity search queries return correct results. No conflicts with existing schema objects.</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Notes / Findings</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TBD - Note: AI_GENERATE_EMBEDDINGS testing may be deferred pending Azure OpenAI connectivity approval. Document storage overhead observations.</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Test Status</w:t>
            </w:r>
          </w:p>
        </w:tc>
        <w:tc>
          <w:tcPr>
            <w:tcW w:type="dxa" w:w="7360"/>
            <w:tcBorders>
              <w:top w:val="single" w:color="AAAAAA" w:sz="4"/>
              <w:left w:val="single" w:color="AAAAAA" w:sz="4"/>
              <w:bottom w:val="single" w:color="AAAAAA" w:sz="4"/>
              <w:right w:val="single" w:color="AAAAAA" w:sz="4"/>
            </w:tcBorders>
            <w:shd w:fill="FFEB9C" w:val="clear"/>
            <w:tcMar>
              <w:top w:type="dxa" w:w="80"/>
              <w:left w:type="dxa" w:w="120"/>
              <w:bottom w:type="dxa" w:w="80"/>
              <w:right w:type="dxa" w:w="120"/>
            </w:tcMar>
          </w:tcPr>
          <w:p>
            <w:r>
              <w:rPr>
                <w:rFonts w:ascii="Arial" w:cs="Arial" w:eastAsia="Arial" w:hAnsi="Arial"/>
                <w:b/>
                <w:bCs/>
                <w:color w:val="7F6000"/>
                <w:sz w:val="20"/>
                <w:szCs w:val="20"/>
              </w:rPr>
              <w:t xml:space="preserve">PENDING</w:t>
            </w:r>
          </w:p>
        </w:tc>
      </w:tr>
    </w:tbl>
    <w:p>
      <w:r>
        <w:t xml:space="preserve"/>
      </w:r>
    </w:p>
    <w:p>
      <w:r>
        <w:rPr>
          <w:rFonts w:ascii="Arial" w:cs="Arial" w:eastAsia="Arial" w:hAnsi="Arial"/>
          <w:b/>
          <w:bCs/>
          <w:sz w:val="20"/>
          <w:szCs w:val="20"/>
        </w:rPr>
        <w:t xml:space="preserve">Test Steps:</w:t>
      </w:r>
    </w:p>
    <w:p>
      <w:pPr>
        <w:pStyle w:val="ListParagraph"/>
        <w:numPr>
          <w:ilvl w:val="0"/>
          <w:numId w:val="2"/>
        </w:numPr>
      </w:pPr>
      <w:r>
        <w:rPr>
          <w:rFonts w:ascii="Arial" w:cs="Arial" w:eastAsia="Arial" w:hAnsi="Arial"/>
          <w:sz w:val="20"/>
          <w:szCs w:val="20"/>
        </w:rPr>
        <w:t xml:space="preserve">Enable PREVIEW_FEATURES on the SQL 2025 test instance if required for vector index functionality.</w:t>
      </w:r>
    </w:p>
    <w:p>
      <w:pPr>
        <w:pStyle w:val="ListParagraph"/>
        <w:numPr>
          <w:ilvl w:val="0"/>
          <w:numId w:val="2"/>
        </w:numPr>
      </w:pPr>
      <w:r>
        <w:rPr>
          <w:rFonts w:ascii="Arial" w:cs="Arial" w:eastAsia="Arial" w:hAnsi="Arial"/>
          <w:sz w:val="20"/>
          <w:szCs w:val="20"/>
        </w:rPr>
        <w:t xml:space="preserve">Create a test table with a VECTOR column and insert sample embedding data.</w:t>
      </w:r>
    </w:p>
    <w:p>
      <w:pPr>
        <w:pStyle w:val="ListParagraph"/>
        <w:numPr>
          <w:ilvl w:val="0"/>
          <w:numId w:val="2"/>
        </w:numPr>
      </w:pPr>
      <w:r>
        <w:rPr>
          <w:rFonts w:ascii="Arial" w:cs="Arial" w:eastAsia="Arial" w:hAnsi="Arial"/>
          <w:sz w:val="20"/>
          <w:szCs w:val="20"/>
        </w:rPr>
        <w:t xml:space="preserve">Create a DiskANN vector index on the VECTOR column and verify creation completes without error.</w:t>
      </w:r>
    </w:p>
    <w:p>
      <w:pPr>
        <w:pStyle w:val="ListParagraph"/>
        <w:numPr>
          <w:ilvl w:val="0"/>
          <w:numId w:val="2"/>
        </w:numPr>
      </w:pPr>
      <w:r>
        <w:rPr>
          <w:rFonts w:ascii="Arial" w:cs="Arial" w:eastAsia="Arial" w:hAnsi="Arial"/>
          <w:sz w:val="20"/>
          <w:szCs w:val="20"/>
        </w:rPr>
        <w:t xml:space="preserve">Execute a VECTOR_DISTANCE() query to perform a similarity search and verify results are returned in expected order.</w:t>
      </w:r>
    </w:p>
    <w:p>
      <w:pPr>
        <w:pStyle w:val="ListParagraph"/>
        <w:numPr>
          <w:ilvl w:val="0"/>
          <w:numId w:val="2"/>
        </w:numPr>
      </w:pPr>
      <w:r>
        <w:rPr>
          <w:rFonts w:ascii="Arial" w:cs="Arial" w:eastAsia="Arial" w:hAnsi="Arial"/>
          <w:sz w:val="20"/>
          <w:szCs w:val="20"/>
        </w:rPr>
        <w:t xml:space="preserve">Test AI_GENERATE_EMBEDDINGS() if an Azure OpenAI endpoint or local ONNX model is available; otherwise, document as out-of-scope for initial validation.</w:t>
      </w:r>
    </w:p>
    <w:p>
      <w:pPr>
        <w:pStyle w:val="ListParagraph"/>
        <w:numPr>
          <w:ilvl w:val="0"/>
          <w:numId w:val="2"/>
        </w:numPr>
      </w:pPr>
      <w:r>
        <w:rPr>
          <w:rFonts w:ascii="Arial" w:cs="Arial" w:eastAsia="Arial" w:hAnsi="Arial"/>
          <w:sz w:val="20"/>
          <w:szCs w:val="20"/>
        </w:rPr>
        <w:t xml:space="preserve">Verify that existing queries and stored procedures are not affected by the addition of the VECTOR data type keyword.</w:t>
      </w:r>
    </w:p>
    <w:p>
      <w:pPr>
        <w:pStyle w:val="ListParagraph"/>
        <w:numPr>
          <w:ilvl w:val="0"/>
          <w:numId w:val="2"/>
        </w:numPr>
      </w:pPr>
      <w:r>
        <w:rPr>
          <w:rFonts w:ascii="Arial" w:cs="Arial" w:eastAsia="Arial" w:hAnsi="Arial"/>
          <w:sz w:val="20"/>
          <w:szCs w:val="20"/>
        </w:rPr>
        <w:t xml:space="preserve">Review storage impact of VECTOR columns in production-sized tables and document findings.</w:t>
      </w:r>
    </w:p>
    <w:p>
      <w:pPr>
        <w:pStyle w:val="ListParagraph"/>
        <w:numPr>
          <w:ilvl w:val="0"/>
          <w:numId w:val="2"/>
        </w:numPr>
      </w:pPr>
      <w:r>
        <w:rPr>
          <w:rFonts w:ascii="Arial" w:cs="Arial" w:eastAsia="Arial" w:hAnsi="Arial"/>
          <w:sz w:val="20"/>
          <w:szCs w:val="20"/>
        </w:rPr>
        <w:t xml:space="preserve">Confirm Query Store captures vector-related query plans.</w:t>
      </w:r>
    </w:p>
    <w:p>
      <w:r>
        <w:t xml:space="preserve"/>
      </w:r>
    </w:p>
    <w:p>
      <w:pPr>
        <w:pStyle w:val="Heading3"/>
        <w:pBdr>
          <w:bottom w:val="single" w:color="2E75B6" w:sz="4" w:space="1"/>
        </w:pBdr>
        <w:spacing w:after="80" w:before="160"/>
      </w:pPr>
      <w:r>
        <w:rPr>
          <w:rFonts w:ascii="Arial" w:cs="Arial" w:eastAsia="Arial" w:hAnsi="Arial"/>
          <w:b/>
          <w:bCs/>
          <w:color w:val="2E75B6"/>
          <w:sz w:val="22"/>
          <w:szCs w:val="22"/>
        </w:rPr>
        <w:t xml:space="preserve">9.4. Native JSON Data Type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9.4. Native JSON Data Type</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Prior to SQL Server 2025, JSON was stored as NVARCHAR with no dedicated storage optimization. SQL Server 2025 introduces a native JSON binary format (up to 2GB per row), a JSON index type for accelerating JSON path queries, and new aggregate functions: JSON_OBJECTAGG() and JSON_ARRAYAGG(). The JSON_CONTAINS() function enables containment checks. Applications using FOR JSON and OPENJSON() continue to work as before; the new data type is opt-in.</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Native JSON columns created and indexed successfully. New JSON functions return correct results. Existing JSON-based queries and applications unaffected.</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Notes / Findings</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TBD - Document any compatibility level changes required. Note storage size comparisons between native JSON and NVARCHAR storage for the same data.</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Test Status</w:t>
            </w:r>
          </w:p>
        </w:tc>
        <w:tc>
          <w:tcPr>
            <w:tcW w:type="dxa" w:w="7360"/>
            <w:tcBorders>
              <w:top w:val="single" w:color="AAAAAA" w:sz="4"/>
              <w:left w:val="single" w:color="AAAAAA" w:sz="4"/>
              <w:bottom w:val="single" w:color="AAAAAA" w:sz="4"/>
              <w:right w:val="single" w:color="AAAAAA" w:sz="4"/>
            </w:tcBorders>
            <w:shd w:fill="FFEB9C" w:val="clear"/>
            <w:tcMar>
              <w:top w:type="dxa" w:w="80"/>
              <w:left w:type="dxa" w:w="120"/>
              <w:bottom w:type="dxa" w:w="80"/>
              <w:right w:type="dxa" w:w="120"/>
            </w:tcMar>
          </w:tcPr>
          <w:p>
            <w:r>
              <w:rPr>
                <w:rFonts w:ascii="Arial" w:cs="Arial" w:eastAsia="Arial" w:hAnsi="Arial"/>
                <w:b/>
                <w:bCs/>
                <w:color w:val="7F6000"/>
                <w:sz w:val="20"/>
                <w:szCs w:val="20"/>
              </w:rPr>
              <w:t xml:space="preserve">PENDING</w:t>
            </w:r>
          </w:p>
        </w:tc>
      </w:tr>
    </w:tbl>
    <w:p>
      <w:r>
        <w:t xml:space="preserve"/>
      </w:r>
    </w:p>
    <w:p>
      <w:r>
        <w:rPr>
          <w:rFonts w:ascii="Arial" w:cs="Arial" w:eastAsia="Arial" w:hAnsi="Arial"/>
          <w:b/>
          <w:bCs/>
          <w:sz w:val="20"/>
          <w:szCs w:val="20"/>
        </w:rPr>
        <w:t xml:space="preserve">Test Steps:</w:t>
      </w:r>
    </w:p>
    <w:p>
      <w:pPr>
        <w:pStyle w:val="ListParagraph"/>
        <w:numPr>
          <w:ilvl w:val="0"/>
          <w:numId w:val="2"/>
        </w:numPr>
      </w:pPr>
      <w:r>
        <w:rPr>
          <w:rFonts w:ascii="Arial" w:cs="Arial" w:eastAsia="Arial" w:hAnsi="Arial"/>
          <w:sz w:val="20"/>
          <w:szCs w:val="20"/>
        </w:rPr>
        <w:t xml:space="preserve">Create a test table with a native JSON column and insert sample JSON documents of various sizes.</w:t>
      </w:r>
    </w:p>
    <w:p>
      <w:pPr>
        <w:pStyle w:val="ListParagraph"/>
        <w:numPr>
          <w:ilvl w:val="0"/>
          <w:numId w:val="2"/>
        </w:numPr>
      </w:pPr>
      <w:r>
        <w:rPr>
          <w:rFonts w:ascii="Arial" w:cs="Arial" w:eastAsia="Arial" w:hAnsi="Arial"/>
          <w:sz w:val="20"/>
          <w:szCs w:val="20"/>
        </w:rPr>
        <w:t xml:space="preserve">Create a JSON index on a frequently queried JSON path and verify index creation and utilization in query plans.</w:t>
      </w:r>
    </w:p>
    <w:p>
      <w:pPr>
        <w:pStyle w:val="ListParagraph"/>
        <w:numPr>
          <w:ilvl w:val="0"/>
          <w:numId w:val="2"/>
        </w:numPr>
      </w:pPr>
      <w:r>
        <w:rPr>
          <w:rFonts w:ascii="Arial" w:cs="Arial" w:eastAsia="Arial" w:hAnsi="Arial"/>
          <w:sz w:val="20"/>
          <w:szCs w:val="20"/>
        </w:rPr>
        <w:t xml:space="preserve">Run representative JSON path queries (JSON_VALUE, JSON_QUERY) and compare performance against NVARCHAR-stored JSON equivalents.</w:t>
      </w:r>
    </w:p>
    <w:p>
      <w:pPr>
        <w:pStyle w:val="ListParagraph"/>
        <w:numPr>
          <w:ilvl w:val="0"/>
          <w:numId w:val="2"/>
        </w:numPr>
      </w:pPr>
      <w:r>
        <w:rPr>
          <w:rFonts w:ascii="Arial" w:cs="Arial" w:eastAsia="Arial" w:hAnsi="Arial"/>
          <w:sz w:val="20"/>
          <w:szCs w:val="20"/>
        </w:rPr>
        <w:t xml:space="preserve">Test JSON_OBJECTAGG() and JSON_ARRAYAGG() aggregate functions with sample data.</w:t>
      </w:r>
    </w:p>
    <w:p>
      <w:pPr>
        <w:pStyle w:val="ListParagraph"/>
        <w:numPr>
          <w:ilvl w:val="0"/>
          <w:numId w:val="2"/>
        </w:numPr>
      </w:pPr>
      <w:r>
        <w:rPr>
          <w:rFonts w:ascii="Arial" w:cs="Arial" w:eastAsia="Arial" w:hAnsi="Arial"/>
          <w:sz w:val="20"/>
          <w:szCs w:val="20"/>
        </w:rPr>
        <w:t xml:space="preserve">Test JSON_CONTAINS() for containment checks and verify correct results.</w:t>
      </w:r>
    </w:p>
    <w:p>
      <w:pPr>
        <w:pStyle w:val="ListParagraph"/>
        <w:numPr>
          <w:ilvl w:val="0"/>
          <w:numId w:val="2"/>
        </w:numPr>
      </w:pPr>
      <w:r>
        <w:rPr>
          <w:rFonts w:ascii="Arial" w:cs="Arial" w:eastAsia="Arial" w:hAnsi="Arial"/>
          <w:sz w:val="20"/>
          <w:szCs w:val="20"/>
        </w:rPr>
        <w:t xml:space="preserve">Verify existing applications using FOR JSON AUTO/PATH and OPENJSON() are unaffected by the new data type.</w:t>
      </w:r>
    </w:p>
    <w:p>
      <w:pPr>
        <w:pStyle w:val="ListParagraph"/>
        <w:numPr>
          <w:ilvl w:val="0"/>
          <w:numId w:val="2"/>
        </w:numPr>
      </w:pPr>
      <w:r>
        <w:rPr>
          <w:rFonts w:ascii="Arial" w:cs="Arial" w:eastAsia="Arial" w:hAnsi="Arial"/>
          <w:sz w:val="20"/>
          <w:szCs w:val="20"/>
        </w:rPr>
        <w:t xml:space="preserve">Test restore of a SQL 2022 database with NVARCHAR JSON columns onto SQL 2025; verify data integrity.</w:t>
      </w:r>
    </w:p>
    <w:p>
      <w:pPr>
        <w:pStyle w:val="ListParagraph"/>
        <w:numPr>
          <w:ilvl w:val="0"/>
          <w:numId w:val="2"/>
        </w:numPr>
      </w:pPr>
      <w:r>
        <w:rPr>
          <w:rFonts w:ascii="Arial" w:cs="Arial" w:eastAsia="Arial" w:hAnsi="Arial"/>
          <w:sz w:val="20"/>
          <w:szCs w:val="20"/>
        </w:rPr>
        <w:t xml:space="preserve">Review compatibility level requirements for new JSON functions.</w:t>
      </w:r>
    </w:p>
    <w:p>
      <w:r>
        <w:t xml:space="preserve"/>
      </w:r>
    </w:p>
    <w:p>
      <w:pPr>
        <w:pStyle w:val="Heading3"/>
        <w:pBdr>
          <w:bottom w:val="single" w:color="2E75B6" w:sz="4" w:space="1"/>
        </w:pBdr>
        <w:spacing w:after="80" w:before="160"/>
      </w:pPr>
      <w:r>
        <w:rPr>
          <w:rFonts w:ascii="Arial" w:cs="Arial" w:eastAsia="Arial" w:hAnsi="Arial"/>
          <w:b/>
          <w:bCs/>
          <w:color w:val="2E75B6"/>
          <w:sz w:val="22"/>
          <w:szCs w:val="22"/>
        </w:rPr>
        <w:t xml:space="preserve">9.5. Optimized Locking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9.5. Optimized Locking</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SQL Server 2025 introduces Optimized Locking, which uses Transaction ID (TID) locking and lock-after-qualification (LAQ) to reduce the number of row and page locks held during query execution. Under LAQ, a query only acquires a row lock after it has been qualified by the filter predicate, eliminating unnecessary lock acquisitions on rows that do not match. TID locking reduces the lock manager footprint by using a lightweight transaction-level lock instead of individual row locks. This is particularly beneficial for high-concurrency OLTP and data warehouse workloads.</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Optimized Locking enabled without errors. Lock wait times reduced or unchanged for tested workloads. No deadlock regressions or blocking issues introduced.</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Notes / Findings</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TBD - Record lock wait statistics before and after. Document any workloads where Optimized Locking caused unexpected behavior.</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Test Status</w:t>
            </w:r>
          </w:p>
        </w:tc>
        <w:tc>
          <w:tcPr>
            <w:tcW w:type="dxa" w:w="7360"/>
            <w:tcBorders>
              <w:top w:val="single" w:color="AAAAAA" w:sz="4"/>
              <w:left w:val="single" w:color="AAAAAA" w:sz="4"/>
              <w:bottom w:val="single" w:color="AAAAAA" w:sz="4"/>
              <w:right w:val="single" w:color="AAAAAA" w:sz="4"/>
            </w:tcBorders>
            <w:shd w:fill="FFEB9C" w:val="clear"/>
            <w:tcMar>
              <w:top w:type="dxa" w:w="80"/>
              <w:left w:type="dxa" w:w="120"/>
              <w:bottom w:type="dxa" w:w="80"/>
              <w:right w:type="dxa" w:w="120"/>
            </w:tcMar>
          </w:tcPr>
          <w:p>
            <w:r>
              <w:rPr>
                <w:rFonts w:ascii="Arial" w:cs="Arial" w:eastAsia="Arial" w:hAnsi="Arial"/>
                <w:b/>
                <w:bCs/>
                <w:color w:val="7F6000"/>
                <w:sz w:val="20"/>
                <w:szCs w:val="20"/>
              </w:rPr>
              <w:t xml:space="preserve">PENDING</w:t>
            </w:r>
          </w:p>
        </w:tc>
      </w:tr>
    </w:tbl>
    <w:p>
      <w:r>
        <w:t xml:space="preserve"/>
      </w:r>
    </w:p>
    <w:p>
      <w:r>
        <w:rPr>
          <w:rFonts w:ascii="Arial" w:cs="Arial" w:eastAsia="Arial" w:hAnsi="Arial"/>
          <w:b/>
          <w:bCs/>
          <w:sz w:val="20"/>
          <w:szCs w:val="20"/>
        </w:rPr>
        <w:t xml:space="preserve">Test Steps:</w:t>
      </w:r>
    </w:p>
    <w:p>
      <w:pPr>
        <w:pStyle w:val="ListParagraph"/>
        <w:numPr>
          <w:ilvl w:val="0"/>
          <w:numId w:val="2"/>
        </w:numPr>
      </w:pPr>
      <w:r>
        <w:rPr>
          <w:rFonts w:ascii="Arial" w:cs="Arial" w:eastAsia="Arial" w:hAnsi="Arial"/>
          <w:sz w:val="20"/>
          <w:szCs w:val="20"/>
        </w:rPr>
        <w:t xml:space="preserve">Enable Optimized Locking on the SQL 2025 test instance (verify if enabled by default or requires configuration).</w:t>
      </w:r>
    </w:p>
    <w:p>
      <w:pPr>
        <w:pStyle w:val="ListParagraph"/>
        <w:numPr>
          <w:ilvl w:val="0"/>
          <w:numId w:val="2"/>
        </w:numPr>
      </w:pPr>
      <w:r>
        <w:rPr>
          <w:rFonts w:ascii="Arial" w:cs="Arial" w:eastAsia="Arial" w:hAnsi="Arial"/>
          <w:sz w:val="20"/>
          <w:szCs w:val="20"/>
        </w:rPr>
        <w:t xml:space="preserve">Run a high-concurrency workload simulation (e.g., multiple sessions performing concurrent UPDATE/DELETE with row filters) and observe lock wait statistics via sys.dm_exec_requests and sys.dm_os_wait_stats.</w:t>
      </w:r>
    </w:p>
    <w:p>
      <w:pPr>
        <w:pStyle w:val="ListParagraph"/>
        <w:numPr>
          <w:ilvl w:val="0"/>
          <w:numId w:val="2"/>
        </w:numPr>
      </w:pPr>
      <w:r>
        <w:rPr>
          <w:rFonts w:ascii="Arial" w:cs="Arial" w:eastAsia="Arial" w:hAnsi="Arial"/>
          <w:sz w:val="20"/>
          <w:szCs w:val="20"/>
        </w:rPr>
        <w:t xml:space="preserve">Compare lock counts and lock waits with and without Optimized Locking using sys.dm_tran_locks.</w:t>
      </w:r>
    </w:p>
    <w:p>
      <w:pPr>
        <w:pStyle w:val="ListParagraph"/>
        <w:numPr>
          <w:ilvl w:val="0"/>
          <w:numId w:val="2"/>
        </w:numPr>
      </w:pPr>
      <w:r>
        <w:rPr>
          <w:rFonts w:ascii="Arial" w:cs="Arial" w:eastAsia="Arial" w:hAnsi="Arial"/>
          <w:sz w:val="20"/>
          <w:szCs w:val="20"/>
        </w:rPr>
        <w:t xml:space="preserve">Verify no deadlock regression occurs in existing DML-heavy stored procedures.</w:t>
      </w:r>
    </w:p>
    <w:p>
      <w:pPr>
        <w:pStyle w:val="ListParagraph"/>
        <w:numPr>
          <w:ilvl w:val="0"/>
          <w:numId w:val="2"/>
        </w:numPr>
      </w:pPr>
      <w:r>
        <w:rPr>
          <w:rFonts w:ascii="Arial" w:cs="Arial" w:eastAsia="Arial" w:hAnsi="Arial"/>
          <w:sz w:val="20"/>
          <w:szCs w:val="20"/>
        </w:rPr>
        <w:t xml:space="preserve">Test with READ COMMITTED SNAPSHOT ISOLATION (RCSI) enabled to confirm compatibility.</w:t>
      </w:r>
    </w:p>
    <w:p>
      <w:pPr>
        <w:pStyle w:val="ListParagraph"/>
        <w:numPr>
          <w:ilvl w:val="0"/>
          <w:numId w:val="2"/>
        </w:numPr>
      </w:pPr>
      <w:r>
        <w:rPr>
          <w:rFonts w:ascii="Arial" w:cs="Arial" w:eastAsia="Arial" w:hAnsi="Arial"/>
          <w:sz w:val="20"/>
          <w:szCs w:val="20"/>
        </w:rPr>
        <w:t xml:space="preserve">Validate that ADR (if enabled per SQL 2022 recommendation) continues to function correctly alongside Optimized Locking.</w:t>
      </w:r>
    </w:p>
    <w:p>
      <w:pPr>
        <w:pStyle w:val="ListParagraph"/>
        <w:numPr>
          <w:ilvl w:val="0"/>
          <w:numId w:val="2"/>
        </w:numPr>
      </w:pPr>
      <w:r>
        <w:rPr>
          <w:rFonts w:ascii="Arial" w:cs="Arial" w:eastAsia="Arial" w:hAnsi="Arial"/>
          <w:sz w:val="20"/>
          <w:szCs w:val="20"/>
        </w:rPr>
        <w:t xml:space="preserve">Check that existing maintenance jobs (index rebuilds, statistics updates) complete without lock escalation issues.</w:t>
      </w:r>
    </w:p>
    <w:p>
      <w:r>
        <w:t xml:space="preserve"/>
      </w:r>
    </w:p>
    <w:p>
      <w:pPr>
        <w:pStyle w:val="Heading3"/>
        <w:pBdr>
          <w:bottom w:val="single" w:color="2E75B6" w:sz="4" w:space="1"/>
        </w:pBdr>
        <w:spacing w:after="80" w:before="160"/>
      </w:pPr>
      <w:r>
        <w:rPr>
          <w:rFonts w:ascii="Arial" w:cs="Arial" w:eastAsia="Arial" w:hAnsi="Arial"/>
          <w:b/>
          <w:bCs/>
          <w:color w:val="2E75B6"/>
          <w:sz w:val="22"/>
          <w:szCs w:val="22"/>
        </w:rPr>
        <w:t xml:space="preserve">9.6. Secondary Replica Backups (Full and Differential)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9.6. Secondary Replica Backups (Full and Differential)</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In SQL Server 2022 and earlier, backups taken on an AlwaysOn AG secondary replica could only be copy-only backups, which cannot be used as the differential base. SQL Server 2025 removes this restriction: full and differential backups can now be taken on any secondary replica and are fully supported in the backup chain. This enables DBAs to offload the full backup workload from the primary replica without breaking differential backup chains.</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Full and differential backups taken on the secondary replica complete successfully. Restore chain is valid. Primary backup chain unaffected. Maintenance scripts updated.</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Notes / Findings</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TBD - Note any changes required to existing backup scripts or maintenance plans. Document restore test results and DBCC CHECKDB output.</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Test Status</w:t>
            </w:r>
          </w:p>
        </w:tc>
        <w:tc>
          <w:tcPr>
            <w:tcW w:type="dxa" w:w="7360"/>
            <w:tcBorders>
              <w:top w:val="single" w:color="AAAAAA" w:sz="4"/>
              <w:left w:val="single" w:color="AAAAAA" w:sz="4"/>
              <w:bottom w:val="single" w:color="AAAAAA" w:sz="4"/>
              <w:right w:val="single" w:color="AAAAAA" w:sz="4"/>
            </w:tcBorders>
            <w:shd w:fill="FFEB9C" w:val="clear"/>
            <w:tcMar>
              <w:top w:type="dxa" w:w="80"/>
              <w:left w:type="dxa" w:w="120"/>
              <w:bottom w:type="dxa" w:w="80"/>
              <w:right w:type="dxa" w:w="120"/>
            </w:tcMar>
          </w:tcPr>
          <w:p>
            <w:r>
              <w:rPr>
                <w:rFonts w:ascii="Arial" w:cs="Arial" w:eastAsia="Arial" w:hAnsi="Arial"/>
                <w:b/>
                <w:bCs/>
                <w:color w:val="7F6000"/>
                <w:sz w:val="20"/>
                <w:szCs w:val="20"/>
              </w:rPr>
              <w:t xml:space="preserve">PENDING</w:t>
            </w:r>
          </w:p>
        </w:tc>
      </w:tr>
    </w:tbl>
    <w:p>
      <w:r>
        <w:t xml:space="preserve"/>
      </w:r>
    </w:p>
    <w:p>
      <w:r>
        <w:rPr>
          <w:rFonts w:ascii="Arial" w:cs="Arial" w:eastAsia="Arial" w:hAnsi="Arial"/>
          <w:b/>
          <w:bCs/>
          <w:sz w:val="20"/>
          <w:szCs w:val="20"/>
        </w:rPr>
        <w:t xml:space="preserve">Test Steps:</w:t>
      </w:r>
    </w:p>
    <w:p>
      <w:pPr>
        <w:pStyle w:val="ListParagraph"/>
        <w:numPr>
          <w:ilvl w:val="0"/>
          <w:numId w:val="2"/>
        </w:numPr>
      </w:pPr>
      <w:r>
        <w:rPr>
          <w:rFonts w:ascii="Arial" w:cs="Arial" w:eastAsia="Arial" w:hAnsi="Arial"/>
          <w:sz w:val="20"/>
          <w:szCs w:val="20"/>
        </w:rPr>
        <w:t xml:space="preserve">Configure an AlwaysOn AG on the SQL 2025 test instance with at least one secondary replica.</w:t>
      </w:r>
    </w:p>
    <w:p>
      <w:pPr>
        <w:pStyle w:val="ListParagraph"/>
        <w:numPr>
          <w:ilvl w:val="0"/>
          <w:numId w:val="2"/>
        </w:numPr>
      </w:pPr>
      <w:r>
        <w:rPr>
          <w:rFonts w:ascii="Arial" w:cs="Arial" w:eastAsia="Arial" w:hAnsi="Arial"/>
          <w:sz w:val="20"/>
          <w:szCs w:val="20"/>
        </w:rPr>
        <w:t xml:space="preserve">Take a full database backup from the secondary replica (non-copy-only) and verify it completes successfully.</w:t>
      </w:r>
    </w:p>
    <w:p>
      <w:pPr>
        <w:pStyle w:val="ListParagraph"/>
        <w:numPr>
          <w:ilvl w:val="0"/>
          <w:numId w:val="2"/>
        </w:numPr>
      </w:pPr>
      <w:r>
        <w:rPr>
          <w:rFonts w:ascii="Arial" w:cs="Arial" w:eastAsia="Arial" w:hAnsi="Arial"/>
          <w:sz w:val="20"/>
          <w:szCs w:val="20"/>
        </w:rPr>
        <w:t xml:space="preserve">Take a differential backup from the secondary replica and verify it references the secondary full backup as its base.</w:t>
      </w:r>
    </w:p>
    <w:p>
      <w:pPr>
        <w:pStyle w:val="ListParagraph"/>
        <w:numPr>
          <w:ilvl w:val="0"/>
          <w:numId w:val="2"/>
        </w:numPr>
      </w:pPr>
      <w:r>
        <w:rPr>
          <w:rFonts w:ascii="Arial" w:cs="Arial" w:eastAsia="Arial" w:hAnsi="Arial"/>
          <w:sz w:val="20"/>
          <w:szCs w:val="20"/>
        </w:rPr>
        <w:t xml:space="preserve">Restore the full + differential backup chain taken from the secondary and verify database integrity (DBCC CHECKDB).</w:t>
      </w:r>
    </w:p>
    <w:p>
      <w:pPr>
        <w:pStyle w:val="ListParagraph"/>
        <w:numPr>
          <w:ilvl w:val="0"/>
          <w:numId w:val="2"/>
        </w:numPr>
      </w:pPr>
      <w:r>
        <w:rPr>
          <w:rFonts w:ascii="Arial" w:cs="Arial" w:eastAsia="Arial" w:hAnsi="Arial"/>
          <w:sz w:val="20"/>
          <w:szCs w:val="20"/>
        </w:rPr>
        <w:t xml:space="preserve">Verify that the primary replica backup chain is unaffected when backups are taken on the secondary.</w:t>
      </w:r>
    </w:p>
    <w:p>
      <w:pPr>
        <w:pStyle w:val="ListParagraph"/>
        <w:numPr>
          <w:ilvl w:val="0"/>
          <w:numId w:val="2"/>
        </w:numPr>
      </w:pPr>
      <w:r>
        <w:rPr>
          <w:rFonts w:ascii="Arial" w:cs="Arial" w:eastAsia="Arial" w:hAnsi="Arial"/>
          <w:sz w:val="20"/>
          <w:szCs w:val="20"/>
        </w:rPr>
        <w:t xml:space="preserve">Update the Abbott SQL backup maintenance scripts to reflect the new secondary backup capability.</w:t>
      </w:r>
    </w:p>
    <w:p>
      <w:pPr>
        <w:pStyle w:val="ListParagraph"/>
        <w:numPr>
          <w:ilvl w:val="0"/>
          <w:numId w:val="2"/>
        </w:numPr>
      </w:pPr>
      <w:r>
        <w:rPr>
          <w:rFonts w:ascii="Arial" w:cs="Arial" w:eastAsia="Arial" w:hAnsi="Arial"/>
          <w:sz w:val="20"/>
          <w:szCs w:val="20"/>
        </w:rPr>
        <w:t xml:space="preserve">Test Ola Hallengren (or existing) maintenance solution compatibility with secondary replica full/differential backups.</w:t>
      </w:r>
    </w:p>
    <w:p>
      <w:pPr>
        <w:pStyle w:val="ListParagraph"/>
        <w:numPr>
          <w:ilvl w:val="0"/>
          <w:numId w:val="2"/>
        </w:numPr>
      </w:pPr>
      <w:r>
        <w:rPr>
          <w:rFonts w:ascii="Arial" w:cs="Arial" w:eastAsia="Arial" w:hAnsi="Arial"/>
          <w:sz w:val="20"/>
          <w:szCs w:val="20"/>
        </w:rPr>
        <w:t xml:space="preserve">Verify backup history is correctly recorded in msdb.dbo.backupset for backups taken on the secondary.</w:t>
      </w:r>
    </w:p>
    <w:p>
      <w:r>
        <w:t xml:space="preserve"/>
      </w:r>
    </w:p>
    <w:p>
      <w:pPr>
        <w:pStyle w:val="Heading3"/>
        <w:pBdr>
          <w:bottom w:val="single" w:color="2E75B6" w:sz="4" w:space="1"/>
        </w:pBdr>
        <w:spacing w:after="80" w:before="160"/>
      </w:pPr>
      <w:r>
        <w:rPr>
          <w:rFonts w:ascii="Arial" w:cs="Arial" w:eastAsia="Arial" w:hAnsi="Arial"/>
          <w:b/>
          <w:bCs/>
          <w:color w:val="2E75B6"/>
          <w:sz w:val="22"/>
          <w:szCs w:val="22"/>
        </w:rPr>
        <w:t xml:space="preserve">9.7. Distributed Contained Availability Group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9.7. Distributed Contained Availability Group</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SQL Server 2025 introduces Distributed Contained Availability Groups, which combines two SQL 2022 capabilities: the Distributed AG (spanning separate WSFC clusters across data centers) and the Contained AG (which includes [AGName]_master and [AGName]_msdb to synchronize logins and SQL Agent jobs). In a Distributed Contained AG, logins, SQL Agent jobs, and system objects are automatically synchronized not only within a local AG cluster but across the entire distributed AG topology. This significantly simplifies DR and multi-datacenter deployments by eliminating manual synchronization of logins and jobs across clusters. Note: In SQL Server 2025, contained system databases always use automatic seeding, even if CREATE AVAILABILITY GROUP specifies manual seeding.</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Distributed Contained AG created successfully across two WSFC clusters. [AGName]_master and [AGName]_msdb databases present on all replicas. Logins and SQL Agent jobs created via the AG listener are synchronized to all replicas and across both clusters. Failover between clusters is clean, with logins and jobs available immediately on the new primary.</w:t>
            </w:r>
          </w:p>
        </w:tc>
      </w:tr>
    </w:tbl>
    <w:p>
      <w:r>
        <w:t xml:space="preserve"/>
      </w:r>
    </w:p>
    <w:p>
      <w:r>
        <w:rPr>
          <w:rFonts w:ascii="Arial" w:cs="Arial" w:eastAsia="Arial" w:hAnsi="Arial"/>
          <w:b/>
          <w:bCs/>
          <w:sz w:val="20"/>
          <w:szCs w:val="20"/>
        </w:rPr>
        <w:t xml:space="preserve">Test Plan: Phase 1 - Environment Prerequisites</w:t>
      </w:r>
    </w:p>
    <w:p>
      <w:r>
        <w:t xml:space="preserve"/>
      </w:r>
    </w:p>
    <w:p>
      <w:pPr>
        <w:pStyle w:val="ListParagraph"/>
        <w:numPr>
          <w:ilvl w:val="0"/>
          <w:numId w:val="2"/>
        </w:numPr>
      </w:pPr>
      <w:r>
        <w:rPr>
          <w:rFonts w:ascii="Arial" w:cs="Arial" w:eastAsia="Arial" w:hAnsi="Arial"/>
          <w:sz w:val="20"/>
          <w:szCs w:val="20"/>
        </w:rPr>
        <w:t xml:space="preserve">Confirm two separate Windows Server Failover Clusters (WSFC) are configured: one for the primary AG (e.g., TBD - Data Center 1) and one for the secondary AG (e.g., TBD - Data Center 2).</w:t>
      </w:r>
    </w:p>
    <w:p>
      <w:pPr>
        <w:pStyle w:val="ListParagraph"/>
        <w:numPr>
          <w:ilvl w:val="0"/>
          <w:numId w:val="2"/>
        </w:numPr>
      </w:pPr>
      <w:r>
        <w:rPr>
          <w:rFonts w:ascii="Arial" w:cs="Arial" w:eastAsia="Arial" w:hAnsi="Arial"/>
          <w:sz w:val="20"/>
          <w:szCs w:val="20"/>
        </w:rPr>
        <w:t xml:space="preserve">Confirm SQL Server 2025 Enterprise Edition is installed on all nodes of both clusters (Contained AG and Distributed AG require Enterprise Edition).</w:t>
      </w:r>
    </w:p>
    <w:p>
      <w:pPr>
        <w:pStyle w:val="ListParagraph"/>
        <w:numPr>
          <w:ilvl w:val="0"/>
          <w:numId w:val="2"/>
        </w:numPr>
      </w:pPr>
      <w:r>
        <w:rPr>
          <w:rFonts w:ascii="Arial" w:cs="Arial" w:eastAsia="Arial" w:hAnsi="Arial"/>
          <w:sz w:val="20"/>
          <w:szCs w:val="20"/>
        </w:rPr>
        <w:t xml:space="preserve">Confirm database mirroring endpoints are created and active on all instances with appropriate port and encryption settings.</w:t>
      </w:r>
    </w:p>
    <w:p>
      <w:pPr>
        <w:pStyle w:val="ListParagraph"/>
        <w:numPr>
          <w:ilvl w:val="0"/>
          <w:numId w:val="2"/>
        </w:numPr>
      </w:pPr>
      <w:r>
        <w:rPr>
          <w:rFonts w:ascii="Arial" w:cs="Arial" w:eastAsia="Arial" w:hAnsi="Arial"/>
          <w:sz w:val="20"/>
          <w:szCs w:val="20"/>
        </w:rPr>
        <w:t xml:space="preserve">Confirm network connectivity between data centers allows AG endpoint traffic (default port 5022 or custom port).</w:t>
      </w:r>
    </w:p>
    <w:p>
      <w:pPr>
        <w:pStyle w:val="ListParagraph"/>
        <w:numPr>
          <w:ilvl w:val="0"/>
          <w:numId w:val="2"/>
        </w:numPr>
      </w:pPr>
      <w:r>
        <w:rPr>
          <w:rFonts w:ascii="Arial" w:cs="Arial" w:eastAsia="Arial" w:hAnsi="Arial"/>
          <w:sz w:val="20"/>
          <w:szCs w:val="20"/>
        </w:rPr>
        <w:t xml:space="preserve">Confirm SQL Server service accounts have appropriate permissions across both clusters.</w:t>
      </w:r>
    </w:p>
    <w:p>
      <w:r>
        <w:t xml:space="preserve"/>
      </w:r>
    </w:p>
    <w:p>
      <w:r>
        <w:rPr>
          <w:rFonts w:ascii="Arial" w:cs="Arial" w:eastAsia="Arial" w:hAnsi="Arial"/>
          <w:b/>
          <w:bCs/>
          <w:sz w:val="20"/>
          <w:szCs w:val="20"/>
        </w:rPr>
        <w:t xml:space="preserve">Test Plan: Phase 2 - Create the Contained AG (Primary Cluster)</w:t>
      </w:r>
    </w:p>
    <w:p>
      <w:r>
        <w:t xml:space="preserve"/>
      </w:r>
    </w:p>
    <w:p>
      <w:pPr>
        <w:pStyle w:val="ListParagraph"/>
        <w:numPr>
          <w:ilvl w:val="0"/>
          <w:numId w:val="3"/>
        </w:numPr>
      </w:pPr>
      <w:r>
        <w:rPr>
          <w:rFonts w:ascii="Arial" w:cs="Arial" w:eastAsia="Arial" w:hAnsi="Arial"/>
          <w:sz w:val="20"/>
          <w:szCs w:val="20"/>
        </w:rPr>
        <w:t xml:space="preserve">On the primary WSFC cluster, create a Contained Availability Group using SSMS New AG Wizard or T-SQL. Specify CONTAINED option in CREATE AVAILABILITY GROUP.</w:t>
      </w:r>
    </w:p>
    <w:p>
      <w:pPr>
        <w:pStyle w:val="ListParagraph"/>
        <w:numPr>
          <w:ilvl w:val="0"/>
          <w:numId w:val="3"/>
        </w:numPr>
      </w:pPr>
      <w:r>
        <w:rPr>
          <w:rFonts w:ascii="Arial" w:cs="Arial" w:eastAsia="Arial" w:hAnsi="Arial"/>
          <w:sz w:val="20"/>
          <w:szCs w:val="20"/>
        </w:rPr>
        <w:t xml:space="preserve">Verify the two special databases are created automatically: [AGName]_master and [AGName]_msdb.</w:t>
      </w:r>
    </w:p>
    <w:p>
      <w:pPr>
        <w:pStyle w:val="ListParagraph"/>
        <w:numPr>
          <w:ilvl w:val="0"/>
          <w:numId w:val="3"/>
        </w:numPr>
      </w:pPr>
      <w:r>
        <w:rPr>
          <w:rFonts w:ascii="Arial" w:cs="Arial" w:eastAsia="Arial" w:hAnsi="Arial"/>
          <w:sz w:val="20"/>
          <w:szCs w:val="20"/>
        </w:rPr>
        <w:t xml:space="preserve">Add user database(s) to the Contained AG. Verify all databases, including [AGName]_master and [AGName]_msdb, are in SYNCHRONIZED state.</w:t>
      </w:r>
    </w:p>
    <w:p>
      <w:pPr>
        <w:pStyle w:val="ListParagraph"/>
        <w:numPr>
          <w:ilvl w:val="0"/>
          <w:numId w:val="3"/>
        </w:numPr>
      </w:pPr>
      <w:r>
        <w:rPr>
          <w:rFonts w:ascii="Arial" w:cs="Arial" w:eastAsia="Arial" w:hAnsi="Arial"/>
          <w:sz w:val="20"/>
          <w:szCs w:val="20"/>
        </w:rPr>
        <w:t xml:space="preserve">Create the AG listener for the primary AG (used for all login/job management within the Contained AG).</w:t>
      </w:r>
    </w:p>
    <w:p>
      <w:pPr>
        <w:pStyle w:val="ListParagraph"/>
        <w:numPr>
          <w:ilvl w:val="0"/>
          <w:numId w:val="3"/>
        </w:numPr>
      </w:pPr>
      <w:r>
        <w:rPr>
          <w:rFonts w:ascii="Arial" w:cs="Arial" w:eastAsia="Arial" w:hAnsi="Arial"/>
          <w:sz w:val="20"/>
          <w:szCs w:val="20"/>
        </w:rPr>
        <w:t xml:space="preserve">Connect using the AG listener (NOT the server name) and create a test SQL login within the Contained AG.</w:t>
      </w:r>
    </w:p>
    <w:p>
      <w:pPr>
        <w:pStyle w:val="ListParagraph"/>
        <w:numPr>
          <w:ilvl w:val="0"/>
          <w:numId w:val="3"/>
        </w:numPr>
      </w:pPr>
      <w:r>
        <w:rPr>
          <w:rFonts w:ascii="Arial" w:cs="Arial" w:eastAsia="Arial" w:hAnsi="Arial"/>
          <w:sz w:val="20"/>
          <w:szCs w:val="20"/>
        </w:rPr>
        <w:t xml:space="preserve">Verify the login exists in [AGName]_master on the primary and is visible on the secondary replica.</w:t>
      </w:r>
    </w:p>
    <w:p>
      <w:pPr>
        <w:pStyle w:val="ListParagraph"/>
        <w:numPr>
          <w:ilvl w:val="0"/>
          <w:numId w:val="3"/>
        </w:numPr>
      </w:pPr>
      <w:r>
        <w:rPr>
          <w:rFonts w:ascii="Arial" w:cs="Arial" w:eastAsia="Arial" w:hAnsi="Arial"/>
          <w:sz w:val="20"/>
          <w:szCs w:val="20"/>
        </w:rPr>
        <w:t xml:space="preserve">Connect using the AG listener and create a SQL Agent job within the Contained AG.</w:t>
      </w:r>
    </w:p>
    <w:p>
      <w:pPr>
        <w:pStyle w:val="ListParagraph"/>
        <w:numPr>
          <w:ilvl w:val="0"/>
          <w:numId w:val="3"/>
        </w:numPr>
      </w:pPr>
      <w:r>
        <w:rPr>
          <w:rFonts w:ascii="Arial" w:cs="Arial" w:eastAsia="Arial" w:hAnsi="Arial"/>
          <w:sz w:val="20"/>
          <w:szCs w:val="20"/>
        </w:rPr>
        <w:t xml:space="preserve">Verify the Agent job exists in [AGName]_msdb on the primary and is visible on the secondary replica.</w:t>
      </w:r>
    </w:p>
    <w:p>
      <w:pPr>
        <w:pStyle w:val="ListParagraph"/>
        <w:numPr>
          <w:ilvl w:val="0"/>
          <w:numId w:val="3"/>
        </w:numPr>
      </w:pPr>
      <w:r>
        <w:rPr>
          <w:rFonts w:ascii="Arial" w:cs="Arial" w:eastAsia="Arial" w:hAnsi="Arial"/>
          <w:sz w:val="20"/>
          <w:szCs w:val="20"/>
        </w:rPr>
        <w:t xml:space="preserve">Attempt to create a login using the server name (not AG listener). Verify it is NOT replicated to the Contained AG system databases (expected behavior).</w:t>
      </w:r>
    </w:p>
    <w:p>
      <w:r>
        <w:t xml:space="preserve"/>
      </w:r>
    </w:p>
    <w:p>
      <w:r>
        <w:rPr>
          <w:rFonts w:ascii="Arial" w:cs="Arial" w:eastAsia="Arial" w:hAnsi="Arial"/>
          <w:b/>
          <w:bCs/>
          <w:sz w:val="20"/>
          <w:szCs w:val="20"/>
        </w:rPr>
        <w:t xml:space="preserve">Test Plan: Phase 3 - Create the Distributed Contained AG (Cross-Cluster)</w:t>
      </w:r>
    </w:p>
    <w:p>
      <w:r>
        <w:t xml:space="preserve"/>
      </w:r>
    </w:p>
    <w:p>
      <w:pPr>
        <w:pStyle w:val="ListParagraph"/>
        <w:numPr>
          <w:ilvl w:val="0"/>
          <w:numId w:val="4"/>
        </w:numPr>
      </w:pPr>
      <w:r>
        <w:rPr>
          <w:rFonts w:ascii="Arial" w:cs="Arial" w:eastAsia="Arial" w:hAnsi="Arial"/>
          <w:sz w:val="20"/>
          <w:szCs w:val="20"/>
        </w:rPr>
        <w:t xml:space="preserve">On the secondary WSFC cluster, create a second Contained AG (the remote AG) with at least one replica.</w:t>
      </w:r>
    </w:p>
    <w:p>
      <w:pPr>
        <w:pStyle w:val="ListParagraph"/>
        <w:numPr>
          <w:ilvl w:val="0"/>
          <w:numId w:val="4"/>
        </w:numPr>
      </w:pPr>
      <w:r>
        <w:rPr>
          <w:rFonts w:ascii="Arial" w:cs="Arial" w:eastAsia="Arial" w:hAnsi="Arial"/>
          <w:sz w:val="20"/>
          <w:szCs w:val="20"/>
        </w:rPr>
        <w:t xml:space="preserve">From the primary cluster, create a Distributed Contained AG linking the primary AG and the remote AG using CREATE AVAILABILITY GROUP ... DISTRIBUTED CONTAINED syntax (or via SSMS if available).</w:t>
      </w:r>
    </w:p>
    <w:p>
      <w:pPr>
        <w:pStyle w:val="ListParagraph"/>
        <w:numPr>
          <w:ilvl w:val="0"/>
          <w:numId w:val="4"/>
        </w:numPr>
      </w:pPr>
      <w:r>
        <w:rPr>
          <w:rFonts w:ascii="Arial" w:cs="Arial" w:eastAsia="Arial" w:hAnsi="Arial"/>
          <w:sz w:val="20"/>
          <w:szCs w:val="20"/>
        </w:rPr>
        <w:t xml:space="preserve">Monitor the seeding of [AGName]_master, [AGName]_msdb, and user databases to the remote AG. Confirm automatic seeding completes successfully (SQL Server 2025 uses automatic seeding for contained system databases regardless of seeding mode).</w:t>
      </w:r>
    </w:p>
    <w:p>
      <w:pPr>
        <w:pStyle w:val="ListParagraph"/>
        <w:numPr>
          <w:ilvl w:val="0"/>
          <w:numId w:val="4"/>
        </w:numPr>
      </w:pPr>
      <w:r>
        <w:rPr>
          <w:rFonts w:ascii="Arial" w:cs="Arial" w:eastAsia="Arial" w:hAnsi="Arial"/>
          <w:sz w:val="20"/>
          <w:szCs w:val="20"/>
        </w:rPr>
        <w:t xml:space="preserve">Verify all databases on the remote AG are in SYNCHRONIZED or SYNCHRONIZING state as appropriate for the commit mode (async for cross-datacenter is typical).</w:t>
      </w:r>
    </w:p>
    <w:p>
      <w:pPr>
        <w:pStyle w:val="ListParagraph"/>
        <w:numPr>
          <w:ilvl w:val="0"/>
          <w:numId w:val="4"/>
        </w:numPr>
      </w:pPr>
      <w:r>
        <w:rPr>
          <w:rFonts w:ascii="Arial" w:cs="Arial" w:eastAsia="Arial" w:hAnsi="Arial"/>
          <w:sz w:val="20"/>
          <w:szCs w:val="20"/>
        </w:rPr>
        <w:t xml:space="preserve">Verify the test SQL login created in Phase 2 (Step 5) is visible on the remote AG secondary replica in [AGName]_master.</w:t>
      </w:r>
    </w:p>
    <w:p>
      <w:pPr>
        <w:pStyle w:val="ListParagraph"/>
        <w:numPr>
          <w:ilvl w:val="0"/>
          <w:numId w:val="4"/>
        </w:numPr>
      </w:pPr>
      <w:r>
        <w:rPr>
          <w:rFonts w:ascii="Arial" w:cs="Arial" w:eastAsia="Arial" w:hAnsi="Arial"/>
          <w:sz w:val="20"/>
          <w:szCs w:val="20"/>
        </w:rPr>
        <w:t xml:space="preserve">Verify the test SQL Agent job created in Phase 2 (Step 7) is visible on the remote AG secondary replica in [AGName]_msdb.</w:t>
      </w:r>
    </w:p>
    <w:p>
      <w:r>
        <w:t xml:space="preserve"/>
      </w:r>
    </w:p>
    <w:p>
      <w:r>
        <w:rPr>
          <w:rFonts w:ascii="Arial" w:cs="Arial" w:eastAsia="Arial" w:hAnsi="Arial"/>
          <w:b/>
          <w:bCs/>
          <w:sz w:val="20"/>
          <w:szCs w:val="20"/>
        </w:rPr>
        <w:t xml:space="preserve">Test Plan: Phase 4 - Failover Testing</w:t>
      </w:r>
    </w:p>
    <w:p>
      <w:r>
        <w:t xml:space="preserve"/>
      </w:r>
    </w:p>
    <w:p>
      <w:pPr>
        <w:pStyle w:val="ListParagraph"/>
        <w:numPr>
          <w:ilvl w:val="0"/>
          <w:numId w:val="5"/>
        </w:numPr>
      </w:pPr>
      <w:r>
        <w:rPr>
          <w:rFonts w:ascii="Arial" w:cs="Arial" w:eastAsia="Arial" w:hAnsi="Arial"/>
          <w:sz w:val="20"/>
          <w:szCs w:val="20"/>
        </w:rPr>
        <w:t xml:space="preserve">Perform a planned manual failover within the primary WSFC cluster (local AG failover). Verify: (a) all databases including [AGName]_master and [AGName]_msdb come online on the new primary; (b) test SQL login and Agent job are accessible via the AG listener; (c) new jobs and logins created post-failover via the listener replicate correctly.</w:t>
      </w:r>
    </w:p>
    <w:p>
      <w:pPr>
        <w:pStyle w:val="ListParagraph"/>
        <w:numPr>
          <w:ilvl w:val="0"/>
          <w:numId w:val="5"/>
        </w:numPr>
      </w:pPr>
      <w:r>
        <w:rPr>
          <w:rFonts w:ascii="Arial" w:cs="Arial" w:eastAsia="Arial" w:hAnsi="Arial"/>
          <w:sz w:val="20"/>
          <w:szCs w:val="20"/>
        </w:rPr>
        <w:t xml:space="preserve">Perform a planned distributed failover (cross-cluster, primary AG to remote AG). Verify: (a) remote AG becomes the new primary; (b) AG listener for the remote cluster routes connections correctly; (c) logins and Agent jobs are available and functional on the new primary.</w:t>
      </w:r>
    </w:p>
    <w:p>
      <w:pPr>
        <w:pStyle w:val="ListParagraph"/>
        <w:numPr>
          <w:ilvl w:val="0"/>
          <w:numId w:val="5"/>
        </w:numPr>
      </w:pPr>
      <w:r>
        <w:rPr>
          <w:rFonts w:ascii="Arial" w:cs="Arial" w:eastAsia="Arial" w:hAnsi="Arial"/>
          <w:sz w:val="20"/>
          <w:szCs w:val="20"/>
        </w:rPr>
        <w:t xml:space="preserve">After distributed failover, create a new SQL login via the remote AG listener. Verify it does not replicate back to the original primary cluster until a failback is performed.</w:t>
      </w:r>
    </w:p>
    <w:p>
      <w:pPr>
        <w:pStyle w:val="ListParagraph"/>
        <w:numPr>
          <w:ilvl w:val="0"/>
          <w:numId w:val="5"/>
        </w:numPr>
      </w:pPr>
      <w:r>
        <w:rPr>
          <w:rFonts w:ascii="Arial" w:cs="Arial" w:eastAsia="Arial" w:hAnsi="Arial"/>
          <w:sz w:val="20"/>
          <w:szCs w:val="20"/>
        </w:rPr>
        <w:t xml:space="preserve">Perform failback to the original primary cluster. Verify all logins and jobs created on the remote primary are synchronized back.</w:t>
      </w:r>
    </w:p>
    <w:p>
      <w:r>
        <w:t xml:space="preserve"/>
      </w:r>
    </w:p>
    <w:p>
      <w:r>
        <w:rPr>
          <w:rFonts w:ascii="Arial" w:cs="Arial" w:eastAsia="Arial" w:hAnsi="Arial"/>
          <w:b/>
          <w:bCs/>
          <w:sz w:val="20"/>
          <w:szCs w:val="20"/>
        </w:rPr>
        <w:t xml:space="preserve">Test Plan: Phase 5 - Negative / Edge Case Testing</w:t>
      </w:r>
    </w:p>
    <w:p>
      <w:r>
        <w:t xml:space="preserve"/>
      </w:r>
    </w:p>
    <w:p>
      <w:pPr>
        <w:pStyle w:val="ListParagraph"/>
        <w:numPr>
          <w:ilvl w:val="0"/>
          <w:numId w:val="6"/>
        </w:numPr>
      </w:pPr>
      <w:r>
        <w:rPr>
          <w:rFonts w:ascii="Arial" w:cs="Arial" w:eastAsia="Arial" w:hAnsi="Arial"/>
          <w:sz w:val="20"/>
          <w:szCs w:val="20"/>
        </w:rPr>
        <w:t xml:space="preserve">Attempt to connect to a Contained AG replica using the SERVER NAME (not listener) and create a login. Verify: (a) the login is created in the local instance master (not [AGName]_master); (b) the login is NOT visible via the AG listener; (c) DBA team is aware of this behavior and documents it in build procedures.</w:t>
      </w:r>
    </w:p>
    <w:p>
      <w:pPr>
        <w:pStyle w:val="ListParagraph"/>
        <w:numPr>
          <w:ilvl w:val="0"/>
          <w:numId w:val="6"/>
        </w:numPr>
      </w:pPr>
      <w:r>
        <w:rPr>
          <w:rFonts w:ascii="Arial" w:cs="Arial" w:eastAsia="Arial" w:hAnsi="Arial"/>
          <w:sz w:val="20"/>
          <w:szCs w:val="20"/>
        </w:rPr>
        <w:t xml:space="preserve">Simulate a quorum loss on the primary WSFC cluster and force-failover to the remote AG. Verify the remote AG can be brought online with FORCE_FAILOVER_ALLOW_DATA_LOSS and that contained logins/jobs are intact.</w:t>
      </w:r>
    </w:p>
    <w:p>
      <w:pPr>
        <w:pStyle w:val="ListParagraph"/>
        <w:numPr>
          <w:ilvl w:val="0"/>
          <w:numId w:val="6"/>
        </w:numPr>
      </w:pPr>
      <w:r>
        <w:rPr>
          <w:rFonts w:ascii="Arial" w:cs="Arial" w:eastAsia="Arial" w:hAnsi="Arial"/>
          <w:sz w:val="20"/>
          <w:szCs w:val="20"/>
        </w:rPr>
        <w:t xml:space="preserve">Verify that having multiple Contained AGs on the same SQL instance results in clearly named [AGName]_master and [AGName]_msdb databases, and document naming conventions for the Abbott environment.</w:t>
      </w:r>
    </w:p>
    <w:p>
      <w:pPr>
        <w:pStyle w:val="ListParagraph"/>
        <w:numPr>
          <w:ilvl w:val="0"/>
          <w:numId w:val="6"/>
        </w:numPr>
      </w:pPr>
      <w:r>
        <w:rPr>
          <w:rFonts w:ascii="Arial" w:cs="Arial" w:eastAsia="Arial" w:hAnsi="Arial"/>
          <w:sz w:val="20"/>
          <w:szCs w:val="20"/>
        </w:rPr>
        <w:t xml:space="preserve">Verify Abbott inventory scripts and monitoring are updated to handle the additional [AGName]_master and [AGName]_msdb databases (exclude from certain maintenance jobs if applicable).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Notes / Findings</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TBD - Document any issues with cross-cluster synchronization, listener connectivity, or naming conflicts. Confirm that all DBA operational procedures (login creation, job scheduling) have been updated to mandate use of the AG listener name.</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Test Status</w:t>
            </w:r>
          </w:p>
        </w:tc>
        <w:tc>
          <w:tcPr>
            <w:tcW w:type="dxa" w:w="7360"/>
            <w:tcBorders>
              <w:top w:val="single" w:color="AAAAAA" w:sz="4"/>
              <w:left w:val="single" w:color="AAAAAA" w:sz="4"/>
              <w:bottom w:val="single" w:color="AAAAAA" w:sz="4"/>
              <w:right w:val="single" w:color="AAAAAA" w:sz="4"/>
            </w:tcBorders>
            <w:shd w:fill="FFEB9C" w:val="clear"/>
            <w:tcMar>
              <w:top w:type="dxa" w:w="80"/>
              <w:left w:type="dxa" w:w="120"/>
              <w:bottom w:type="dxa" w:w="80"/>
              <w:right w:type="dxa" w:w="120"/>
            </w:tcMar>
          </w:tcPr>
          <w:p>
            <w:r>
              <w:rPr>
                <w:rFonts w:ascii="Arial" w:cs="Arial" w:eastAsia="Arial" w:hAnsi="Arial"/>
                <w:b/>
                <w:bCs/>
                <w:color w:val="7F6000"/>
                <w:sz w:val="20"/>
                <w:szCs w:val="20"/>
              </w:rPr>
              <w:t xml:space="preserve">PENDING</w:t>
            </w:r>
          </w:p>
        </w:tc>
      </w:tr>
    </w:tbl>
    <w:p>
      <w:r>
        <w:t xml:space="preserve"/>
      </w:r>
    </w:p>
    <w:p>
      <w:pPr>
        <w:pStyle w:val="Heading3"/>
        <w:pBdr>
          <w:bottom w:val="single" w:color="2E75B6" w:sz="4" w:space="1"/>
        </w:pBdr>
        <w:spacing w:after="80" w:before="160"/>
      </w:pPr>
      <w:r>
        <w:rPr>
          <w:rFonts w:ascii="Arial" w:cs="Arial" w:eastAsia="Arial" w:hAnsi="Arial"/>
          <w:b/>
          <w:bCs/>
          <w:color w:val="2E75B6"/>
          <w:sz w:val="22"/>
          <w:szCs w:val="22"/>
        </w:rPr>
        <w:t xml:space="preserve">9.8. Microsoft Entra ID Integration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9.8. Microsoft Entra ID Integration</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SQL Server 2025 introduces native Microsoft Entra ID (formerly Azure AD) authentication for SQL logins. This enables organizations to use Entra ID identities, Multi-Factor Authentication (MFA), Role-Based Access Control (RBAC), Managed Identity for outbound service calls, and Conditional Access policies directly with on-premises SQL Server. This replaces Windows Integrated Authentication for environments moving toward a hybrid or cloud-first identity model.</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Entra ID logins authenticate successfully. MFA enforcement working. Existing Windows Auth logins unaffected. Service identity connections validated.</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Notes / Findings</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TBD - Note: Entra ID integration may require coordination with Abbott Identity team. Document any required Azure tenant configuration steps.</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Test Status</w:t>
            </w:r>
          </w:p>
        </w:tc>
        <w:tc>
          <w:tcPr>
            <w:tcW w:type="dxa" w:w="7360"/>
            <w:tcBorders>
              <w:top w:val="single" w:color="AAAAAA" w:sz="4"/>
              <w:left w:val="single" w:color="AAAAAA" w:sz="4"/>
              <w:bottom w:val="single" w:color="AAAAAA" w:sz="4"/>
              <w:right w:val="single" w:color="AAAAAA" w:sz="4"/>
            </w:tcBorders>
            <w:shd w:fill="FFEB9C" w:val="clear"/>
            <w:tcMar>
              <w:top w:type="dxa" w:w="80"/>
              <w:left w:type="dxa" w:w="120"/>
              <w:bottom w:type="dxa" w:w="80"/>
              <w:right w:type="dxa" w:w="120"/>
            </w:tcMar>
          </w:tcPr>
          <w:p>
            <w:r>
              <w:rPr>
                <w:rFonts w:ascii="Arial" w:cs="Arial" w:eastAsia="Arial" w:hAnsi="Arial"/>
                <w:b/>
                <w:bCs/>
                <w:color w:val="7F6000"/>
                <w:sz w:val="20"/>
                <w:szCs w:val="20"/>
              </w:rPr>
              <w:t xml:space="preserve">PENDING</w:t>
            </w:r>
          </w:p>
        </w:tc>
      </w:tr>
    </w:tbl>
    <w:p>
      <w:r>
        <w:t xml:space="preserve"/>
      </w:r>
    </w:p>
    <w:p>
      <w:r>
        <w:rPr>
          <w:rFonts w:ascii="Arial" w:cs="Arial" w:eastAsia="Arial" w:hAnsi="Arial"/>
          <w:b/>
          <w:bCs/>
          <w:sz w:val="20"/>
          <w:szCs w:val="20"/>
        </w:rPr>
        <w:t xml:space="preserve">Test Steps:</w:t>
      </w:r>
    </w:p>
    <w:p>
      <w:pPr>
        <w:pStyle w:val="ListParagraph"/>
        <w:numPr>
          <w:ilvl w:val="0"/>
          <w:numId w:val="2"/>
        </w:numPr>
      </w:pPr>
      <w:r>
        <w:rPr>
          <w:rFonts w:ascii="Arial" w:cs="Arial" w:eastAsia="Arial" w:hAnsi="Arial"/>
          <w:sz w:val="20"/>
          <w:szCs w:val="20"/>
        </w:rPr>
        <w:t xml:space="preserve">Configure the SQL 2025 instance to register with the Abbott Microsoft Entra tenant.</w:t>
      </w:r>
    </w:p>
    <w:p>
      <w:pPr>
        <w:pStyle w:val="ListParagraph"/>
        <w:numPr>
          <w:ilvl w:val="0"/>
          <w:numId w:val="2"/>
        </w:numPr>
      </w:pPr>
      <w:r>
        <w:rPr>
          <w:rFonts w:ascii="Arial" w:cs="Arial" w:eastAsia="Arial" w:hAnsi="Arial"/>
          <w:sz w:val="20"/>
          <w:szCs w:val="20"/>
        </w:rPr>
        <w:t xml:space="preserve">Create an Entra ID-based SQL login for a test user and verify successful authentication using an Entra ID credential.</w:t>
      </w:r>
    </w:p>
    <w:p>
      <w:pPr>
        <w:pStyle w:val="ListParagraph"/>
        <w:numPr>
          <w:ilvl w:val="0"/>
          <w:numId w:val="2"/>
        </w:numPr>
      </w:pPr>
      <w:r>
        <w:rPr>
          <w:rFonts w:ascii="Arial" w:cs="Arial" w:eastAsia="Arial" w:hAnsi="Arial"/>
          <w:sz w:val="20"/>
          <w:szCs w:val="20"/>
        </w:rPr>
        <w:t xml:space="preserve">Test MFA enforcement: verify that a test user with MFA required on their Entra ID account is prompted for MFA when connecting to SQL Server.</w:t>
      </w:r>
    </w:p>
    <w:p>
      <w:pPr>
        <w:pStyle w:val="ListParagraph"/>
        <w:numPr>
          <w:ilvl w:val="0"/>
          <w:numId w:val="2"/>
        </w:numPr>
      </w:pPr>
      <w:r>
        <w:rPr>
          <w:rFonts w:ascii="Arial" w:cs="Arial" w:eastAsia="Arial" w:hAnsi="Arial"/>
          <w:sz w:val="20"/>
          <w:szCs w:val="20"/>
        </w:rPr>
        <w:t xml:space="preserve">Verify existing Windows Integrated Authentication (Kerberos) logins continue to function alongside Entra ID logins.</w:t>
      </w:r>
    </w:p>
    <w:p>
      <w:pPr>
        <w:pStyle w:val="ListParagraph"/>
        <w:numPr>
          <w:ilvl w:val="0"/>
          <w:numId w:val="2"/>
        </w:numPr>
      </w:pPr>
      <w:r>
        <w:rPr>
          <w:rFonts w:ascii="Arial" w:cs="Arial" w:eastAsia="Arial" w:hAnsi="Arial"/>
          <w:sz w:val="20"/>
          <w:szCs w:val="20"/>
        </w:rPr>
        <w:t xml:space="preserve">Test Managed Identity configuration for an Abbott service that makes outbound SQL connections (if applicable).</w:t>
      </w:r>
    </w:p>
    <w:p>
      <w:pPr>
        <w:pStyle w:val="ListParagraph"/>
        <w:numPr>
          <w:ilvl w:val="0"/>
          <w:numId w:val="2"/>
        </w:numPr>
      </w:pPr>
      <w:r>
        <w:rPr>
          <w:rFonts w:ascii="Arial" w:cs="Arial" w:eastAsia="Arial" w:hAnsi="Arial"/>
          <w:sz w:val="20"/>
          <w:szCs w:val="20"/>
        </w:rPr>
        <w:t xml:space="preserve">Verify that Conditional Access policy restrictions (e.g., compliant device requirement) are enforced for Entra ID SQL logins.</w:t>
      </w:r>
    </w:p>
    <w:p>
      <w:pPr>
        <w:pStyle w:val="ListParagraph"/>
        <w:numPr>
          <w:ilvl w:val="0"/>
          <w:numId w:val="2"/>
        </w:numPr>
      </w:pPr>
      <w:r>
        <w:rPr>
          <w:rFonts w:ascii="Arial" w:cs="Arial" w:eastAsia="Arial" w:hAnsi="Arial"/>
          <w:sz w:val="20"/>
          <w:szCs w:val="20"/>
        </w:rPr>
        <w:t xml:space="preserve">Review and update DBA operational procedures for login management to include Entra ID login types.</w:t>
      </w:r>
    </w:p>
    <w:p>
      <w:r>
        <w:t xml:space="preserve"/>
      </w:r>
    </w:p>
    <w:p>
      <w:pPr>
        <w:pStyle w:val="Heading3"/>
        <w:pBdr>
          <w:bottom w:val="single" w:color="2E75B6" w:sz="4" w:space="1"/>
        </w:pBdr>
        <w:spacing w:after="80" w:before="160"/>
      </w:pPr>
      <w:r>
        <w:rPr>
          <w:rFonts w:ascii="Arial" w:cs="Arial" w:eastAsia="Arial" w:hAnsi="Arial"/>
          <w:b/>
          <w:bCs/>
          <w:color w:val="2E75B6"/>
          <w:sz w:val="22"/>
          <w:szCs w:val="22"/>
        </w:rPr>
        <w:t xml:space="preserve">9.9. Query Store Enhancements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9.9. Query Store Enhancements</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SQL Server 2025 expands Query Store functionality with: (1) Query Store for readable secondaries - Query Store now captures execution statistics from readable secondary replicas, giving DBAs insight into secondary workload performance; (2) Optional Parameter Plan Optimization (OPPO) - automatically creates optimized plans for parameter-sensitive queries without requiring manual hints; (3) DOP (Degree of Parallelism) feedback - automatically adjusts parallelism settings based on observed query behavior; (4) Cardinality estimation feedback for expressions. Query Store is still enabled by default in SQL 2025 (as in SQL 2022) for all new databases.</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Query Store enabled by default on new databases. Secondary replica query capture working. OPPO and DOP feedback features validated. Existing databases receive Query Store enablement via automated process.</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Notes / Findings</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TBD - Document the updated Query Store enablement script for SQL 2025 instances. Note the default max size setting and any adjustments made.</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Test Status</w:t>
            </w:r>
          </w:p>
        </w:tc>
        <w:tc>
          <w:tcPr>
            <w:tcW w:type="dxa" w:w="7360"/>
            <w:tcBorders>
              <w:top w:val="single" w:color="AAAAAA" w:sz="4"/>
              <w:left w:val="single" w:color="AAAAAA" w:sz="4"/>
              <w:bottom w:val="single" w:color="AAAAAA" w:sz="4"/>
              <w:right w:val="single" w:color="AAAAAA" w:sz="4"/>
            </w:tcBorders>
            <w:shd w:fill="FFEB9C" w:val="clear"/>
            <w:tcMar>
              <w:top w:type="dxa" w:w="80"/>
              <w:left w:type="dxa" w:w="120"/>
              <w:bottom w:type="dxa" w:w="80"/>
              <w:right w:type="dxa" w:w="120"/>
            </w:tcMar>
          </w:tcPr>
          <w:p>
            <w:r>
              <w:rPr>
                <w:rFonts w:ascii="Arial" w:cs="Arial" w:eastAsia="Arial" w:hAnsi="Arial"/>
                <w:b/>
                <w:bCs/>
                <w:color w:val="7F6000"/>
                <w:sz w:val="20"/>
                <w:szCs w:val="20"/>
              </w:rPr>
              <w:t xml:space="preserve">PENDING</w:t>
            </w:r>
          </w:p>
        </w:tc>
      </w:tr>
    </w:tbl>
    <w:p>
      <w:r>
        <w:t xml:space="preserve"/>
      </w:r>
    </w:p>
    <w:p>
      <w:r>
        <w:rPr>
          <w:rFonts w:ascii="Arial" w:cs="Arial" w:eastAsia="Arial" w:hAnsi="Arial"/>
          <w:b/>
          <w:bCs/>
          <w:sz w:val="20"/>
          <w:szCs w:val="20"/>
        </w:rPr>
        <w:t xml:space="preserve">Test Steps:</w:t>
      </w:r>
    </w:p>
    <w:p>
      <w:pPr>
        <w:pStyle w:val="ListParagraph"/>
        <w:numPr>
          <w:ilvl w:val="0"/>
          <w:numId w:val="2"/>
        </w:numPr>
      </w:pPr>
      <w:r>
        <w:rPr>
          <w:rFonts w:ascii="Arial" w:cs="Arial" w:eastAsia="Arial" w:hAnsi="Arial"/>
          <w:sz w:val="20"/>
          <w:szCs w:val="20"/>
        </w:rPr>
        <w:t xml:space="preserve">Verify Query Store is enabled by default on new databases created in SQL 2025.</w:t>
      </w:r>
    </w:p>
    <w:p>
      <w:pPr>
        <w:pStyle w:val="ListParagraph"/>
        <w:numPr>
          <w:ilvl w:val="0"/>
          <w:numId w:val="2"/>
        </w:numPr>
      </w:pPr>
      <w:r>
        <w:rPr>
          <w:rFonts w:ascii="Arial" w:cs="Arial" w:eastAsia="Arial" w:hAnsi="Arial"/>
          <w:sz w:val="20"/>
          <w:szCs w:val="20"/>
        </w:rPr>
        <w:t xml:space="preserve">Verify Query Store is NOT automatically enabled for databases restored from SQL 2022 (consistent with SQL 2022 behavior). Run a process to enable Query Store on all restored databases.</w:t>
      </w:r>
    </w:p>
    <w:p>
      <w:pPr>
        <w:pStyle w:val="ListParagraph"/>
        <w:numPr>
          <w:ilvl w:val="0"/>
          <w:numId w:val="2"/>
        </w:numPr>
      </w:pPr>
      <w:r>
        <w:rPr>
          <w:rFonts w:ascii="Arial" w:cs="Arial" w:eastAsia="Arial" w:hAnsi="Arial"/>
          <w:sz w:val="20"/>
          <w:szCs w:val="20"/>
        </w:rPr>
        <w:t xml:space="preserve">On an AG with a readable secondary, connect to the secondary and execute queries. Verify Query Store captures execution statistics from secondary workload.</w:t>
      </w:r>
    </w:p>
    <w:p>
      <w:pPr>
        <w:pStyle w:val="ListParagraph"/>
        <w:numPr>
          <w:ilvl w:val="0"/>
          <w:numId w:val="2"/>
        </w:numPr>
      </w:pPr>
      <w:r>
        <w:rPr>
          <w:rFonts w:ascii="Arial" w:cs="Arial" w:eastAsia="Arial" w:hAnsi="Arial"/>
          <w:sz w:val="20"/>
          <w:szCs w:val="20"/>
        </w:rPr>
        <w:t xml:space="preserve">Identify a parameter-sensitive query in the test environment and enable OPPO. Verify SQL Server generates an optimized plan for the query.</w:t>
      </w:r>
    </w:p>
    <w:p>
      <w:pPr>
        <w:pStyle w:val="ListParagraph"/>
        <w:numPr>
          <w:ilvl w:val="0"/>
          <w:numId w:val="2"/>
        </w:numPr>
      </w:pPr>
      <w:r>
        <w:rPr>
          <w:rFonts w:ascii="Arial" w:cs="Arial" w:eastAsia="Arial" w:hAnsi="Arial"/>
          <w:sz w:val="20"/>
          <w:szCs w:val="20"/>
        </w:rPr>
        <w:t xml:space="preserve">Enable DOP feedback and run a parallelism-heavy query multiple times. Verify DOP feedback adjusts the DOP hint for subsequent executions.</w:t>
      </w:r>
    </w:p>
    <w:p>
      <w:pPr>
        <w:pStyle w:val="ListParagraph"/>
        <w:numPr>
          <w:ilvl w:val="0"/>
          <w:numId w:val="2"/>
        </w:numPr>
      </w:pPr>
      <w:r>
        <w:rPr>
          <w:rFonts w:ascii="Arial" w:cs="Arial" w:eastAsia="Arial" w:hAnsi="Arial"/>
          <w:sz w:val="20"/>
          <w:szCs w:val="20"/>
        </w:rPr>
        <w:t xml:space="preserve">Verify Query Store max size defaults and adjust per Abbott standards if needed.</w:t>
      </w:r>
    </w:p>
    <w:p>
      <w:pPr>
        <w:pStyle w:val="ListParagraph"/>
        <w:numPr>
          <w:ilvl w:val="0"/>
          <w:numId w:val="2"/>
        </w:numPr>
      </w:pPr>
      <w:r>
        <w:rPr>
          <w:rFonts w:ascii="Arial" w:cs="Arial" w:eastAsia="Arial" w:hAnsi="Arial"/>
          <w:sz w:val="20"/>
          <w:szCs w:val="20"/>
        </w:rPr>
        <w:t xml:space="preserve">Update the DBA process for enabling Query Store on restored databases to cover SQL 2025 instances.</w:t>
      </w:r>
    </w:p>
    <w:p>
      <w:r>
        <w:t xml:space="preserve"/>
      </w:r>
    </w:p>
    <w:p>
      <w:pPr>
        <w:pStyle w:val="Heading3"/>
        <w:pBdr>
          <w:bottom w:val="single" w:color="2E75B6" w:sz="4" w:space="1"/>
        </w:pBdr>
        <w:spacing w:after="80" w:before="160"/>
      </w:pPr>
      <w:r>
        <w:rPr>
          <w:rFonts w:ascii="Arial" w:cs="Arial" w:eastAsia="Arial" w:hAnsi="Arial"/>
          <w:b/>
          <w:bCs/>
          <w:color w:val="2E75B6"/>
          <w:sz w:val="22"/>
          <w:szCs w:val="22"/>
        </w:rPr>
        <w:t xml:space="preserve">9.10. T-SQL Enhancements (RegEx, JSON Aggregates)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9.10. T-SQL Enhancements (RegEx, JSON Aggregates)</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SQL Server 2025 introduces native Regular Expression (RegEx) support in T-SQL, enabling pattern matching and text extraction without CLR or application-side processing. New functions include REGEXP_LIKE(), REGEXP_COUNT(), REGEXP_INSTR(), REGEXP_REPLACE(), and REGEXP_SUBSTR(). Additionally, new JSON aggregate functions JSON_OBJECTAGG() and JSON_ARRAYAGG() allow constructing JSON objects and arrays from query results. These features require database compatibility level 170 (SQL Server 2025).</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RegEx functions execute correctly at compatibility level 170. JSON aggregate functions produce valid JSON output. No naming conflicts with existing Abbott database objects.</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Notes / Findings</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TBD - Document any Abbott CLR functions that can be migrated to native RegEx. Note compatibility level requirements for production databases.</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Test Status</w:t>
            </w:r>
          </w:p>
        </w:tc>
        <w:tc>
          <w:tcPr>
            <w:tcW w:type="dxa" w:w="7360"/>
            <w:tcBorders>
              <w:top w:val="single" w:color="AAAAAA" w:sz="4"/>
              <w:left w:val="single" w:color="AAAAAA" w:sz="4"/>
              <w:bottom w:val="single" w:color="AAAAAA" w:sz="4"/>
              <w:right w:val="single" w:color="AAAAAA" w:sz="4"/>
            </w:tcBorders>
            <w:shd w:fill="FFEB9C" w:val="clear"/>
            <w:tcMar>
              <w:top w:type="dxa" w:w="80"/>
              <w:left w:type="dxa" w:w="120"/>
              <w:bottom w:type="dxa" w:w="80"/>
              <w:right w:type="dxa" w:w="120"/>
            </w:tcMar>
          </w:tcPr>
          <w:p>
            <w:r>
              <w:rPr>
                <w:rFonts w:ascii="Arial" w:cs="Arial" w:eastAsia="Arial" w:hAnsi="Arial"/>
                <w:b/>
                <w:bCs/>
                <w:color w:val="7F6000"/>
                <w:sz w:val="20"/>
                <w:szCs w:val="20"/>
              </w:rPr>
              <w:t xml:space="preserve">PENDING</w:t>
            </w:r>
          </w:p>
        </w:tc>
      </w:tr>
    </w:tbl>
    <w:p>
      <w:r>
        <w:t xml:space="preserve"/>
      </w:r>
    </w:p>
    <w:p>
      <w:r>
        <w:rPr>
          <w:rFonts w:ascii="Arial" w:cs="Arial" w:eastAsia="Arial" w:hAnsi="Arial"/>
          <w:b/>
          <w:bCs/>
          <w:sz w:val="20"/>
          <w:szCs w:val="20"/>
        </w:rPr>
        <w:t xml:space="preserve">Test Steps:</w:t>
      </w:r>
    </w:p>
    <w:p>
      <w:pPr>
        <w:pStyle w:val="ListParagraph"/>
        <w:numPr>
          <w:ilvl w:val="0"/>
          <w:numId w:val="2"/>
        </w:numPr>
      </w:pPr>
      <w:r>
        <w:rPr>
          <w:rFonts w:ascii="Arial" w:cs="Arial" w:eastAsia="Arial" w:hAnsi="Arial"/>
          <w:sz w:val="20"/>
          <w:szCs w:val="20"/>
        </w:rPr>
        <w:t xml:space="preserve">Verify database compatibility level 170 is required for RegEx functions; test function availability at lower compatibility levels.</w:t>
      </w:r>
    </w:p>
    <w:p>
      <w:pPr>
        <w:pStyle w:val="ListParagraph"/>
        <w:numPr>
          <w:ilvl w:val="0"/>
          <w:numId w:val="2"/>
        </w:numPr>
      </w:pPr>
      <w:r>
        <w:rPr>
          <w:rFonts w:ascii="Arial" w:cs="Arial" w:eastAsia="Arial" w:hAnsi="Arial"/>
          <w:sz w:val="20"/>
          <w:szCs w:val="20"/>
        </w:rPr>
        <w:t xml:space="preserve">Execute sample RegEx queries using REGEXP_LIKE(), REGEXP_REPLACE(), and REGEXP_SUBSTR() against test data and verify correct results.</w:t>
      </w:r>
    </w:p>
    <w:p>
      <w:pPr>
        <w:pStyle w:val="ListParagraph"/>
        <w:numPr>
          <w:ilvl w:val="0"/>
          <w:numId w:val="2"/>
        </w:numPr>
      </w:pPr>
      <w:r>
        <w:rPr>
          <w:rFonts w:ascii="Arial" w:cs="Arial" w:eastAsia="Arial" w:hAnsi="Arial"/>
          <w:sz w:val="20"/>
          <w:szCs w:val="20"/>
        </w:rPr>
        <w:t xml:space="preserve">Test JSON_OBJECTAGG() and JSON_ARRAYAGG() aggregate functions against sample data and verify JSON output structure.</w:t>
      </w:r>
    </w:p>
    <w:p>
      <w:pPr>
        <w:pStyle w:val="ListParagraph"/>
        <w:numPr>
          <w:ilvl w:val="0"/>
          <w:numId w:val="2"/>
        </w:numPr>
      </w:pPr>
      <w:r>
        <w:rPr>
          <w:rFonts w:ascii="Arial" w:cs="Arial" w:eastAsia="Arial" w:hAnsi="Arial"/>
          <w:sz w:val="20"/>
          <w:szCs w:val="20"/>
        </w:rPr>
        <w:t xml:space="preserve">Test JSON_CONTAINS() function for containment checks.</w:t>
      </w:r>
    </w:p>
    <w:p>
      <w:pPr>
        <w:pStyle w:val="ListParagraph"/>
        <w:numPr>
          <w:ilvl w:val="0"/>
          <w:numId w:val="2"/>
        </w:numPr>
      </w:pPr>
      <w:r>
        <w:rPr>
          <w:rFonts w:ascii="Arial" w:cs="Arial" w:eastAsia="Arial" w:hAnsi="Arial"/>
          <w:sz w:val="20"/>
          <w:szCs w:val="20"/>
        </w:rPr>
        <w:t xml:space="preserve">Verify no naming conflicts between new T-SQL function names and existing stored procedures or user-defined functions in Abbott databases.</w:t>
      </w:r>
    </w:p>
    <w:p>
      <w:pPr>
        <w:pStyle w:val="ListParagraph"/>
        <w:numPr>
          <w:ilvl w:val="0"/>
          <w:numId w:val="2"/>
        </w:numPr>
      </w:pPr>
      <w:r>
        <w:rPr>
          <w:rFonts w:ascii="Arial" w:cs="Arial" w:eastAsia="Arial" w:hAnsi="Arial"/>
          <w:sz w:val="20"/>
          <w:szCs w:val="20"/>
        </w:rPr>
        <w:t xml:space="preserve">Review any existing CLR-based text parsing functions in Abbott databases that could be replaced by native RegEx.</w:t>
      </w:r>
    </w:p>
    <w:p>
      <w:r>
        <w:t xml:space="preserve"/>
      </w:r>
    </w:p>
    <w:p>
      <w:pPr>
        <w:pStyle w:val="Heading1"/>
        <w:shd w:fill="1F3864" w:val="clear"/>
        <w:spacing w:after="120" w:before="240"/>
      </w:pPr>
      <w:r>
        <w:rPr>
          <w:rFonts w:ascii="Arial" w:cs="Arial" w:eastAsia="Arial" w:hAnsi="Arial"/>
          <w:b/>
          <w:bCs/>
          <w:color w:val="FFFFFF"/>
          <w:sz w:val="28"/>
          <w:szCs w:val="28"/>
        </w:rPr>
        <w:t xml:space="preserve">10. Compatibility Test Results</w:t>
      </w:r>
    </w:p>
    <w:p>
      <w:r>
        <w:t xml:space="preserve"/>
      </w:r>
    </w:p>
    <w:p>
      <w:pPr>
        <w:pStyle w:val="Heading3"/>
        <w:pBdr>
          <w:bottom w:val="single" w:color="2E75B6" w:sz="4" w:space="1"/>
        </w:pBdr>
        <w:spacing w:after="80" w:before="160"/>
      </w:pPr>
      <w:r>
        <w:rPr>
          <w:rFonts w:ascii="Arial" w:cs="Arial" w:eastAsia="Arial" w:hAnsi="Arial"/>
          <w:b/>
          <w:bCs/>
          <w:color w:val="2E75B6"/>
          <w:sz w:val="22"/>
          <w:szCs w:val="22"/>
        </w:rPr>
        <w:t xml:space="preserve">10.1 Installation</w:t>
      </w:r>
    </w:p>
    <w:p>
      <w:r>
        <w:rPr>
          <w:rFonts w:ascii="Arial" w:cs="Arial" w:eastAsia="Arial" w:hAnsi="Arial"/>
          <w:sz w:val="20"/>
          <w:szCs w:val="20"/>
        </w:rPr>
        <w:t xml:space="preserve">SQL Server 2025 installation was performed using updated Abbott SQL build documentation adapted from the SQL 2022 build scripts. Installation was performed on Windows Server [TBD] using the SQL 2025 installation media.</w:t>
      </w:r>
    </w:p>
    <w:p>
      <w:r>
        <w:t xml:space="preserve"/>
      </w:r>
    </w:p>
    <w:p>
      <w:r>
        <w:rPr>
          <w:rFonts w:ascii="Arial" w:cs="Arial" w:eastAsia="Arial" w:hAnsi="Arial"/>
          <w:b/>
          <w:bCs/>
          <w:sz w:val="20"/>
          <w:szCs w:val="20"/>
        </w:rPr>
        <w:t xml:space="preserve">Test Steps:</w:t>
      </w:r>
    </w:p>
    <w:p>
      <w:pPr>
        <w:pStyle w:val="ListParagraph"/>
        <w:numPr>
          <w:ilvl w:val="0"/>
          <w:numId w:val="2"/>
        </w:numPr>
      </w:pPr>
      <w:r>
        <w:rPr>
          <w:rFonts w:ascii="Arial" w:cs="Arial" w:eastAsia="Arial" w:hAnsi="Arial"/>
          <w:sz w:val="20"/>
          <w:szCs w:val="20"/>
        </w:rPr>
        <w:t xml:space="preserve">Execute SQL 2025 installation using the updated Abbott build script, including /SQLSVCINSTANTFILEINIT parameter for instant file initialization.</w:t>
      </w:r>
    </w:p>
    <w:p>
      <w:pPr>
        <w:pStyle w:val="ListParagraph"/>
        <w:numPr>
          <w:ilvl w:val="0"/>
          <w:numId w:val="2"/>
        </w:numPr>
      </w:pPr>
      <w:r>
        <w:rPr>
          <w:rFonts w:ascii="Arial" w:cs="Arial" w:eastAsia="Arial" w:hAnsi="Arial"/>
          <w:sz w:val="20"/>
          <w:szCs w:val="20"/>
        </w:rPr>
        <w:t xml:space="preserve">Verify SQL service account is added to 'Perform volume maintenance tasks' local policy post-installation.</w:t>
      </w:r>
    </w:p>
    <w:p>
      <w:pPr>
        <w:pStyle w:val="ListParagraph"/>
        <w:numPr>
          <w:ilvl w:val="0"/>
          <w:numId w:val="2"/>
        </w:numPr>
      </w:pPr>
      <w:r>
        <w:rPr>
          <w:rFonts w:ascii="Arial" w:cs="Arial" w:eastAsia="Arial" w:hAnsi="Arial"/>
          <w:sz w:val="20"/>
          <w:szCs w:val="20"/>
        </w:rPr>
        <w:t xml:space="preserve">Verify the SQLVolumeMaintenance local group workaround (implemented for SQL 2022 / Windows 2022 GPO conflict) is still required and functioning correctly.</w:t>
      </w:r>
    </w:p>
    <w:p>
      <w:pPr>
        <w:pStyle w:val="ListParagraph"/>
        <w:numPr>
          <w:ilvl w:val="0"/>
          <w:numId w:val="2"/>
        </w:numPr>
      </w:pPr>
      <w:r>
        <w:rPr>
          <w:rFonts w:ascii="Arial" w:cs="Arial" w:eastAsia="Arial" w:hAnsi="Arial"/>
          <w:sz w:val="20"/>
          <w:szCs w:val="20"/>
        </w:rPr>
        <w:t xml:space="preserve">Verify SQL services start correctly; confirm service startup type (Delayed Start behavior from SQL 2022 is expected to persist).</w:t>
      </w:r>
    </w:p>
    <w:p>
      <w:pPr>
        <w:pStyle w:val="ListParagraph"/>
        <w:numPr>
          <w:ilvl w:val="0"/>
          <w:numId w:val="2"/>
        </w:numPr>
      </w:pPr>
      <w:r>
        <w:rPr>
          <w:rFonts w:ascii="Arial" w:cs="Arial" w:eastAsia="Arial" w:hAnsi="Arial"/>
          <w:sz w:val="20"/>
          <w:szCs w:val="20"/>
        </w:rPr>
        <w:t xml:space="preserve">Confirm TCP port reservation is included in build scripts to prevent port conflicts during delayed service start.</w:t>
      </w:r>
    </w:p>
    <w:p>
      <w:pPr>
        <w:pStyle w:val="ListParagraph"/>
        <w:numPr>
          <w:ilvl w:val="0"/>
          <w:numId w:val="2"/>
        </w:numPr>
      </w:pPr>
      <w:r>
        <w:rPr>
          <w:rFonts w:ascii="Arial" w:cs="Arial" w:eastAsia="Arial" w:hAnsi="Arial"/>
          <w:sz w:val="20"/>
          <w:szCs w:val="20"/>
        </w:rPr>
        <w:t xml:space="preserve">Install SQL Server 2025 Cumulative Update [TBD - current CU] post-installation.</w:t>
      </w:r>
    </w:p>
    <w:p>
      <w:pPr>
        <w:pStyle w:val="ListParagraph"/>
        <w:numPr>
          <w:ilvl w:val="0"/>
          <w:numId w:val="2"/>
        </w:numPr>
      </w:pPr>
      <w:r>
        <w:rPr>
          <w:rFonts w:ascii="Arial" w:cs="Arial" w:eastAsia="Arial" w:hAnsi="Arial"/>
          <w:sz w:val="20"/>
          <w:szCs w:val="20"/>
        </w:rPr>
        <w:t xml:space="preserve">Run post-installation configuration scripts (max memory, max DOP, cost threshold for parallelism, etc.) and verify all settings apply correctly.</w:t>
      </w:r>
    </w:p>
    <w:p>
      <w:pPr>
        <w:pStyle w:val="ListParagraph"/>
        <w:numPr>
          <w:ilvl w:val="0"/>
          <w:numId w:val="2"/>
        </w:numPr>
      </w:pPr>
      <w:r>
        <w:rPr>
          <w:rFonts w:ascii="Arial" w:cs="Arial" w:eastAsia="Arial" w:hAnsi="Arial"/>
          <w:sz w:val="20"/>
          <w:szCs w:val="20"/>
        </w:rPr>
        <w:t xml:space="preserve">Confirm TDS 8.0 / TLS 1.3 certificate is installed during build process to prevent connection failures post-deployment.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Findings / Notes</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TBD - Document any new installation parameters, script changes, or GPO interactions discovered during SQL 2025 installation.</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Test Status</w:t>
            </w:r>
          </w:p>
        </w:tc>
        <w:tc>
          <w:tcPr>
            <w:tcW w:type="dxa" w:w="7360"/>
            <w:tcBorders>
              <w:top w:val="single" w:color="AAAAAA" w:sz="4"/>
              <w:left w:val="single" w:color="AAAAAA" w:sz="4"/>
              <w:bottom w:val="single" w:color="AAAAAA" w:sz="4"/>
              <w:right w:val="single" w:color="AAAAAA" w:sz="4"/>
            </w:tcBorders>
            <w:shd w:fill="FFEB9C" w:val="clear"/>
            <w:tcMar>
              <w:top w:type="dxa" w:w="80"/>
              <w:left w:type="dxa" w:w="120"/>
              <w:bottom w:type="dxa" w:w="80"/>
              <w:right w:type="dxa" w:w="120"/>
            </w:tcMar>
          </w:tcPr>
          <w:p>
            <w:r>
              <w:rPr>
                <w:rFonts w:ascii="Arial" w:cs="Arial" w:eastAsia="Arial" w:hAnsi="Arial"/>
                <w:b/>
                <w:bCs/>
                <w:color w:val="7F6000"/>
                <w:sz w:val="20"/>
                <w:szCs w:val="20"/>
              </w:rPr>
              <w:t xml:space="preserve">PENDING</w:t>
            </w:r>
          </w:p>
        </w:tc>
      </w:tr>
    </w:tbl>
    <w:p>
      <w:r>
        <w:t xml:space="preserve"/>
      </w:r>
    </w:p>
    <w:p>
      <w:pPr>
        <w:pStyle w:val="Heading3"/>
        <w:pBdr>
          <w:bottom w:val="single" w:color="2E75B6" w:sz="4" w:space="1"/>
        </w:pBdr>
        <w:spacing w:after="80" w:before="160"/>
      </w:pPr>
      <w:r>
        <w:rPr>
          <w:rFonts w:ascii="Arial" w:cs="Arial" w:eastAsia="Arial" w:hAnsi="Arial"/>
          <w:b/>
          <w:bCs/>
          <w:color w:val="2E75B6"/>
          <w:sz w:val="22"/>
          <w:szCs w:val="22"/>
        </w:rPr>
        <w:t xml:space="preserve">10.2 Monitoring</w:t>
      </w:r>
    </w:p>
    <w:p>
      <w:r>
        <w:rPr>
          <w:rFonts w:ascii="Arial" w:cs="Arial" w:eastAsia="Arial" w:hAnsi="Arial"/>
          <w:sz w:val="20"/>
          <w:szCs w:val="20"/>
        </w:rPr>
        <w:t xml:space="preserve">The Abbott DBA team uses SCOM as its primary monitoring platform. Compatibility of the existing SQL Management Packs with SQL Server 2025 must be verified.</w:t>
      </w:r>
    </w:p>
    <w:p>
      <w:r>
        <w:t xml:space="preserve"/>
      </w:r>
    </w:p>
    <w:p>
      <w:r>
        <w:rPr>
          <w:rFonts w:ascii="Arial" w:cs="Arial" w:eastAsia="Arial" w:hAnsi="Arial"/>
          <w:b/>
          <w:bCs/>
          <w:sz w:val="20"/>
          <w:szCs w:val="20"/>
        </w:rPr>
        <w:t xml:space="preserve">Test Steps:</w:t>
      </w:r>
    </w:p>
    <w:p>
      <w:pPr>
        <w:pStyle w:val="ListParagraph"/>
        <w:numPr>
          <w:ilvl w:val="0"/>
          <w:numId w:val="2"/>
        </w:numPr>
      </w:pPr>
      <w:r>
        <w:rPr>
          <w:rFonts w:ascii="Arial" w:cs="Arial" w:eastAsia="Arial" w:hAnsi="Arial"/>
          <w:sz w:val="20"/>
          <w:szCs w:val="20"/>
        </w:rPr>
        <w:t xml:space="preserve">Verify SCOM SQL Management Pack version supports discovery and monitoring of SQL Server 2025 instances.</w:t>
      </w:r>
    </w:p>
    <w:p>
      <w:pPr>
        <w:pStyle w:val="ListParagraph"/>
        <w:numPr>
          <w:ilvl w:val="0"/>
          <w:numId w:val="2"/>
        </w:numPr>
      </w:pPr>
      <w:r>
        <w:rPr>
          <w:rFonts w:ascii="Arial" w:cs="Arial" w:eastAsia="Arial" w:hAnsi="Arial"/>
          <w:sz w:val="20"/>
          <w:szCs w:val="20"/>
        </w:rPr>
        <w:t xml:space="preserve">Confirm SQL 2025 instances are auto-discovered by SCOM after installation.</w:t>
      </w:r>
    </w:p>
    <w:p>
      <w:pPr>
        <w:pStyle w:val="ListParagraph"/>
        <w:numPr>
          <w:ilvl w:val="0"/>
          <w:numId w:val="2"/>
        </w:numPr>
      </w:pPr>
      <w:r>
        <w:rPr>
          <w:rFonts w:ascii="Arial" w:cs="Arial" w:eastAsia="Arial" w:hAnsi="Arial"/>
          <w:sz w:val="20"/>
          <w:szCs w:val="20"/>
        </w:rPr>
        <w:t xml:space="preserve">Verify key monitors are active: SQL Service health, AG health, disk space, blocking, failed jobs.</w:t>
      </w:r>
    </w:p>
    <w:p>
      <w:pPr>
        <w:pStyle w:val="ListParagraph"/>
        <w:numPr>
          <w:ilvl w:val="0"/>
          <w:numId w:val="2"/>
        </w:numPr>
      </w:pPr>
      <w:r>
        <w:rPr>
          <w:rFonts w:ascii="Arial" w:cs="Arial" w:eastAsia="Arial" w:hAnsi="Arial"/>
          <w:sz w:val="20"/>
          <w:szCs w:val="20"/>
        </w:rPr>
        <w:t xml:space="preserve">Confirm SCOM alerts fire correctly for test scenarios (e.g., stopping the SQL service, causing a blocking chain).</w:t>
      </w:r>
    </w:p>
    <w:p>
      <w:pPr>
        <w:pStyle w:val="ListParagraph"/>
        <w:numPr>
          <w:ilvl w:val="0"/>
          <w:numId w:val="2"/>
        </w:numPr>
      </w:pPr>
      <w:r>
        <w:rPr>
          <w:rFonts w:ascii="Arial" w:cs="Arial" w:eastAsia="Arial" w:hAnsi="Arial"/>
          <w:sz w:val="20"/>
          <w:szCs w:val="20"/>
        </w:rPr>
        <w:t xml:space="preserve">Review if any SCOM management pack update is required for SQL 2025 compatibility and document version requirements.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Findings / Notes</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TBD - Note the SCOM Management Pack version tested. Document any required updates to management packs or monitoring rules.</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Test Status</w:t>
            </w:r>
          </w:p>
        </w:tc>
        <w:tc>
          <w:tcPr>
            <w:tcW w:type="dxa" w:w="7360"/>
            <w:tcBorders>
              <w:top w:val="single" w:color="AAAAAA" w:sz="4"/>
              <w:left w:val="single" w:color="AAAAAA" w:sz="4"/>
              <w:bottom w:val="single" w:color="AAAAAA" w:sz="4"/>
              <w:right w:val="single" w:color="AAAAAA" w:sz="4"/>
            </w:tcBorders>
            <w:shd w:fill="FFEB9C" w:val="clear"/>
            <w:tcMar>
              <w:top w:type="dxa" w:w="80"/>
              <w:left w:type="dxa" w:w="120"/>
              <w:bottom w:type="dxa" w:w="80"/>
              <w:right w:type="dxa" w:w="120"/>
            </w:tcMar>
          </w:tcPr>
          <w:p>
            <w:r>
              <w:rPr>
                <w:rFonts w:ascii="Arial" w:cs="Arial" w:eastAsia="Arial" w:hAnsi="Arial"/>
                <w:b/>
                <w:bCs/>
                <w:color w:val="7F6000"/>
                <w:sz w:val="20"/>
                <w:szCs w:val="20"/>
              </w:rPr>
              <w:t xml:space="preserve">PENDING</w:t>
            </w:r>
          </w:p>
        </w:tc>
      </w:tr>
    </w:tbl>
    <w:p>
      <w:r>
        <w:t xml:space="preserve"/>
      </w:r>
    </w:p>
    <w:p>
      <w:pPr>
        <w:pStyle w:val="Heading3"/>
        <w:pBdr>
          <w:bottom w:val="single" w:color="2E75B6" w:sz="4" w:space="1"/>
        </w:pBdr>
        <w:spacing w:after="80" w:before="160"/>
      </w:pPr>
      <w:r>
        <w:rPr>
          <w:rFonts w:ascii="Arial" w:cs="Arial" w:eastAsia="Arial" w:hAnsi="Arial"/>
          <w:b/>
          <w:bCs/>
          <w:color w:val="2E75B6"/>
          <w:sz w:val="22"/>
          <w:szCs w:val="22"/>
        </w:rPr>
        <w:t xml:space="preserve">10.3 Automation and Maintenance Jobs</w:t>
      </w:r>
    </w:p>
    <w:p>
      <w:r>
        <w:rPr>
          <w:rFonts w:ascii="Arial" w:cs="Arial" w:eastAsia="Arial" w:hAnsi="Arial"/>
          <w:sz w:val="20"/>
          <w:szCs w:val="20"/>
        </w:rPr>
        <w:t xml:space="preserve">All Abbott SQL automation scripts, inventory stored procedures, and maintenance jobs must be tested for compatibility with SQL Server 2025.</w:t>
      </w:r>
    </w:p>
    <w:p>
      <w:r>
        <w:t xml:space="preserve"/>
      </w:r>
    </w:p>
    <w:p>
      <w:r>
        <w:rPr>
          <w:rFonts w:ascii="Arial" w:cs="Arial" w:eastAsia="Arial" w:hAnsi="Arial"/>
          <w:b/>
          <w:bCs/>
          <w:sz w:val="20"/>
          <w:szCs w:val="20"/>
        </w:rPr>
        <w:t xml:space="preserve">Test Steps:</w:t>
      </w:r>
    </w:p>
    <w:p>
      <w:pPr>
        <w:pStyle w:val="ListParagraph"/>
        <w:numPr>
          <w:ilvl w:val="0"/>
          <w:numId w:val="2"/>
        </w:numPr>
      </w:pPr>
      <w:r>
        <w:rPr>
          <w:rFonts w:ascii="Arial" w:cs="Arial" w:eastAsia="Arial" w:hAnsi="Arial"/>
          <w:sz w:val="20"/>
          <w:szCs w:val="20"/>
        </w:rPr>
        <w:t xml:space="preserve">Execute the Abbott inventory stored procedures and verify SQL 2025 instances are correctly discovered and catalogued.</w:t>
      </w:r>
    </w:p>
    <w:p>
      <w:pPr>
        <w:pStyle w:val="ListParagraph"/>
        <w:numPr>
          <w:ilvl w:val="0"/>
          <w:numId w:val="2"/>
        </w:numPr>
      </w:pPr>
      <w:r>
        <w:rPr>
          <w:rFonts w:ascii="Arial" w:cs="Arial" w:eastAsia="Arial" w:hAnsi="Arial"/>
          <w:sz w:val="20"/>
          <w:szCs w:val="20"/>
        </w:rPr>
        <w:t xml:space="preserve">Update inventory server tables, views, and stored procedures to include SQL Server 2025 (version 17.x) where applicable.</w:t>
      </w:r>
    </w:p>
    <w:p>
      <w:pPr>
        <w:pStyle w:val="ListParagraph"/>
        <w:numPr>
          <w:ilvl w:val="0"/>
          <w:numId w:val="2"/>
        </w:numPr>
      </w:pPr>
      <w:r>
        <w:rPr>
          <w:rFonts w:ascii="Arial" w:cs="Arial" w:eastAsia="Arial" w:hAnsi="Arial"/>
          <w:sz w:val="20"/>
          <w:szCs w:val="20"/>
        </w:rPr>
        <w:t xml:space="preserve">Run all SQL maintenance jobs (index maintenance, statistics updates, backups, DBCC CHECKDB) against test databases on SQL 2025 and verify completion without errors.</w:t>
      </w:r>
    </w:p>
    <w:p>
      <w:pPr>
        <w:pStyle w:val="ListParagraph"/>
        <w:numPr>
          <w:ilvl w:val="0"/>
          <w:numId w:val="2"/>
        </w:numPr>
      </w:pPr>
      <w:r>
        <w:rPr>
          <w:rFonts w:ascii="Arial" w:cs="Arial" w:eastAsia="Arial" w:hAnsi="Arial"/>
          <w:sz w:val="20"/>
          <w:szCs w:val="20"/>
        </w:rPr>
        <w:t xml:space="preserve">Run the SQL installer script against a SQL 2025 target and verify correct installation paths, license keys, and parameters for SQL 2025.</w:t>
      </w:r>
    </w:p>
    <w:p>
      <w:pPr>
        <w:pStyle w:val="ListParagraph"/>
        <w:numPr>
          <w:ilvl w:val="0"/>
          <w:numId w:val="2"/>
        </w:numPr>
      </w:pPr>
      <w:r>
        <w:rPr>
          <w:rFonts w:ascii="Arial" w:cs="Arial" w:eastAsia="Arial" w:hAnsi="Arial"/>
          <w:sz w:val="20"/>
          <w:szCs w:val="20"/>
        </w:rPr>
        <w:t xml:space="preserve">Run the SQL patching script with a SQL 2025 CU and verify the patching process completes successfully.</w:t>
      </w:r>
    </w:p>
    <w:p>
      <w:pPr>
        <w:pStyle w:val="ListParagraph"/>
        <w:numPr>
          <w:ilvl w:val="0"/>
          <w:numId w:val="2"/>
        </w:numPr>
      </w:pPr>
      <w:r>
        <w:rPr>
          <w:rFonts w:ascii="Arial" w:cs="Arial" w:eastAsia="Arial" w:hAnsi="Arial"/>
          <w:sz w:val="20"/>
          <w:szCs w:val="20"/>
        </w:rPr>
        <w:t xml:space="preserve">Verify Ola Hallengren (or equivalent) maintenance solution is compatible with SQL Server 2025 compatibility level 170.</w:t>
      </w:r>
    </w:p>
    <w:p>
      <w:pPr>
        <w:pStyle w:val="ListParagraph"/>
        <w:numPr>
          <w:ilvl w:val="0"/>
          <w:numId w:val="2"/>
        </w:numPr>
      </w:pPr>
      <w:r>
        <w:rPr>
          <w:rFonts w:ascii="Arial" w:cs="Arial" w:eastAsia="Arial" w:hAnsi="Arial"/>
          <w:sz w:val="20"/>
          <w:szCs w:val="20"/>
        </w:rPr>
        <w:t xml:space="preserve">Test any custom DBA automation scripts (e.g., AG failover scripts, login sync scripts) against SQL 2025.</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Findings / Notes</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TBD - Document all script updates required. Note any SQL 2025-specific changes needed in inventory tables, installer scripts, or maintenance solutions.</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Test Status</w:t>
            </w:r>
          </w:p>
        </w:tc>
        <w:tc>
          <w:tcPr>
            <w:tcW w:type="dxa" w:w="7360"/>
            <w:tcBorders>
              <w:top w:val="single" w:color="AAAAAA" w:sz="4"/>
              <w:left w:val="single" w:color="AAAAAA" w:sz="4"/>
              <w:bottom w:val="single" w:color="AAAAAA" w:sz="4"/>
              <w:right w:val="single" w:color="AAAAAA" w:sz="4"/>
            </w:tcBorders>
            <w:shd w:fill="FFEB9C" w:val="clear"/>
            <w:tcMar>
              <w:top w:type="dxa" w:w="80"/>
              <w:left w:type="dxa" w:w="120"/>
              <w:bottom w:type="dxa" w:w="80"/>
              <w:right w:type="dxa" w:w="120"/>
            </w:tcMar>
          </w:tcPr>
          <w:p>
            <w:r>
              <w:rPr>
                <w:rFonts w:ascii="Arial" w:cs="Arial" w:eastAsia="Arial" w:hAnsi="Arial"/>
                <w:b/>
                <w:bCs/>
                <w:color w:val="7F6000"/>
                <w:sz w:val="20"/>
                <w:szCs w:val="20"/>
              </w:rPr>
              <w:t xml:space="preserve">PENDING</w:t>
            </w:r>
          </w:p>
        </w:tc>
      </w:tr>
    </w:tbl>
    <w:p>
      <w:r>
        <w:t xml:space="preserve"/>
      </w:r>
    </w:p>
    <w:p>
      <w:pPr>
        <w:pStyle w:val="Heading3"/>
        <w:pBdr>
          <w:bottom w:val="single" w:color="2E75B6" w:sz="4" w:space="1"/>
        </w:pBdr>
        <w:spacing w:after="80" w:before="160"/>
      </w:pPr>
      <w:r>
        <w:rPr>
          <w:rFonts w:ascii="Arial" w:cs="Arial" w:eastAsia="Arial" w:hAnsi="Arial"/>
          <w:b/>
          <w:bCs/>
          <w:color w:val="2E75B6"/>
          <w:sz w:val="22"/>
          <w:szCs w:val="22"/>
        </w:rPr>
        <w:t xml:space="preserve">10.4 Encryption (TDE and SSL/TLS)</w:t>
      </w:r>
    </w:p>
    <w:p>
      <w:r>
        <w:rPr>
          <w:rFonts w:ascii="Arial" w:cs="Arial" w:eastAsia="Arial" w:hAnsi="Arial"/>
          <w:sz w:val="20"/>
          <w:szCs w:val="20"/>
        </w:rPr>
        <w:t xml:space="preserve">Transparent Data Encryption (TDE) and TLS encryption must be validated on SQL Server 2025 using existing Abbott Security Operating Procedures (SOPs). Note: SQL 2025 defaults to TDS 8.0 / TLS 1.3; this section validates TDE database-level encryption in addition to the transport-layer encryption tested in Section 9.1.</w:t>
      </w:r>
    </w:p>
    <w:p>
      <w:r>
        <w:t xml:space="preserve"/>
      </w:r>
    </w:p>
    <w:p>
      <w:r>
        <w:rPr>
          <w:rFonts w:ascii="Arial" w:cs="Arial" w:eastAsia="Arial" w:hAnsi="Arial"/>
          <w:b/>
          <w:bCs/>
          <w:sz w:val="20"/>
          <w:szCs w:val="20"/>
        </w:rPr>
        <w:t xml:space="preserve">Test Steps:</w:t>
      </w:r>
    </w:p>
    <w:p>
      <w:pPr>
        <w:pStyle w:val="ListParagraph"/>
        <w:numPr>
          <w:ilvl w:val="0"/>
          <w:numId w:val="2"/>
        </w:numPr>
      </w:pPr>
      <w:r>
        <w:rPr>
          <w:rFonts w:ascii="Arial" w:cs="Arial" w:eastAsia="Arial" w:hAnsi="Arial"/>
          <w:sz w:val="20"/>
          <w:szCs w:val="20"/>
        </w:rPr>
        <w:t xml:space="preserve">Set up TDE encryption on test databases on the SQL 2025 instance following the Abbott TDE SOP.</w:t>
      </w:r>
    </w:p>
    <w:p>
      <w:pPr>
        <w:pStyle w:val="ListParagraph"/>
        <w:numPr>
          <w:ilvl w:val="0"/>
          <w:numId w:val="2"/>
        </w:numPr>
      </w:pPr>
      <w:r>
        <w:rPr>
          <w:rFonts w:ascii="Arial" w:cs="Arial" w:eastAsia="Arial" w:hAnsi="Arial"/>
          <w:sz w:val="20"/>
          <w:szCs w:val="20"/>
        </w:rPr>
        <w:t xml:space="preserve">Verify certificate-based TDE encryption is functioning correctly (backup and restore of TDE-protected databases).</w:t>
      </w:r>
    </w:p>
    <w:p>
      <w:pPr>
        <w:pStyle w:val="ListParagraph"/>
        <w:numPr>
          <w:ilvl w:val="0"/>
          <w:numId w:val="2"/>
        </w:numPr>
      </w:pPr>
      <w:r>
        <w:rPr>
          <w:rFonts w:ascii="Arial" w:cs="Arial" w:eastAsia="Arial" w:hAnsi="Arial"/>
          <w:sz w:val="20"/>
          <w:szCs w:val="20"/>
        </w:rPr>
        <w:t xml:space="preserve">Verify the SSL/TLS certificate configuration is consistent with the TDS 8.0 requirements tested in Section 9.1.</w:t>
      </w:r>
    </w:p>
    <w:p>
      <w:pPr>
        <w:pStyle w:val="ListParagraph"/>
        <w:numPr>
          <w:ilvl w:val="0"/>
          <w:numId w:val="2"/>
        </w:numPr>
      </w:pPr>
      <w:r>
        <w:rPr>
          <w:rFonts w:ascii="Arial" w:cs="Arial" w:eastAsia="Arial" w:hAnsi="Arial"/>
          <w:sz w:val="20"/>
          <w:szCs w:val="20"/>
        </w:rPr>
        <w:t xml:space="preserve">Test backup encryption compatibility: verify that backups of TDE databases are correctly encrypted and can be restored.</w:t>
      </w:r>
    </w:p>
    <w:p>
      <w:pPr>
        <w:pStyle w:val="ListParagraph"/>
        <w:numPr>
          <w:ilvl w:val="0"/>
          <w:numId w:val="2"/>
        </w:numPr>
      </w:pPr>
      <w:r>
        <w:rPr>
          <w:rFonts w:ascii="Arial" w:cs="Arial" w:eastAsia="Arial" w:hAnsi="Arial"/>
          <w:sz w:val="20"/>
          <w:szCs w:val="20"/>
        </w:rPr>
        <w:t xml:space="preserve">Verify that the existing Abbott SSL SOP steps are fully compatible with SQL 2025 TLS 1.3 requirements.</w:t>
      </w:r>
    </w:p>
    <w:p>
      <w:pPr>
        <w:pStyle w:val="ListParagraph"/>
        <w:numPr>
          <w:ilvl w:val="0"/>
          <w:numId w:val="2"/>
        </w:numPr>
      </w:pPr>
      <w:r>
        <w:rPr>
          <w:rFonts w:ascii="Arial" w:cs="Arial" w:eastAsia="Arial" w:hAnsi="Arial"/>
          <w:sz w:val="20"/>
          <w:szCs w:val="20"/>
        </w:rPr>
        <w:t xml:space="preserve">Confirm certificate rotation procedures function correctly on SQL 2025.</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Findings / Notes</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TBD - Note any changes to TDE or SSL SOPs required for SQL 2025. Document any certificate requirements introduced by TDS 8.0 / TLS 1.3 defaults.</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Test Status</w:t>
            </w:r>
          </w:p>
        </w:tc>
        <w:tc>
          <w:tcPr>
            <w:tcW w:type="dxa" w:w="7360"/>
            <w:tcBorders>
              <w:top w:val="single" w:color="AAAAAA" w:sz="4"/>
              <w:left w:val="single" w:color="AAAAAA" w:sz="4"/>
              <w:bottom w:val="single" w:color="AAAAAA" w:sz="4"/>
              <w:right w:val="single" w:color="AAAAAA" w:sz="4"/>
            </w:tcBorders>
            <w:shd w:fill="FFEB9C" w:val="clear"/>
            <w:tcMar>
              <w:top w:type="dxa" w:w="80"/>
              <w:left w:type="dxa" w:w="120"/>
              <w:bottom w:type="dxa" w:w="80"/>
              <w:right w:type="dxa" w:w="120"/>
            </w:tcMar>
          </w:tcPr>
          <w:p>
            <w:r>
              <w:rPr>
                <w:rFonts w:ascii="Arial" w:cs="Arial" w:eastAsia="Arial" w:hAnsi="Arial"/>
                <w:b/>
                <w:bCs/>
                <w:color w:val="7F6000"/>
                <w:sz w:val="20"/>
                <w:szCs w:val="20"/>
              </w:rPr>
              <w:t xml:space="preserve">PENDING</w:t>
            </w:r>
          </w:p>
        </w:tc>
      </w:tr>
    </w:tbl>
    <w:p>
      <w:r>
        <w:t xml:space="preserve"/>
      </w:r>
    </w:p>
    <w:p>
      <w:pPr>
        <w:pStyle w:val="Heading3"/>
        <w:pBdr>
          <w:bottom w:val="single" w:color="2E75B6" w:sz="4" w:space="1"/>
        </w:pBdr>
        <w:spacing w:after="80" w:before="160"/>
      </w:pPr>
      <w:r>
        <w:rPr>
          <w:rFonts w:ascii="Arial" w:cs="Arial" w:eastAsia="Arial" w:hAnsi="Arial"/>
          <w:b/>
          <w:bCs/>
          <w:color w:val="2E75B6"/>
          <w:sz w:val="22"/>
          <w:szCs w:val="22"/>
        </w:rPr>
        <w:t xml:space="preserve">10.5 Other Changes - Linked Servers and Provider Updates</w:t>
      </w:r>
    </w:p>
    <w:p>
      <w:r>
        <w:rPr>
          <w:rFonts w:ascii="Arial" w:cs="Arial" w:eastAsia="Arial" w:hAnsi="Arial"/>
          <w:sz w:val="20"/>
          <w:szCs w:val="20"/>
        </w:rPr>
        <w:t xml:space="preserve">SQL Server 2025 defaults to Strict Encryption (TDS 8.0), which can break Linked Server connections using older providers or self-signed certificates. Additionally, best practices for the OLEDB provider should be reviewed for SQL 2025. This section complements the TDS 8.0 testing in Section 9.1 with specific focus on Linked Server operational procedures.</w:t>
      </w:r>
    </w:p>
    <w:p>
      <w:r>
        <w:t xml:space="preserve"/>
      </w:r>
    </w:p>
    <w:p>
      <w:r>
        <w:rPr>
          <w:rFonts w:ascii="Arial" w:cs="Arial" w:eastAsia="Arial" w:hAnsi="Arial"/>
          <w:b/>
          <w:bCs/>
          <w:sz w:val="20"/>
          <w:szCs w:val="20"/>
        </w:rPr>
        <w:t xml:space="preserve">Test Steps:</w:t>
      </w:r>
    </w:p>
    <w:p>
      <w:pPr>
        <w:pStyle w:val="ListParagraph"/>
        <w:numPr>
          <w:ilvl w:val="0"/>
          <w:numId w:val="2"/>
        </w:numPr>
      </w:pPr>
      <w:r>
        <w:rPr>
          <w:rFonts w:ascii="Arial" w:cs="Arial" w:eastAsia="Arial" w:hAnsi="Arial"/>
          <w:sz w:val="20"/>
          <w:szCs w:val="20"/>
        </w:rPr>
        <w:t xml:space="preserve">Inventory all existing Linked Servers in the Abbott environment and identify their current OLEDB provider and encryption settings.</w:t>
      </w:r>
    </w:p>
    <w:p>
      <w:pPr>
        <w:pStyle w:val="ListParagraph"/>
        <w:numPr>
          <w:ilvl w:val="0"/>
          <w:numId w:val="2"/>
        </w:numPr>
      </w:pPr>
      <w:r>
        <w:rPr>
          <w:rFonts w:ascii="Arial" w:cs="Arial" w:eastAsia="Arial" w:hAnsi="Arial"/>
          <w:sz w:val="20"/>
          <w:szCs w:val="20"/>
        </w:rPr>
        <w:t xml:space="preserve">Test each Linked Server connection against SQL Server 2025 endpoints and document which pass and which fail.</w:t>
      </w:r>
    </w:p>
    <w:p>
      <w:pPr>
        <w:pStyle w:val="ListParagraph"/>
        <w:numPr>
          <w:ilvl w:val="0"/>
          <w:numId w:val="2"/>
        </w:numPr>
      </w:pPr>
      <w:r>
        <w:rPr>
          <w:rFonts w:ascii="Arial" w:cs="Arial" w:eastAsia="Arial" w:hAnsi="Arial"/>
          <w:sz w:val="20"/>
          <w:szCs w:val="20"/>
        </w:rPr>
        <w:t xml:space="preserve">For failed Linked Servers, apply remediation: update provider to MSOLEDBSQL 19 (which supports TLS 1.3), install trusted certificates, or adjust connection encryption settings.</w:t>
      </w:r>
    </w:p>
    <w:p>
      <w:pPr>
        <w:pStyle w:val="ListParagraph"/>
        <w:numPr>
          <w:ilvl w:val="0"/>
          <w:numId w:val="2"/>
        </w:numPr>
      </w:pPr>
      <w:r>
        <w:rPr>
          <w:rFonts w:ascii="Arial" w:cs="Arial" w:eastAsia="Arial" w:hAnsi="Arial"/>
          <w:sz w:val="20"/>
          <w:szCs w:val="20"/>
        </w:rPr>
        <w:t xml:space="preserve">Verify MSOLEDBSQL 19 provider is included in the Abbott SQL 2025 build script installation steps.</w:t>
      </w:r>
    </w:p>
    <w:p>
      <w:pPr>
        <w:pStyle w:val="ListParagraph"/>
        <w:numPr>
          <w:ilvl w:val="0"/>
          <w:numId w:val="2"/>
        </w:numPr>
      </w:pPr>
      <w:r>
        <w:rPr>
          <w:rFonts w:ascii="Arial" w:cs="Arial" w:eastAsia="Arial" w:hAnsi="Arial"/>
          <w:sz w:val="20"/>
          <w:szCs w:val="20"/>
        </w:rPr>
        <w:t xml:space="preserve">Test all Linked Server-dependent stored procedures and jobs after provider remediation.</w:t>
      </w:r>
    </w:p>
    <w:p>
      <w:pPr>
        <w:pStyle w:val="ListParagraph"/>
        <w:numPr>
          <w:ilvl w:val="0"/>
          <w:numId w:val="2"/>
        </w:numPr>
      </w:pPr>
      <w:r>
        <w:rPr>
          <w:rFonts w:ascii="Arial" w:cs="Arial" w:eastAsia="Arial" w:hAnsi="Arial"/>
          <w:sz w:val="20"/>
          <w:szCs w:val="20"/>
        </w:rPr>
        <w:t xml:space="preserve">Verify that any third-party applications connecting to SQL Server 2025 via Linked Server are using compatible providers.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Findings / Notes</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TBD - Document all Linked Servers requiring remediation and the corrective actions taken. Confirm MSOLEDBSQL 19 is the standard provider for all new Linked Servers on SQL 2025.</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Test Status</w:t>
            </w:r>
          </w:p>
        </w:tc>
        <w:tc>
          <w:tcPr>
            <w:tcW w:type="dxa" w:w="7360"/>
            <w:tcBorders>
              <w:top w:val="single" w:color="AAAAAA" w:sz="4"/>
              <w:left w:val="single" w:color="AAAAAA" w:sz="4"/>
              <w:bottom w:val="single" w:color="AAAAAA" w:sz="4"/>
              <w:right w:val="single" w:color="AAAAAA" w:sz="4"/>
            </w:tcBorders>
            <w:shd w:fill="FFEB9C" w:val="clear"/>
            <w:tcMar>
              <w:top w:type="dxa" w:w="80"/>
              <w:left w:type="dxa" w:w="120"/>
              <w:bottom w:type="dxa" w:w="80"/>
              <w:right w:type="dxa" w:w="120"/>
            </w:tcMar>
          </w:tcPr>
          <w:p>
            <w:r>
              <w:rPr>
                <w:rFonts w:ascii="Arial" w:cs="Arial" w:eastAsia="Arial" w:hAnsi="Arial"/>
                <w:b/>
                <w:bCs/>
                <w:color w:val="7F6000"/>
                <w:sz w:val="20"/>
                <w:szCs w:val="20"/>
              </w:rPr>
              <w:t xml:space="preserve">PENDING</w:t>
            </w:r>
          </w:p>
        </w:tc>
      </w:tr>
    </w:tbl>
    <w:p>
      <w:r>
        <w:t xml:space="preserve"/>
      </w:r>
    </w:p>
    <w:p>
      <w:pPr>
        <w:pStyle w:val="Heading1"/>
        <w:shd w:fill="1F3864" w:val="clear"/>
        <w:spacing w:after="120" w:before="240"/>
      </w:pPr>
      <w:r>
        <w:rPr>
          <w:rFonts w:ascii="Arial" w:cs="Arial" w:eastAsia="Arial" w:hAnsi="Arial"/>
          <w:b/>
          <w:bCs/>
          <w:color w:val="FFFFFF"/>
          <w:sz w:val="28"/>
          <w:szCs w:val="28"/>
        </w:rPr>
        <w:t xml:space="preserve">11. Final Testing Results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60"/>
        <w:gridCol w:w="4000"/>
      </w:tblGrid>
      <w:tr>
        <w:trPr>
          <w:tblHeader/>
        </w:trPr>
        <w:tc>
          <w:tcPr>
            <w:tcW w:type="dxa" w:w="3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Area</w:t>
            </w:r>
          </w:p>
        </w:tc>
        <w:tc>
          <w:tcPr>
            <w:tcW w:type="dxa" w:w="18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TDS 8.0 / TLS 1.3 (Breaking Change)</w:t>
            </w:r>
          </w:p>
        </w:tc>
        <w:tc>
          <w:tcPr>
            <w:tcW w:type="dxa" w:w="1860"/>
            <w:tcBorders>
              <w:top w:val="single" w:color="AAAAAA" w:sz="4"/>
              <w:left w:val="single" w:color="AAAAAA" w:sz="4"/>
              <w:bottom w:val="single" w:color="AAAAAA" w:sz="4"/>
              <w:right w:val="single" w:color="AAAAAA" w:sz="4"/>
            </w:tcBorders>
            <w:shd w:fill="FFEB9C" w:val="clear"/>
            <w:tcMar>
              <w:top w:type="dxa" w:w="80"/>
              <w:left w:type="dxa" w:w="120"/>
              <w:bottom w:type="dxa" w:w="80"/>
              <w:right w:type="dxa" w:w="120"/>
            </w:tcMar>
          </w:tcPr>
          <w:p>
            <w:r>
              <w:rPr>
                <w:rFonts w:ascii="Arial" w:cs="Arial" w:eastAsia="Arial" w:hAnsi="Arial"/>
                <w:b/>
                <w:bCs/>
                <w:color w:val="7F6000"/>
                <w:sz w:val="20"/>
                <w:szCs w:val="20"/>
              </w:rPr>
              <w:t xml:space="preserve">PENDING</w:t>
            </w:r>
          </w:p>
        </w:tc>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PBKDF2 Password Hashing</w:t>
            </w:r>
          </w:p>
        </w:tc>
        <w:tc>
          <w:tcPr>
            <w:tcW w:type="dxa" w:w="1860"/>
            <w:tcBorders>
              <w:top w:val="single" w:color="AAAAAA" w:sz="4"/>
              <w:left w:val="single" w:color="AAAAAA" w:sz="4"/>
              <w:bottom w:val="single" w:color="AAAAAA" w:sz="4"/>
              <w:right w:val="single" w:color="AAAAAA" w:sz="4"/>
            </w:tcBorders>
            <w:shd w:fill="FFEB9C" w:val="clear"/>
            <w:tcMar>
              <w:top w:type="dxa" w:w="80"/>
              <w:left w:type="dxa" w:w="120"/>
              <w:bottom w:type="dxa" w:w="80"/>
              <w:right w:type="dxa" w:w="120"/>
            </w:tcMar>
          </w:tcPr>
          <w:p>
            <w:r>
              <w:rPr>
                <w:rFonts w:ascii="Arial" w:cs="Arial" w:eastAsia="Arial" w:hAnsi="Arial"/>
                <w:b/>
                <w:bCs/>
                <w:color w:val="7F6000"/>
                <w:sz w:val="20"/>
                <w:szCs w:val="20"/>
              </w:rPr>
              <w:t xml:space="preserve">PENDING</w:t>
            </w:r>
          </w:p>
        </w:tc>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Native Vector Data Type / AI</w:t>
            </w:r>
          </w:p>
        </w:tc>
        <w:tc>
          <w:tcPr>
            <w:tcW w:type="dxa" w:w="1860"/>
            <w:tcBorders>
              <w:top w:val="single" w:color="AAAAAA" w:sz="4"/>
              <w:left w:val="single" w:color="AAAAAA" w:sz="4"/>
              <w:bottom w:val="single" w:color="AAAAAA" w:sz="4"/>
              <w:right w:val="single" w:color="AAAAAA" w:sz="4"/>
            </w:tcBorders>
            <w:shd w:fill="FFEB9C" w:val="clear"/>
            <w:tcMar>
              <w:top w:type="dxa" w:w="80"/>
              <w:left w:type="dxa" w:w="120"/>
              <w:bottom w:type="dxa" w:w="80"/>
              <w:right w:type="dxa" w:w="120"/>
            </w:tcMar>
          </w:tcPr>
          <w:p>
            <w:r>
              <w:rPr>
                <w:rFonts w:ascii="Arial" w:cs="Arial" w:eastAsia="Arial" w:hAnsi="Arial"/>
                <w:b/>
                <w:bCs/>
                <w:color w:val="7F6000"/>
                <w:sz w:val="20"/>
                <w:szCs w:val="20"/>
              </w:rPr>
              <w:t xml:space="preserve">PENDING</w:t>
            </w:r>
          </w:p>
        </w:tc>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Native JSON Data Type</w:t>
            </w:r>
          </w:p>
        </w:tc>
        <w:tc>
          <w:tcPr>
            <w:tcW w:type="dxa" w:w="1860"/>
            <w:tcBorders>
              <w:top w:val="single" w:color="AAAAAA" w:sz="4"/>
              <w:left w:val="single" w:color="AAAAAA" w:sz="4"/>
              <w:bottom w:val="single" w:color="AAAAAA" w:sz="4"/>
              <w:right w:val="single" w:color="AAAAAA" w:sz="4"/>
            </w:tcBorders>
            <w:shd w:fill="FFEB9C" w:val="clear"/>
            <w:tcMar>
              <w:top w:type="dxa" w:w="80"/>
              <w:left w:type="dxa" w:w="120"/>
              <w:bottom w:type="dxa" w:w="80"/>
              <w:right w:type="dxa" w:w="120"/>
            </w:tcMar>
          </w:tcPr>
          <w:p>
            <w:r>
              <w:rPr>
                <w:rFonts w:ascii="Arial" w:cs="Arial" w:eastAsia="Arial" w:hAnsi="Arial"/>
                <w:b/>
                <w:bCs/>
                <w:color w:val="7F6000"/>
                <w:sz w:val="20"/>
                <w:szCs w:val="20"/>
              </w:rPr>
              <w:t xml:space="preserve">PENDING</w:t>
            </w:r>
          </w:p>
        </w:tc>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Optimized Locking</w:t>
            </w:r>
          </w:p>
        </w:tc>
        <w:tc>
          <w:tcPr>
            <w:tcW w:type="dxa" w:w="1860"/>
            <w:tcBorders>
              <w:top w:val="single" w:color="AAAAAA" w:sz="4"/>
              <w:left w:val="single" w:color="AAAAAA" w:sz="4"/>
              <w:bottom w:val="single" w:color="AAAAAA" w:sz="4"/>
              <w:right w:val="single" w:color="AAAAAA" w:sz="4"/>
            </w:tcBorders>
            <w:shd w:fill="FFEB9C" w:val="clear"/>
            <w:tcMar>
              <w:top w:type="dxa" w:w="80"/>
              <w:left w:type="dxa" w:w="120"/>
              <w:bottom w:type="dxa" w:w="80"/>
              <w:right w:type="dxa" w:w="120"/>
            </w:tcMar>
          </w:tcPr>
          <w:p>
            <w:r>
              <w:rPr>
                <w:rFonts w:ascii="Arial" w:cs="Arial" w:eastAsia="Arial" w:hAnsi="Arial"/>
                <w:b/>
                <w:bCs/>
                <w:color w:val="7F6000"/>
                <w:sz w:val="20"/>
                <w:szCs w:val="20"/>
              </w:rPr>
              <w:t xml:space="preserve">PENDING</w:t>
            </w:r>
          </w:p>
        </w:tc>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Secondary Replica Backups</w:t>
            </w:r>
          </w:p>
        </w:tc>
        <w:tc>
          <w:tcPr>
            <w:tcW w:type="dxa" w:w="1860"/>
            <w:tcBorders>
              <w:top w:val="single" w:color="AAAAAA" w:sz="4"/>
              <w:left w:val="single" w:color="AAAAAA" w:sz="4"/>
              <w:bottom w:val="single" w:color="AAAAAA" w:sz="4"/>
              <w:right w:val="single" w:color="AAAAAA" w:sz="4"/>
            </w:tcBorders>
            <w:shd w:fill="FFEB9C" w:val="clear"/>
            <w:tcMar>
              <w:top w:type="dxa" w:w="80"/>
              <w:left w:type="dxa" w:w="120"/>
              <w:bottom w:type="dxa" w:w="80"/>
              <w:right w:type="dxa" w:w="120"/>
            </w:tcMar>
          </w:tcPr>
          <w:p>
            <w:r>
              <w:rPr>
                <w:rFonts w:ascii="Arial" w:cs="Arial" w:eastAsia="Arial" w:hAnsi="Arial"/>
                <w:b/>
                <w:bCs/>
                <w:color w:val="7F6000"/>
                <w:sz w:val="20"/>
                <w:szCs w:val="20"/>
              </w:rPr>
              <w:t xml:space="preserve">PENDING</w:t>
            </w:r>
          </w:p>
        </w:tc>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Distributed Contained AG</w:t>
            </w:r>
          </w:p>
        </w:tc>
        <w:tc>
          <w:tcPr>
            <w:tcW w:type="dxa" w:w="1860"/>
            <w:tcBorders>
              <w:top w:val="single" w:color="AAAAAA" w:sz="4"/>
              <w:left w:val="single" w:color="AAAAAA" w:sz="4"/>
              <w:bottom w:val="single" w:color="AAAAAA" w:sz="4"/>
              <w:right w:val="single" w:color="AAAAAA" w:sz="4"/>
            </w:tcBorders>
            <w:shd w:fill="FFEB9C" w:val="clear"/>
            <w:tcMar>
              <w:top w:type="dxa" w:w="80"/>
              <w:left w:type="dxa" w:w="120"/>
              <w:bottom w:type="dxa" w:w="80"/>
              <w:right w:type="dxa" w:w="120"/>
            </w:tcMar>
          </w:tcPr>
          <w:p>
            <w:r>
              <w:rPr>
                <w:rFonts w:ascii="Arial" w:cs="Arial" w:eastAsia="Arial" w:hAnsi="Arial"/>
                <w:b/>
                <w:bCs/>
                <w:color w:val="7F6000"/>
                <w:sz w:val="20"/>
                <w:szCs w:val="20"/>
              </w:rPr>
              <w:t xml:space="preserve">PENDING</w:t>
            </w:r>
          </w:p>
        </w:tc>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Microsoft Entra ID Integration</w:t>
            </w:r>
          </w:p>
        </w:tc>
        <w:tc>
          <w:tcPr>
            <w:tcW w:type="dxa" w:w="1860"/>
            <w:tcBorders>
              <w:top w:val="single" w:color="AAAAAA" w:sz="4"/>
              <w:left w:val="single" w:color="AAAAAA" w:sz="4"/>
              <w:bottom w:val="single" w:color="AAAAAA" w:sz="4"/>
              <w:right w:val="single" w:color="AAAAAA" w:sz="4"/>
            </w:tcBorders>
            <w:shd w:fill="FFEB9C" w:val="clear"/>
            <w:tcMar>
              <w:top w:type="dxa" w:w="80"/>
              <w:left w:type="dxa" w:w="120"/>
              <w:bottom w:type="dxa" w:w="80"/>
              <w:right w:type="dxa" w:w="120"/>
            </w:tcMar>
          </w:tcPr>
          <w:p>
            <w:r>
              <w:rPr>
                <w:rFonts w:ascii="Arial" w:cs="Arial" w:eastAsia="Arial" w:hAnsi="Arial"/>
                <w:b/>
                <w:bCs/>
                <w:color w:val="7F6000"/>
                <w:sz w:val="20"/>
                <w:szCs w:val="20"/>
              </w:rPr>
              <w:t xml:space="preserve">PENDING</w:t>
            </w:r>
          </w:p>
        </w:tc>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Query Store Enhancements</w:t>
            </w:r>
          </w:p>
        </w:tc>
        <w:tc>
          <w:tcPr>
            <w:tcW w:type="dxa" w:w="1860"/>
            <w:tcBorders>
              <w:top w:val="single" w:color="AAAAAA" w:sz="4"/>
              <w:left w:val="single" w:color="AAAAAA" w:sz="4"/>
              <w:bottom w:val="single" w:color="AAAAAA" w:sz="4"/>
              <w:right w:val="single" w:color="AAAAAA" w:sz="4"/>
            </w:tcBorders>
            <w:shd w:fill="FFEB9C" w:val="clear"/>
            <w:tcMar>
              <w:top w:type="dxa" w:w="80"/>
              <w:left w:type="dxa" w:w="120"/>
              <w:bottom w:type="dxa" w:w="80"/>
              <w:right w:type="dxa" w:w="120"/>
            </w:tcMar>
          </w:tcPr>
          <w:p>
            <w:r>
              <w:rPr>
                <w:rFonts w:ascii="Arial" w:cs="Arial" w:eastAsia="Arial" w:hAnsi="Arial"/>
                <w:b/>
                <w:bCs/>
                <w:color w:val="7F6000"/>
                <w:sz w:val="20"/>
                <w:szCs w:val="20"/>
              </w:rPr>
              <w:t xml:space="preserve">PENDING</w:t>
            </w:r>
          </w:p>
        </w:tc>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T-SQL Enhancements (RegEx / JSON)</w:t>
            </w:r>
          </w:p>
        </w:tc>
        <w:tc>
          <w:tcPr>
            <w:tcW w:type="dxa" w:w="1860"/>
            <w:tcBorders>
              <w:top w:val="single" w:color="AAAAAA" w:sz="4"/>
              <w:left w:val="single" w:color="AAAAAA" w:sz="4"/>
              <w:bottom w:val="single" w:color="AAAAAA" w:sz="4"/>
              <w:right w:val="single" w:color="AAAAAA" w:sz="4"/>
            </w:tcBorders>
            <w:shd w:fill="FFEB9C" w:val="clear"/>
            <w:tcMar>
              <w:top w:type="dxa" w:w="80"/>
              <w:left w:type="dxa" w:w="120"/>
              <w:bottom w:type="dxa" w:w="80"/>
              <w:right w:type="dxa" w:w="120"/>
            </w:tcMar>
          </w:tcPr>
          <w:p>
            <w:r>
              <w:rPr>
                <w:rFonts w:ascii="Arial" w:cs="Arial" w:eastAsia="Arial" w:hAnsi="Arial"/>
                <w:b/>
                <w:bCs/>
                <w:color w:val="7F6000"/>
                <w:sz w:val="20"/>
                <w:szCs w:val="20"/>
              </w:rPr>
              <w:t xml:space="preserve">PENDING</w:t>
            </w:r>
          </w:p>
        </w:tc>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Installation</w:t>
            </w:r>
          </w:p>
        </w:tc>
        <w:tc>
          <w:tcPr>
            <w:tcW w:type="dxa" w:w="1860"/>
            <w:tcBorders>
              <w:top w:val="single" w:color="AAAAAA" w:sz="4"/>
              <w:left w:val="single" w:color="AAAAAA" w:sz="4"/>
              <w:bottom w:val="single" w:color="AAAAAA" w:sz="4"/>
              <w:right w:val="single" w:color="AAAAAA" w:sz="4"/>
            </w:tcBorders>
            <w:shd w:fill="FFEB9C" w:val="clear"/>
            <w:tcMar>
              <w:top w:type="dxa" w:w="80"/>
              <w:left w:type="dxa" w:w="120"/>
              <w:bottom w:type="dxa" w:w="80"/>
              <w:right w:type="dxa" w:w="120"/>
            </w:tcMar>
          </w:tcPr>
          <w:p>
            <w:r>
              <w:rPr>
                <w:rFonts w:ascii="Arial" w:cs="Arial" w:eastAsia="Arial" w:hAnsi="Arial"/>
                <w:b/>
                <w:bCs/>
                <w:color w:val="7F6000"/>
                <w:sz w:val="20"/>
                <w:szCs w:val="20"/>
              </w:rPr>
              <w:t xml:space="preserve">PENDING</w:t>
            </w:r>
          </w:p>
        </w:tc>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Monitoring (SCOM)</w:t>
            </w:r>
          </w:p>
        </w:tc>
        <w:tc>
          <w:tcPr>
            <w:tcW w:type="dxa" w:w="1860"/>
            <w:tcBorders>
              <w:top w:val="single" w:color="AAAAAA" w:sz="4"/>
              <w:left w:val="single" w:color="AAAAAA" w:sz="4"/>
              <w:bottom w:val="single" w:color="AAAAAA" w:sz="4"/>
              <w:right w:val="single" w:color="AAAAAA" w:sz="4"/>
            </w:tcBorders>
            <w:shd w:fill="FFEB9C" w:val="clear"/>
            <w:tcMar>
              <w:top w:type="dxa" w:w="80"/>
              <w:left w:type="dxa" w:w="120"/>
              <w:bottom w:type="dxa" w:w="80"/>
              <w:right w:type="dxa" w:w="120"/>
            </w:tcMar>
          </w:tcPr>
          <w:p>
            <w:r>
              <w:rPr>
                <w:rFonts w:ascii="Arial" w:cs="Arial" w:eastAsia="Arial" w:hAnsi="Arial"/>
                <w:b/>
                <w:bCs/>
                <w:color w:val="7F6000"/>
                <w:sz w:val="20"/>
                <w:szCs w:val="20"/>
              </w:rPr>
              <w:t xml:space="preserve">PENDING</w:t>
            </w:r>
          </w:p>
        </w:tc>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Automation &amp; Maintenance Jobs</w:t>
            </w:r>
          </w:p>
        </w:tc>
        <w:tc>
          <w:tcPr>
            <w:tcW w:type="dxa" w:w="1860"/>
            <w:tcBorders>
              <w:top w:val="single" w:color="AAAAAA" w:sz="4"/>
              <w:left w:val="single" w:color="AAAAAA" w:sz="4"/>
              <w:bottom w:val="single" w:color="AAAAAA" w:sz="4"/>
              <w:right w:val="single" w:color="AAAAAA" w:sz="4"/>
            </w:tcBorders>
            <w:shd w:fill="FFEB9C" w:val="clear"/>
            <w:tcMar>
              <w:top w:type="dxa" w:w="80"/>
              <w:left w:type="dxa" w:w="120"/>
              <w:bottom w:type="dxa" w:w="80"/>
              <w:right w:type="dxa" w:w="120"/>
            </w:tcMar>
          </w:tcPr>
          <w:p>
            <w:r>
              <w:rPr>
                <w:rFonts w:ascii="Arial" w:cs="Arial" w:eastAsia="Arial" w:hAnsi="Arial"/>
                <w:b/>
                <w:bCs/>
                <w:color w:val="7F6000"/>
                <w:sz w:val="20"/>
                <w:szCs w:val="20"/>
              </w:rPr>
              <w:t xml:space="preserve">PENDING</w:t>
            </w:r>
          </w:p>
        </w:tc>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Encryption (TDE &amp; SSL/TLS)</w:t>
            </w:r>
          </w:p>
        </w:tc>
        <w:tc>
          <w:tcPr>
            <w:tcW w:type="dxa" w:w="1860"/>
            <w:tcBorders>
              <w:top w:val="single" w:color="AAAAAA" w:sz="4"/>
              <w:left w:val="single" w:color="AAAAAA" w:sz="4"/>
              <w:bottom w:val="single" w:color="AAAAAA" w:sz="4"/>
              <w:right w:val="single" w:color="AAAAAA" w:sz="4"/>
            </w:tcBorders>
            <w:shd w:fill="FFEB9C" w:val="clear"/>
            <w:tcMar>
              <w:top w:type="dxa" w:w="80"/>
              <w:left w:type="dxa" w:w="120"/>
              <w:bottom w:type="dxa" w:w="80"/>
              <w:right w:type="dxa" w:w="120"/>
            </w:tcMar>
          </w:tcPr>
          <w:p>
            <w:r>
              <w:rPr>
                <w:rFonts w:ascii="Arial" w:cs="Arial" w:eastAsia="Arial" w:hAnsi="Arial"/>
                <w:b/>
                <w:bCs/>
                <w:color w:val="7F6000"/>
                <w:sz w:val="20"/>
                <w:szCs w:val="20"/>
              </w:rPr>
              <w:t xml:space="preserve">PENDING</w:t>
            </w:r>
          </w:p>
        </w:tc>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Linked Servers &amp; Provider Updates</w:t>
            </w:r>
          </w:p>
        </w:tc>
        <w:tc>
          <w:tcPr>
            <w:tcW w:type="dxa" w:w="1860"/>
            <w:tcBorders>
              <w:top w:val="single" w:color="AAAAAA" w:sz="4"/>
              <w:left w:val="single" w:color="AAAAAA" w:sz="4"/>
              <w:bottom w:val="single" w:color="AAAAAA" w:sz="4"/>
              <w:right w:val="single" w:color="AAAAAA" w:sz="4"/>
            </w:tcBorders>
            <w:shd w:fill="FFEB9C" w:val="clear"/>
            <w:tcMar>
              <w:top w:type="dxa" w:w="80"/>
              <w:left w:type="dxa" w:w="120"/>
              <w:bottom w:type="dxa" w:w="80"/>
              <w:right w:type="dxa" w:w="120"/>
            </w:tcMar>
          </w:tcPr>
          <w:p>
            <w:r>
              <w:rPr>
                <w:rFonts w:ascii="Arial" w:cs="Arial" w:eastAsia="Arial" w:hAnsi="Arial"/>
                <w:b/>
                <w:bCs/>
                <w:color w:val="7F6000"/>
                <w:sz w:val="20"/>
                <w:szCs w:val="20"/>
              </w:rPr>
              <w:t xml:space="preserve">PENDING</w:t>
            </w:r>
          </w:p>
        </w:tc>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TBD</w:t>
            </w:r>
          </w:p>
        </w:tc>
      </w:tr>
    </w:tbl>
    <w:p>
      <w:r>
        <w:t xml:space="preserve"/>
      </w:r>
    </w:p>
    <w:p>
      <w:pPr>
        <w:pStyle w:val="Heading1"/>
        <w:shd w:fill="1F3864" w:val="clear"/>
        <w:spacing w:after="120" w:before="240"/>
      </w:pPr>
      <w:r>
        <w:rPr>
          <w:rFonts w:ascii="Arial" w:cs="Arial" w:eastAsia="Arial" w:hAnsi="Arial"/>
          <w:b/>
          <w:bCs/>
          <w:color w:val="FFFFFF"/>
          <w:sz w:val="28"/>
          <w:szCs w:val="28"/>
        </w:rPr>
        <w:t xml:space="preserve">12. Final Recommendation</w:t>
      </w:r>
    </w:p>
    <w:p>
      <w:r>
        <w:rPr>
          <w:rFonts w:ascii="Arial" w:cs="Arial" w:eastAsia="Arial" w:hAnsi="Arial"/>
          <w:sz w:val="20"/>
          <w:szCs w:val="20"/>
        </w:rPr>
        <w:t xml:space="preserve">This section will be completed upon successful conclusion of all test phases outlined in this document. Based on the results of each test area, the Abbott DBA team will provide a formal recommendation on whether Microsoft SQL Server 2025 should be added to the standards catalog as an offering for Abbott teams.</w:t>
      </w:r>
    </w:p>
    <w:p>
      <w:r>
        <w:t xml:space="preserve"/>
      </w:r>
    </w:p>
    <w:p>
      <w:r>
        <w:rPr>
          <w:rFonts w:ascii="Arial" w:cs="Arial" w:eastAsia="Arial" w:hAnsi="Arial"/>
          <w:sz w:val="20"/>
          <w:szCs w:val="20"/>
        </w:rPr>
        <w:t xml:space="preserve">Key risk areas to resolve before production approval:</w:t>
      </w:r>
    </w:p>
    <w:p>
      <w:pPr>
        <w:pStyle w:val="ListParagraph"/>
        <w:numPr>
          <w:ilvl w:val="0"/>
          <w:numId w:val="7"/>
        </w:numPr>
      </w:pPr>
      <w:r>
        <w:rPr>
          <w:rFonts w:ascii="Arial" w:cs="Arial" w:eastAsia="Arial" w:hAnsi="Arial"/>
          <w:sz w:val="20"/>
          <w:szCs w:val="20"/>
        </w:rPr>
        <w:t xml:space="preserve">TDS 8.0 / TLS 1.3 breaking changes must be fully remediated for all Linked Servers, Replication, and client applications before production deployment.</w:t>
      </w:r>
    </w:p>
    <w:p>
      <w:pPr>
        <w:pStyle w:val="ListParagraph"/>
        <w:numPr>
          <w:ilvl w:val="0"/>
          <w:numId w:val="7"/>
        </w:numPr>
      </w:pPr>
      <w:r>
        <w:rPr>
          <w:rFonts w:ascii="Arial" w:cs="Arial" w:eastAsia="Arial" w:hAnsi="Arial"/>
          <w:sz w:val="20"/>
          <w:szCs w:val="20"/>
        </w:rPr>
        <w:t xml:space="preserve">Distributed Contained AG cross-cluster synchronization must be fully validated including failover and failback testing.</w:t>
      </w:r>
    </w:p>
    <w:p>
      <w:pPr>
        <w:pStyle w:val="ListParagraph"/>
        <w:numPr>
          <w:ilvl w:val="0"/>
          <w:numId w:val="7"/>
        </w:numPr>
      </w:pPr>
      <w:r>
        <w:rPr>
          <w:rFonts w:ascii="Arial" w:cs="Arial" w:eastAsia="Arial" w:hAnsi="Arial"/>
          <w:sz w:val="20"/>
          <w:szCs w:val="20"/>
        </w:rPr>
        <w:t xml:space="preserve">All Abbott build scripts, installer scripts, and maintenance procedures must be updated for SQL 2025.</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val="false"/>
        </w:trP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Recommendation</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TBD - Pending completion of all test phases</w:t>
            </w:r>
          </w:p>
        </w:tc>
      </w:tr>
      <w:tr>
        <w:trPr>
          <w:tblHeader w:val="false"/>
        </w:trP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 Status</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TBD</w:t>
            </w:r>
          </w:p>
        </w:tc>
      </w:tr>
      <w:tr>
        <w:trPr>
          <w:tblHeader w:val="false"/>
        </w:trP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Approved By</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Sonny Nguyen, DBA Manager</w:t>
            </w:r>
          </w:p>
        </w:tc>
      </w:tr>
      <w:tr>
        <w:trPr>
          <w:tblHeader w:val="false"/>
        </w:trP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Approval Date</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TBD</w:t>
            </w:r>
          </w:p>
        </w:tc>
      </w:tr>
    </w:tbl>
    <w:p>
      <w:r>
        <w:t xml:space="preserve"/>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888888"/>
        <w:sz w:val="16"/>
        <w:szCs w:val="16"/>
      </w:rPr>
      <w:t xml:space="preserve">Version 1.0  |  April 2026  |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666666"/>
        <w:sz w:val="18"/>
        <w:szCs w:val="18"/>
      </w:rPr>
      <w:t xml:space="preserve">Abbott Database Services  |  SQL Server 2025 Certification</w:t>
    </w:r>
    <w:r>
      <w:rPr>
        <w:rFonts w:ascii="Arial" w:cs="Arial" w:eastAsia="Arial" w:hAnsi="Arial"/>
        <w:sz w:val="18"/>
        <w:szCs w:val="18"/>
      </w:rPr>
      <w:t xml:space="preserve">	</w:t>
    </w:r>
    <w:r>
      <w:rPr>
        <w:rFonts w:ascii="Arial" w:cs="Arial" w:eastAsia="Arial" w:hAnsi="Arial"/>
        <w:i/>
        <w:iCs/>
        <w:color w:val="666666"/>
        <w:sz w:val="18"/>
        <w:szCs w:val="18"/>
      </w:rPr>
      <w:t xml:space="preserve">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FFFFFF"/>
      <w:sz w:val="24"/>
      <w:szCs w:val="24"/>
    </w:rPr>
  </w:style>
  <w:style w:type="paragraph" w:styleId="Heading3">
    <w:name w:val="Heading 3"/>
    <w:basedOn w:val="Normal"/>
    <w:next w:val="Normal"/>
    <w:qFormat/>
    <w:pPr>
      <w:spacing w:after="8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2026-04-09T17:29:46.980Z</dcterms:created>
  <dcterms:modified xsi:type="dcterms:W3CDTF">2026-04-09T17:29:46.981Z</dcterms:modified>
</cp:coreProperties>
</file>

<file path=docProps/custom.xml><?xml version="1.0" encoding="utf-8"?>
<Properties xmlns="http://schemas.openxmlformats.org/officeDocument/2006/custom-properties" xmlns:vt="http://schemas.openxmlformats.org/officeDocument/2006/docPropsVTypes"/>
</file>