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ACE98" w14:textId="77777777" w:rsidR="00677F2B" w:rsidRPr="00677F2B" w:rsidRDefault="00677F2B" w:rsidP="00677F2B">
      <w:pPr>
        <w:jc w:val="center"/>
        <w:rPr>
          <w:rFonts w:ascii="Arial" w:hAnsi="Arial" w:cs="Arial"/>
          <w:sz w:val="40"/>
          <w:szCs w:val="40"/>
        </w:rPr>
      </w:pPr>
    </w:p>
    <w:p w14:paraId="6D149600" w14:textId="77777777" w:rsidR="00677F2B" w:rsidRPr="00677F2B" w:rsidRDefault="00677F2B" w:rsidP="00677F2B">
      <w:pPr>
        <w:jc w:val="center"/>
        <w:rPr>
          <w:rFonts w:ascii="Arial" w:hAnsi="Arial" w:cs="Arial"/>
          <w:sz w:val="40"/>
          <w:szCs w:val="40"/>
        </w:rPr>
      </w:pPr>
    </w:p>
    <w:p w14:paraId="49CB76B6" w14:textId="77777777" w:rsidR="00677F2B" w:rsidRPr="00677F2B" w:rsidRDefault="00677F2B" w:rsidP="00677F2B">
      <w:pPr>
        <w:jc w:val="center"/>
        <w:rPr>
          <w:rFonts w:ascii="Arial" w:hAnsi="Arial" w:cs="Arial"/>
          <w:sz w:val="40"/>
          <w:szCs w:val="40"/>
        </w:rPr>
      </w:pPr>
    </w:p>
    <w:p w14:paraId="1D95EF93" w14:textId="77777777" w:rsidR="00677F2B" w:rsidRPr="00677F2B" w:rsidRDefault="00677F2B" w:rsidP="00677F2B">
      <w:pPr>
        <w:jc w:val="center"/>
        <w:rPr>
          <w:rFonts w:ascii="Arial" w:hAnsi="Arial" w:cs="Arial"/>
          <w:sz w:val="40"/>
          <w:szCs w:val="40"/>
        </w:rPr>
      </w:pPr>
    </w:p>
    <w:p w14:paraId="1C148A82" w14:textId="77777777" w:rsidR="00677F2B" w:rsidRPr="00677F2B" w:rsidRDefault="00677F2B" w:rsidP="00677F2B">
      <w:pPr>
        <w:jc w:val="center"/>
        <w:rPr>
          <w:rFonts w:ascii="Arial" w:hAnsi="Arial" w:cs="Arial"/>
          <w:sz w:val="40"/>
          <w:szCs w:val="40"/>
        </w:rPr>
      </w:pPr>
    </w:p>
    <w:p w14:paraId="5B12683A" w14:textId="77777777" w:rsidR="00677F2B" w:rsidRPr="00677F2B" w:rsidRDefault="00677F2B" w:rsidP="00677F2B">
      <w:pPr>
        <w:jc w:val="center"/>
        <w:rPr>
          <w:rFonts w:ascii="Arial" w:hAnsi="Arial" w:cs="Arial"/>
          <w:sz w:val="40"/>
          <w:szCs w:val="40"/>
        </w:rPr>
      </w:pPr>
    </w:p>
    <w:p w14:paraId="6C357274" w14:textId="77777777" w:rsidR="00677F2B" w:rsidRPr="00677F2B" w:rsidRDefault="00677F2B" w:rsidP="00677F2B">
      <w:pPr>
        <w:jc w:val="center"/>
        <w:rPr>
          <w:rFonts w:ascii="Arial" w:hAnsi="Arial" w:cs="Arial"/>
          <w:sz w:val="40"/>
          <w:szCs w:val="40"/>
        </w:rPr>
      </w:pPr>
    </w:p>
    <w:p w14:paraId="5974AFDE" w14:textId="1E733C59" w:rsidR="00677F2B" w:rsidRDefault="00ED2A08" w:rsidP="00677F2B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Microsoft SQL Server Installation and Configuration Guide</w:t>
      </w:r>
    </w:p>
    <w:p w14:paraId="6C8BCEDB" w14:textId="77777777" w:rsidR="00677F2B" w:rsidRDefault="00677F2B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24F3268E" w14:textId="5E74384A" w:rsidR="005276C6" w:rsidRDefault="00677F2B" w:rsidP="00677F2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0"/>
          <w:szCs w:val="40"/>
        </w:rPr>
      </w:pPr>
      <w:r w:rsidRPr="00C46E0B">
        <w:rPr>
          <w:rFonts w:ascii="Arial" w:hAnsi="Arial" w:cs="Arial"/>
          <w:b/>
          <w:sz w:val="20"/>
          <w:szCs w:val="40"/>
        </w:rPr>
        <w:lastRenderedPageBreak/>
        <w:t>Description</w:t>
      </w:r>
    </w:p>
    <w:p w14:paraId="1FFEA27A" w14:textId="3FF34108" w:rsidR="005276C6" w:rsidRPr="0037548A" w:rsidRDefault="0037548A" w:rsidP="0037548A">
      <w:pPr>
        <w:pStyle w:val="ListParagraph"/>
        <w:spacing w:after="0"/>
        <w:ind w:left="360"/>
        <w:rPr>
          <w:rFonts w:ascii="Arial" w:hAnsi="Arial" w:cs="Arial"/>
          <w:sz w:val="20"/>
          <w:szCs w:val="40"/>
        </w:rPr>
      </w:pPr>
      <w:r w:rsidRPr="0037548A">
        <w:rPr>
          <w:rFonts w:ascii="Arial" w:hAnsi="Arial" w:cs="Arial"/>
          <w:sz w:val="20"/>
          <w:szCs w:val="40"/>
        </w:rPr>
        <w:t>MSSQL install</w:t>
      </w:r>
      <w:r>
        <w:rPr>
          <w:rFonts w:ascii="Arial" w:hAnsi="Arial" w:cs="Arial"/>
          <w:sz w:val="20"/>
          <w:szCs w:val="40"/>
        </w:rPr>
        <w:t>ation</w:t>
      </w:r>
      <w:r w:rsidRPr="0037548A">
        <w:rPr>
          <w:rFonts w:ascii="Arial" w:hAnsi="Arial" w:cs="Arial"/>
          <w:sz w:val="20"/>
          <w:szCs w:val="40"/>
        </w:rPr>
        <w:t xml:space="preserve"> and configuration guide</w:t>
      </w:r>
      <w:r>
        <w:rPr>
          <w:rFonts w:ascii="Arial" w:hAnsi="Arial" w:cs="Arial"/>
          <w:sz w:val="20"/>
          <w:szCs w:val="40"/>
        </w:rPr>
        <w:t>.</w:t>
      </w:r>
    </w:p>
    <w:p w14:paraId="29C5B3CB" w14:textId="77777777" w:rsidR="0037548A" w:rsidRPr="0037548A" w:rsidRDefault="0037548A" w:rsidP="0037548A">
      <w:pPr>
        <w:pStyle w:val="ListParagraph"/>
        <w:spacing w:after="0"/>
        <w:ind w:left="360"/>
        <w:rPr>
          <w:rFonts w:ascii="Arial" w:hAnsi="Arial" w:cs="Arial"/>
          <w:b/>
          <w:sz w:val="20"/>
          <w:szCs w:val="40"/>
        </w:rPr>
      </w:pPr>
    </w:p>
    <w:p w14:paraId="5214F143" w14:textId="77777777" w:rsidR="005276C6" w:rsidRDefault="00677F2B" w:rsidP="00C46E0B">
      <w:pPr>
        <w:pStyle w:val="ListParagraph"/>
        <w:numPr>
          <w:ilvl w:val="0"/>
          <w:numId w:val="3"/>
        </w:numPr>
        <w:spacing w:before="240" w:after="0"/>
        <w:rPr>
          <w:rFonts w:ascii="Arial" w:hAnsi="Arial" w:cs="Arial"/>
          <w:b/>
          <w:sz w:val="20"/>
          <w:szCs w:val="40"/>
        </w:rPr>
      </w:pPr>
      <w:r w:rsidRPr="00C46E0B">
        <w:rPr>
          <w:rFonts w:ascii="Arial" w:hAnsi="Arial" w:cs="Arial"/>
          <w:b/>
          <w:sz w:val="20"/>
          <w:szCs w:val="40"/>
        </w:rPr>
        <w:t>Overview</w:t>
      </w:r>
    </w:p>
    <w:p w14:paraId="342C2575" w14:textId="141E0360" w:rsidR="00C46E0B" w:rsidRDefault="0037548A" w:rsidP="005276C6">
      <w:pPr>
        <w:pStyle w:val="ListParagraph"/>
        <w:spacing w:before="240" w:after="0"/>
        <w:ind w:left="360"/>
        <w:rPr>
          <w:rFonts w:ascii="Arial" w:hAnsi="Arial" w:cs="Arial"/>
          <w:sz w:val="20"/>
          <w:szCs w:val="40"/>
        </w:rPr>
      </w:pPr>
      <w:r w:rsidRPr="0037548A">
        <w:rPr>
          <w:rFonts w:ascii="Arial" w:hAnsi="Arial" w:cs="Arial"/>
          <w:sz w:val="20"/>
          <w:szCs w:val="40"/>
        </w:rPr>
        <w:t xml:space="preserve">The following are the configuration and setup steps for installing and setting up a new MSSQL instance in any environment. </w:t>
      </w:r>
      <w:r>
        <w:rPr>
          <w:rFonts w:ascii="Arial" w:hAnsi="Arial" w:cs="Arial"/>
          <w:sz w:val="20"/>
          <w:szCs w:val="40"/>
        </w:rPr>
        <w:t xml:space="preserve"> </w:t>
      </w:r>
    </w:p>
    <w:p w14:paraId="08EDE805" w14:textId="77777777" w:rsidR="005276C6" w:rsidRPr="005276C6" w:rsidRDefault="005276C6" w:rsidP="005276C6">
      <w:pPr>
        <w:pStyle w:val="ListParagraph"/>
        <w:spacing w:before="240" w:after="0"/>
        <w:ind w:left="360"/>
        <w:rPr>
          <w:rFonts w:ascii="Arial" w:hAnsi="Arial" w:cs="Arial"/>
          <w:b/>
          <w:sz w:val="20"/>
          <w:szCs w:val="40"/>
        </w:rPr>
      </w:pPr>
    </w:p>
    <w:p w14:paraId="51B50DF1" w14:textId="60B00CBA" w:rsidR="005276C6" w:rsidRDefault="00C46E0B" w:rsidP="005276C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0"/>
          <w:szCs w:val="40"/>
        </w:rPr>
      </w:pPr>
      <w:r w:rsidRPr="00C46E0B">
        <w:rPr>
          <w:rFonts w:ascii="Arial" w:hAnsi="Arial" w:cs="Arial"/>
          <w:b/>
          <w:sz w:val="20"/>
          <w:szCs w:val="40"/>
        </w:rPr>
        <w:t>Reporting/Stakeholders</w:t>
      </w:r>
    </w:p>
    <w:p w14:paraId="4DE083E2" w14:textId="538CF5ED" w:rsidR="0037548A" w:rsidRPr="0037548A" w:rsidRDefault="0037548A" w:rsidP="005276C6">
      <w:pPr>
        <w:pStyle w:val="ListParagraph"/>
        <w:spacing w:after="0"/>
        <w:ind w:left="360"/>
        <w:rPr>
          <w:rFonts w:ascii="Arial" w:hAnsi="Arial" w:cs="Arial"/>
          <w:sz w:val="20"/>
          <w:szCs w:val="40"/>
        </w:rPr>
      </w:pPr>
      <w:r w:rsidRPr="0037548A">
        <w:rPr>
          <w:rFonts w:ascii="Arial" w:hAnsi="Arial" w:cs="Arial"/>
          <w:sz w:val="20"/>
          <w:szCs w:val="40"/>
        </w:rPr>
        <w:t>Nessus CIS benchmark scans</w:t>
      </w:r>
      <w:r>
        <w:rPr>
          <w:rFonts w:ascii="Arial" w:hAnsi="Arial" w:cs="Arial"/>
          <w:sz w:val="20"/>
          <w:szCs w:val="40"/>
        </w:rPr>
        <w:t xml:space="preserve"> should be reviewed by NOC/DBA post install to be sure that the new instance conforms to the company’s security standards.</w:t>
      </w:r>
    </w:p>
    <w:p w14:paraId="5CE5175B" w14:textId="7D555666" w:rsidR="005276C6" w:rsidRPr="005276C6" w:rsidRDefault="0037548A" w:rsidP="005276C6">
      <w:pPr>
        <w:pStyle w:val="ListParagraph"/>
        <w:spacing w:after="0"/>
        <w:ind w:left="360"/>
        <w:rPr>
          <w:rFonts w:ascii="Arial" w:hAnsi="Arial" w:cs="Arial"/>
          <w:b/>
          <w:sz w:val="20"/>
          <w:szCs w:val="40"/>
        </w:rPr>
      </w:pPr>
      <w:r>
        <w:rPr>
          <w:rFonts w:ascii="Arial" w:hAnsi="Arial" w:cs="Arial"/>
          <w:b/>
          <w:sz w:val="20"/>
          <w:szCs w:val="40"/>
        </w:rPr>
        <w:t xml:space="preserve"> </w:t>
      </w:r>
    </w:p>
    <w:p w14:paraId="679E7A53" w14:textId="2E430657" w:rsidR="0037548A" w:rsidRPr="0037548A" w:rsidRDefault="00C46E0B" w:rsidP="0037548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0"/>
          <w:szCs w:val="40"/>
        </w:rPr>
      </w:pPr>
      <w:r w:rsidRPr="005276C6">
        <w:rPr>
          <w:rFonts w:ascii="Arial" w:hAnsi="Arial" w:cs="Arial"/>
          <w:b/>
          <w:sz w:val="20"/>
          <w:szCs w:val="40"/>
        </w:rPr>
        <w:t>Detailed Procedure</w:t>
      </w:r>
    </w:p>
    <w:p w14:paraId="5E60C017" w14:textId="4979FAFC" w:rsidR="005276C6" w:rsidRDefault="005276C6" w:rsidP="005276C6">
      <w:pPr>
        <w:pStyle w:val="ListParagraph"/>
        <w:numPr>
          <w:ilvl w:val="1"/>
          <w:numId w:val="4"/>
        </w:numPr>
      </w:pPr>
      <w:r>
        <w:t xml:space="preserve">Update </w:t>
      </w:r>
      <w:r w:rsidR="0037548A">
        <w:t xml:space="preserve">the MSSQL instance </w:t>
      </w:r>
      <w:r>
        <w:t>to the latest SP and CU</w:t>
      </w:r>
    </w:p>
    <w:p w14:paraId="40B621A0" w14:textId="5D8189D1" w:rsidR="005276C6" w:rsidRDefault="005276C6" w:rsidP="005276C6">
      <w:pPr>
        <w:pStyle w:val="ListParagraph"/>
        <w:numPr>
          <w:ilvl w:val="1"/>
          <w:numId w:val="4"/>
        </w:numPr>
      </w:pPr>
      <w:r>
        <w:t xml:space="preserve">Layout multi-file </w:t>
      </w:r>
      <w:proofErr w:type="spellStart"/>
      <w:r>
        <w:t>tempdb</w:t>
      </w:r>
      <w:proofErr w:type="spellEnd"/>
      <w:r>
        <w:t xml:space="preserve"> </w:t>
      </w:r>
      <w:r w:rsidR="0037548A">
        <w:t>following Microsoft best practices</w:t>
      </w:r>
    </w:p>
    <w:p w14:paraId="49C472D6" w14:textId="53A9AC5B" w:rsidR="0037548A" w:rsidRDefault="00007A84" w:rsidP="0037548A">
      <w:pPr>
        <w:pStyle w:val="ListParagraph"/>
        <w:numPr>
          <w:ilvl w:val="2"/>
          <w:numId w:val="4"/>
        </w:numPr>
      </w:pPr>
      <w:hyperlink r:id="rId7" w:history="1">
        <w:r w:rsidR="0037548A" w:rsidRPr="00BD6996">
          <w:rPr>
            <w:rStyle w:val="Hyperlink"/>
          </w:rPr>
          <w:t>https://support.microsoft.com/en-us/help/2154845/recommendations-to-reduce-allocation-contention-in-sql-server-tempdb-d</w:t>
        </w:r>
      </w:hyperlink>
    </w:p>
    <w:p w14:paraId="3E36BA69" w14:textId="77777777" w:rsidR="0037548A" w:rsidRDefault="0037548A" w:rsidP="0037548A">
      <w:pPr>
        <w:pStyle w:val="ListParagraph"/>
        <w:ind w:left="2160"/>
      </w:pPr>
    </w:p>
    <w:p w14:paraId="2634C6DA" w14:textId="77777777" w:rsidR="005276C6" w:rsidRDefault="005276C6" w:rsidP="005276C6">
      <w:pPr>
        <w:pStyle w:val="ListParagraph"/>
        <w:numPr>
          <w:ilvl w:val="1"/>
          <w:numId w:val="4"/>
        </w:numPr>
      </w:pPr>
      <w:r>
        <w:t xml:space="preserve">Create separate data, log &amp; </w:t>
      </w:r>
      <w:proofErr w:type="spellStart"/>
      <w:r>
        <w:t>tempdb</w:t>
      </w:r>
      <w:proofErr w:type="spellEnd"/>
      <w:r>
        <w:t xml:space="preserve"> drives (optional)</w:t>
      </w:r>
    </w:p>
    <w:p w14:paraId="51BD56DC" w14:textId="77777777" w:rsidR="005276C6" w:rsidRDefault="005276C6" w:rsidP="005276C6">
      <w:pPr>
        <w:pStyle w:val="ListParagraph"/>
        <w:numPr>
          <w:ilvl w:val="1"/>
          <w:numId w:val="4"/>
        </w:numPr>
      </w:pPr>
      <w:r>
        <w:t>Set memory settings</w:t>
      </w:r>
    </w:p>
    <w:p w14:paraId="67BA2291" w14:textId="77777777" w:rsidR="005276C6" w:rsidRDefault="005276C6" w:rsidP="005276C6">
      <w:pPr>
        <w:pStyle w:val="ListParagraph"/>
        <w:numPr>
          <w:ilvl w:val="1"/>
          <w:numId w:val="4"/>
        </w:numPr>
      </w:pPr>
      <w:r>
        <w:t>Adjust model database sizes</w:t>
      </w:r>
    </w:p>
    <w:p w14:paraId="6ACCFD0C" w14:textId="77777777" w:rsidR="005276C6" w:rsidRDefault="005276C6" w:rsidP="005276C6">
      <w:pPr>
        <w:pStyle w:val="ListParagraph"/>
        <w:numPr>
          <w:ilvl w:val="1"/>
          <w:numId w:val="4"/>
        </w:numPr>
      </w:pPr>
      <w:r>
        <w:t>Grant ‘lock pages in memory’ and ‘volume management’ rights to SQL service account</w:t>
      </w:r>
    </w:p>
    <w:p w14:paraId="5514B689" w14:textId="77777777" w:rsidR="005276C6" w:rsidRDefault="005276C6" w:rsidP="005276C6">
      <w:pPr>
        <w:pStyle w:val="ListParagraph"/>
        <w:numPr>
          <w:ilvl w:val="1"/>
          <w:numId w:val="4"/>
        </w:numPr>
      </w:pPr>
      <w:r>
        <w:t>Setup standard management and monitoring accounts</w:t>
      </w:r>
    </w:p>
    <w:p w14:paraId="16AB854E" w14:textId="77777777" w:rsidR="005276C6" w:rsidRDefault="005276C6" w:rsidP="005276C6">
      <w:pPr>
        <w:pStyle w:val="ListParagraph"/>
        <w:numPr>
          <w:ilvl w:val="2"/>
          <w:numId w:val="4"/>
        </w:numPr>
      </w:pPr>
      <w:r>
        <w:t>_</w:t>
      </w:r>
      <w:proofErr w:type="spellStart"/>
      <w:r>
        <w:t>sqlmeta</w:t>
      </w:r>
      <w:proofErr w:type="spellEnd"/>
    </w:p>
    <w:p w14:paraId="4D25CB84" w14:textId="77777777" w:rsidR="005276C6" w:rsidRDefault="005276C6" w:rsidP="005276C6">
      <w:pPr>
        <w:pStyle w:val="ListParagraph"/>
        <w:numPr>
          <w:ilvl w:val="1"/>
          <w:numId w:val="4"/>
        </w:numPr>
      </w:pPr>
      <w:r>
        <w:t>Create standard database maintenance jobs</w:t>
      </w:r>
    </w:p>
    <w:p w14:paraId="3DFD5A0D" w14:textId="77777777" w:rsidR="005276C6" w:rsidRDefault="005276C6" w:rsidP="005276C6">
      <w:pPr>
        <w:pStyle w:val="ListParagraph"/>
        <w:numPr>
          <w:ilvl w:val="2"/>
          <w:numId w:val="4"/>
        </w:numPr>
      </w:pPr>
      <w:r>
        <w:t>Integrity Checks</w:t>
      </w:r>
    </w:p>
    <w:p w14:paraId="3B74690F" w14:textId="77777777" w:rsidR="005276C6" w:rsidRDefault="005276C6" w:rsidP="005276C6">
      <w:pPr>
        <w:pStyle w:val="ListParagraph"/>
        <w:numPr>
          <w:ilvl w:val="2"/>
          <w:numId w:val="4"/>
        </w:numPr>
      </w:pPr>
      <w:r>
        <w:t>Index maintenance</w:t>
      </w:r>
    </w:p>
    <w:p w14:paraId="7BEF3119" w14:textId="77777777" w:rsidR="005276C6" w:rsidRDefault="005276C6" w:rsidP="005276C6">
      <w:pPr>
        <w:pStyle w:val="ListParagraph"/>
        <w:numPr>
          <w:ilvl w:val="2"/>
          <w:numId w:val="4"/>
        </w:numPr>
      </w:pPr>
      <w:r>
        <w:t>Statistics maintenance</w:t>
      </w:r>
    </w:p>
    <w:p w14:paraId="223B8551" w14:textId="77777777" w:rsidR="005276C6" w:rsidRDefault="005276C6" w:rsidP="005276C6">
      <w:pPr>
        <w:pStyle w:val="ListParagraph"/>
        <w:numPr>
          <w:ilvl w:val="2"/>
          <w:numId w:val="4"/>
        </w:numPr>
      </w:pPr>
      <w:r>
        <w:t>Backups (as needed)</w:t>
      </w:r>
    </w:p>
    <w:p w14:paraId="60764A5E" w14:textId="77777777" w:rsidR="005276C6" w:rsidRDefault="005276C6" w:rsidP="005276C6">
      <w:pPr>
        <w:pStyle w:val="ListParagraph"/>
        <w:numPr>
          <w:ilvl w:val="3"/>
          <w:numId w:val="4"/>
        </w:numPr>
      </w:pPr>
      <w:r>
        <w:t>Full</w:t>
      </w:r>
    </w:p>
    <w:p w14:paraId="350FDF1A" w14:textId="77777777" w:rsidR="005276C6" w:rsidRDefault="005276C6" w:rsidP="005276C6">
      <w:pPr>
        <w:pStyle w:val="ListParagraph"/>
        <w:numPr>
          <w:ilvl w:val="3"/>
          <w:numId w:val="4"/>
        </w:numPr>
      </w:pPr>
      <w:r>
        <w:t>Diff</w:t>
      </w:r>
    </w:p>
    <w:p w14:paraId="3CEEB1F3" w14:textId="77777777" w:rsidR="005276C6" w:rsidRDefault="005276C6" w:rsidP="005276C6">
      <w:pPr>
        <w:pStyle w:val="ListParagraph"/>
        <w:numPr>
          <w:ilvl w:val="3"/>
          <w:numId w:val="4"/>
        </w:numPr>
      </w:pPr>
      <w:r>
        <w:t>T-Logs</w:t>
      </w:r>
    </w:p>
    <w:p w14:paraId="2C2D9863" w14:textId="77777777" w:rsidR="005276C6" w:rsidRDefault="005276C6" w:rsidP="005276C6">
      <w:pPr>
        <w:pStyle w:val="ListParagraph"/>
        <w:numPr>
          <w:ilvl w:val="1"/>
          <w:numId w:val="4"/>
        </w:numPr>
      </w:pPr>
      <w:r>
        <w:t>Enable trace flag -T1118 (enabled by default in 2016+)</w:t>
      </w:r>
    </w:p>
    <w:p w14:paraId="6C3BD106" w14:textId="77777777" w:rsidR="005276C6" w:rsidRDefault="005276C6" w:rsidP="005276C6">
      <w:pPr>
        <w:pStyle w:val="ListParagraph"/>
        <w:numPr>
          <w:ilvl w:val="1"/>
          <w:numId w:val="4"/>
        </w:numPr>
      </w:pPr>
      <w:r w:rsidRPr="0079548A">
        <w:t>Adjust Remote Query Timeout as needed</w:t>
      </w:r>
    </w:p>
    <w:p w14:paraId="4DCEC2D3" w14:textId="77777777" w:rsidR="005276C6" w:rsidRDefault="005276C6" w:rsidP="005276C6">
      <w:pPr>
        <w:pStyle w:val="ListParagraph"/>
        <w:numPr>
          <w:ilvl w:val="1"/>
          <w:numId w:val="4"/>
        </w:numPr>
      </w:pPr>
      <w:r>
        <w:t>Adjust MDOP as needed</w:t>
      </w:r>
    </w:p>
    <w:p w14:paraId="1014E502" w14:textId="77777777" w:rsidR="005276C6" w:rsidRDefault="005276C6" w:rsidP="005276C6">
      <w:pPr>
        <w:pStyle w:val="ListParagraph"/>
        <w:numPr>
          <w:ilvl w:val="1"/>
          <w:numId w:val="4"/>
        </w:numPr>
      </w:pPr>
      <w:r>
        <w:t>Adjust cost threshold for parallelism as needed (50 should be default)</w:t>
      </w:r>
    </w:p>
    <w:p w14:paraId="0CA234BA" w14:textId="77777777" w:rsidR="005276C6" w:rsidRDefault="005276C6" w:rsidP="005276C6">
      <w:pPr>
        <w:pStyle w:val="ListParagraph"/>
        <w:numPr>
          <w:ilvl w:val="2"/>
          <w:numId w:val="4"/>
        </w:numPr>
      </w:pPr>
      <w:r>
        <w:t>Prevent small query parallel processing SPID storms</w:t>
      </w:r>
    </w:p>
    <w:p w14:paraId="45CD837C" w14:textId="77777777" w:rsidR="005276C6" w:rsidRDefault="005276C6" w:rsidP="005276C6">
      <w:pPr>
        <w:pStyle w:val="ListParagraph"/>
        <w:numPr>
          <w:ilvl w:val="1"/>
          <w:numId w:val="4"/>
        </w:numPr>
      </w:pPr>
      <w:r>
        <w:t>Make sure backups are configured (Either SQL or DPM)</w:t>
      </w:r>
    </w:p>
    <w:p w14:paraId="783A038F" w14:textId="77777777" w:rsidR="005276C6" w:rsidRDefault="005276C6" w:rsidP="005276C6">
      <w:pPr>
        <w:pStyle w:val="ListParagraph"/>
        <w:numPr>
          <w:ilvl w:val="1"/>
          <w:numId w:val="4"/>
        </w:numPr>
      </w:pPr>
      <w:r>
        <w:t>Check TCP port used and change to a static; use non-standard port (not 1433) for hardening</w:t>
      </w:r>
    </w:p>
    <w:p w14:paraId="64A78B25" w14:textId="77777777" w:rsidR="005276C6" w:rsidRDefault="005276C6" w:rsidP="005276C6">
      <w:pPr>
        <w:pStyle w:val="ListParagraph"/>
        <w:numPr>
          <w:ilvl w:val="1"/>
          <w:numId w:val="4"/>
        </w:numPr>
      </w:pPr>
      <w:r>
        <w:t>Review PCI hardening standards and apply as possible</w:t>
      </w:r>
    </w:p>
    <w:p w14:paraId="0A91F092" w14:textId="77777777" w:rsidR="005276C6" w:rsidRDefault="005276C6" w:rsidP="005276C6">
      <w:pPr>
        <w:pStyle w:val="ListParagraph"/>
        <w:numPr>
          <w:ilvl w:val="2"/>
          <w:numId w:val="4"/>
        </w:numPr>
      </w:pPr>
      <w:r w:rsidRPr="00ED6625">
        <w:t>MSSQL Configuration Settings</w:t>
      </w:r>
    </w:p>
    <w:p w14:paraId="1BC6DA9F" w14:textId="77777777" w:rsidR="005276C6" w:rsidRPr="00ED6625" w:rsidRDefault="005276C6" w:rsidP="005276C6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ED6625">
        <w:rPr>
          <w:sz w:val="20"/>
          <w:szCs w:val="20"/>
        </w:rPr>
        <w:t>Ensure 'Ad Hoc Distributed Queries' Server Configuration Option is set to '0'</w:t>
      </w:r>
    </w:p>
    <w:p w14:paraId="36BDC77A" w14:textId="77777777" w:rsidR="005276C6" w:rsidRPr="00ED6625" w:rsidRDefault="005276C6" w:rsidP="005276C6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ED6625">
        <w:rPr>
          <w:sz w:val="20"/>
          <w:szCs w:val="20"/>
        </w:rPr>
        <w:t>Ensure 'CLR Enabled' Server Configuration Option is set to '0'</w:t>
      </w:r>
    </w:p>
    <w:p w14:paraId="299A5243" w14:textId="77777777" w:rsidR="005276C6" w:rsidRPr="00ED6625" w:rsidRDefault="005276C6" w:rsidP="005276C6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ED6625">
        <w:rPr>
          <w:sz w:val="20"/>
          <w:szCs w:val="20"/>
        </w:rPr>
        <w:lastRenderedPageBreak/>
        <w:t>Ensure 'Cross DB Ownership Chaining' Server Configuration Option is set to '0'</w:t>
      </w:r>
    </w:p>
    <w:p w14:paraId="20529DFF" w14:textId="77777777" w:rsidR="005276C6" w:rsidRPr="00ED6625" w:rsidRDefault="005276C6" w:rsidP="005276C6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ED6625">
        <w:rPr>
          <w:sz w:val="20"/>
          <w:szCs w:val="20"/>
        </w:rPr>
        <w:t>Ensure 'Database Mail XPs' Server Configuration Option is set to '0'</w:t>
      </w:r>
    </w:p>
    <w:p w14:paraId="1C840852" w14:textId="77777777" w:rsidR="005276C6" w:rsidRPr="00ED6625" w:rsidRDefault="005276C6" w:rsidP="005276C6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ED6625">
        <w:rPr>
          <w:sz w:val="20"/>
          <w:szCs w:val="20"/>
        </w:rPr>
        <w:t>Ensure 'Ole Automation Procedures' Server Configuration Option is set to '0'</w:t>
      </w:r>
    </w:p>
    <w:p w14:paraId="748B0756" w14:textId="77777777" w:rsidR="000D4678" w:rsidRDefault="005276C6" w:rsidP="005276C6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ED6625">
        <w:rPr>
          <w:sz w:val="20"/>
          <w:szCs w:val="20"/>
        </w:rPr>
        <w:t>Ensure 'Remote Access' Server Configuration Option is set to '0'</w:t>
      </w:r>
      <w:r w:rsidR="000D4678">
        <w:rPr>
          <w:sz w:val="20"/>
          <w:szCs w:val="20"/>
        </w:rPr>
        <w:t xml:space="preserve"> </w:t>
      </w:r>
    </w:p>
    <w:p w14:paraId="103FEC9C" w14:textId="6879EB02" w:rsidR="005276C6" w:rsidRPr="00ED6625" w:rsidRDefault="000D4678" w:rsidP="000D4678">
      <w:pPr>
        <w:pStyle w:val="ListParagraph"/>
        <w:numPr>
          <w:ilvl w:val="4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Cannot disable if using Windows core</w:t>
      </w:r>
    </w:p>
    <w:p w14:paraId="7F64E6B3" w14:textId="77777777" w:rsidR="005276C6" w:rsidRPr="00ED6625" w:rsidRDefault="005276C6" w:rsidP="005276C6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ED6625">
        <w:rPr>
          <w:sz w:val="20"/>
          <w:szCs w:val="20"/>
        </w:rPr>
        <w:t>Ensure 'Remote Admin Connections' Server Configuration Option is set to '0'</w:t>
      </w:r>
    </w:p>
    <w:p w14:paraId="5CF34C8C" w14:textId="77777777" w:rsidR="005276C6" w:rsidRPr="00ED6625" w:rsidRDefault="005276C6" w:rsidP="005276C6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ED6625">
        <w:rPr>
          <w:sz w:val="20"/>
          <w:szCs w:val="20"/>
        </w:rPr>
        <w:t>Ensure 'Scan for Startup Procs' Server Configuration Option is set to '0'</w:t>
      </w:r>
    </w:p>
    <w:p w14:paraId="7CCC89DF" w14:textId="77777777" w:rsidR="005276C6" w:rsidRPr="00ED6625" w:rsidRDefault="005276C6" w:rsidP="005276C6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ED6625">
        <w:rPr>
          <w:sz w:val="20"/>
          <w:szCs w:val="20"/>
        </w:rPr>
        <w:t>Ensure 'Trustworthy' Database Property is set to 'Off'</w:t>
      </w:r>
    </w:p>
    <w:p w14:paraId="4DD2293F" w14:textId="77777777" w:rsidR="005276C6" w:rsidRPr="00ED6625" w:rsidRDefault="005276C6" w:rsidP="005276C6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ED6625">
        <w:rPr>
          <w:sz w:val="20"/>
          <w:szCs w:val="20"/>
        </w:rPr>
        <w:t>Ensure '</w:t>
      </w:r>
      <w:proofErr w:type="spellStart"/>
      <w:r w:rsidRPr="00ED6625">
        <w:rPr>
          <w:sz w:val="20"/>
          <w:szCs w:val="20"/>
        </w:rPr>
        <w:t>xp_cmdshell</w:t>
      </w:r>
      <w:proofErr w:type="spellEnd"/>
      <w:r w:rsidRPr="00ED6625">
        <w:rPr>
          <w:sz w:val="20"/>
          <w:szCs w:val="20"/>
        </w:rPr>
        <w:t>' Server Configuration Option is set to '0'</w:t>
      </w:r>
    </w:p>
    <w:p w14:paraId="12852BD5" w14:textId="77777777" w:rsidR="005276C6" w:rsidRPr="00ED6625" w:rsidRDefault="005276C6" w:rsidP="005276C6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ED6625">
        <w:rPr>
          <w:sz w:val="20"/>
          <w:szCs w:val="20"/>
        </w:rPr>
        <w:t>Ensure 'Default Trace Enabled' Server Configuration Option is set to '1'</w:t>
      </w:r>
    </w:p>
    <w:p w14:paraId="19EF4AF8" w14:textId="77777777" w:rsidR="005276C6" w:rsidRDefault="005276C6" w:rsidP="005276C6">
      <w:pPr>
        <w:pStyle w:val="ListParagraph"/>
        <w:numPr>
          <w:ilvl w:val="2"/>
          <w:numId w:val="4"/>
        </w:numPr>
      </w:pPr>
      <w:r w:rsidRPr="009A6A35">
        <w:t xml:space="preserve">Ensure 'Orphaned Users' are Dropped </w:t>
      </w:r>
      <w:r>
        <w:t>f</w:t>
      </w:r>
      <w:r w:rsidRPr="009A6A35">
        <w:t>rom SQL Server Databases</w:t>
      </w:r>
    </w:p>
    <w:p w14:paraId="0C1BD59A" w14:textId="77777777" w:rsidR="005276C6" w:rsidRDefault="005276C6" w:rsidP="005276C6">
      <w:pPr>
        <w:pStyle w:val="ListParagraph"/>
        <w:numPr>
          <w:ilvl w:val="2"/>
          <w:numId w:val="4"/>
        </w:numPr>
      </w:pPr>
      <w:r w:rsidRPr="009A6A35">
        <w:t xml:space="preserve">Ensure CONNECT permissions on the 'guest user' is Revoked within all SQL Server databases excluding the master, </w:t>
      </w:r>
      <w:proofErr w:type="spellStart"/>
      <w:r w:rsidRPr="009A6A35">
        <w:t>msdb</w:t>
      </w:r>
      <w:proofErr w:type="spellEnd"/>
      <w:r w:rsidRPr="009A6A35">
        <w:t xml:space="preserve"> and </w:t>
      </w:r>
      <w:proofErr w:type="spellStart"/>
      <w:r w:rsidRPr="009A6A35">
        <w:t>tempdb</w:t>
      </w:r>
      <w:proofErr w:type="spellEnd"/>
    </w:p>
    <w:p w14:paraId="22DE2FB1" w14:textId="77777777" w:rsidR="005276C6" w:rsidRDefault="005276C6" w:rsidP="005276C6">
      <w:pPr>
        <w:pStyle w:val="ListParagraph"/>
        <w:numPr>
          <w:ilvl w:val="2"/>
          <w:numId w:val="4"/>
        </w:numPr>
      </w:pPr>
      <w:r w:rsidRPr="004D34C1">
        <w:t>Ensure 'AUTO_CLOSE OFF' is set on contained databases</w:t>
      </w:r>
    </w:p>
    <w:p w14:paraId="40D85C5D" w14:textId="77777777" w:rsidR="005276C6" w:rsidRDefault="005276C6" w:rsidP="005276C6">
      <w:pPr>
        <w:pStyle w:val="ListParagraph"/>
        <w:numPr>
          <w:ilvl w:val="2"/>
          <w:numId w:val="4"/>
        </w:numPr>
      </w:pPr>
      <w:r w:rsidRPr="004D34C1">
        <w:t>Ensure Unnecessary SQL Server Protocols are set to 'Disabled'</w:t>
      </w:r>
    </w:p>
    <w:p w14:paraId="475C2511" w14:textId="77777777" w:rsidR="005276C6" w:rsidRDefault="005276C6" w:rsidP="005276C6">
      <w:pPr>
        <w:pStyle w:val="ListParagraph"/>
        <w:numPr>
          <w:ilvl w:val="2"/>
          <w:numId w:val="4"/>
        </w:numPr>
      </w:pPr>
      <w:r>
        <w:t>Disable and rename ‘</w:t>
      </w:r>
      <w:proofErr w:type="spellStart"/>
      <w:r>
        <w:t>sa</w:t>
      </w:r>
      <w:proofErr w:type="spellEnd"/>
      <w:r>
        <w:t>’</w:t>
      </w:r>
    </w:p>
    <w:p w14:paraId="3506C961" w14:textId="77777777" w:rsidR="005276C6" w:rsidRDefault="005276C6" w:rsidP="005276C6">
      <w:pPr>
        <w:pStyle w:val="ListParagraph"/>
        <w:numPr>
          <w:ilvl w:val="2"/>
          <w:numId w:val="4"/>
        </w:numPr>
      </w:pPr>
      <w:r>
        <w:t>Use windows authentication mode</w:t>
      </w:r>
    </w:p>
    <w:p w14:paraId="1EDE0AEB" w14:textId="77777777" w:rsidR="005276C6" w:rsidRDefault="005276C6" w:rsidP="005276C6">
      <w:pPr>
        <w:pStyle w:val="ListParagraph"/>
        <w:numPr>
          <w:ilvl w:val="2"/>
          <w:numId w:val="4"/>
        </w:numPr>
      </w:pPr>
      <w:r>
        <w:t>Use different AD accounts for all SQL services on each server</w:t>
      </w:r>
    </w:p>
    <w:p w14:paraId="475589C6" w14:textId="77777777" w:rsidR="005276C6" w:rsidRDefault="005276C6" w:rsidP="005276C6">
      <w:pPr>
        <w:pStyle w:val="ListParagraph"/>
        <w:numPr>
          <w:ilvl w:val="3"/>
          <w:numId w:val="4"/>
        </w:numPr>
      </w:pPr>
      <w:r>
        <w:t>Do not make service accounts admins</w:t>
      </w:r>
    </w:p>
    <w:p w14:paraId="379357CF" w14:textId="77777777" w:rsidR="005276C6" w:rsidRDefault="005276C6" w:rsidP="005276C6">
      <w:pPr>
        <w:pStyle w:val="ListParagraph"/>
        <w:numPr>
          <w:ilvl w:val="3"/>
          <w:numId w:val="4"/>
        </w:numPr>
      </w:pPr>
      <w:r>
        <w:t>Use GMSA’s if possible</w:t>
      </w:r>
    </w:p>
    <w:p w14:paraId="2A9C62BD" w14:textId="6B17D971" w:rsidR="005276C6" w:rsidRDefault="005276C6" w:rsidP="005276C6">
      <w:pPr>
        <w:pStyle w:val="ListParagraph"/>
        <w:numPr>
          <w:ilvl w:val="2"/>
          <w:numId w:val="4"/>
        </w:numPr>
      </w:pPr>
      <w:r>
        <w:t>Enable ‘Hide Instance’ in network settings (careful with this</w:t>
      </w:r>
      <w:r w:rsidR="0048493C">
        <w:t>,</w:t>
      </w:r>
      <w:bookmarkStart w:id="0" w:name="_GoBack"/>
      <w:bookmarkEnd w:id="0"/>
      <w:r>
        <w:t xml:space="preserve"> can screw up SSIS package execution and other SQL Agent job related stuff)</w:t>
      </w:r>
    </w:p>
    <w:p w14:paraId="4C84AB86" w14:textId="77777777" w:rsidR="005276C6" w:rsidRDefault="005276C6" w:rsidP="005276C6">
      <w:pPr>
        <w:pStyle w:val="ListParagraph"/>
        <w:numPr>
          <w:ilvl w:val="3"/>
          <w:numId w:val="4"/>
        </w:numPr>
      </w:pPr>
      <w:r>
        <w:t>If not doing this disable SQL browser service</w:t>
      </w:r>
    </w:p>
    <w:p w14:paraId="18B51CBB" w14:textId="77777777" w:rsidR="005276C6" w:rsidRDefault="005276C6" w:rsidP="005276C6">
      <w:pPr>
        <w:pStyle w:val="ListParagraph"/>
        <w:numPr>
          <w:ilvl w:val="2"/>
          <w:numId w:val="4"/>
        </w:numPr>
      </w:pPr>
      <w:r>
        <w:t>All connections must specify port to connect</w:t>
      </w:r>
    </w:p>
    <w:p w14:paraId="771BFEBB" w14:textId="77777777" w:rsidR="005276C6" w:rsidRDefault="005276C6" w:rsidP="005276C6">
      <w:pPr>
        <w:pStyle w:val="ListParagraph"/>
        <w:numPr>
          <w:ilvl w:val="2"/>
          <w:numId w:val="4"/>
        </w:numPr>
      </w:pPr>
      <w:r w:rsidRPr="004D34C1">
        <w:t xml:space="preserve">Configure </w:t>
      </w:r>
      <w:r>
        <w:t xml:space="preserve">SQL </w:t>
      </w:r>
      <w:r w:rsidRPr="004D34C1">
        <w:t>auditing</w:t>
      </w:r>
      <w:r>
        <w:t xml:space="preserve"> to Windows Event Logs</w:t>
      </w:r>
    </w:p>
    <w:p w14:paraId="0808531C" w14:textId="77777777" w:rsidR="005276C6" w:rsidRDefault="005276C6" w:rsidP="005276C6">
      <w:pPr>
        <w:pStyle w:val="ListParagraph"/>
        <w:numPr>
          <w:ilvl w:val="3"/>
          <w:numId w:val="4"/>
        </w:numPr>
      </w:pPr>
      <w:r>
        <w:t>Enable logging of all successful and failed logins</w:t>
      </w:r>
    </w:p>
    <w:p w14:paraId="4269005C" w14:textId="77777777" w:rsidR="005276C6" w:rsidRDefault="005276C6" w:rsidP="005276C6">
      <w:pPr>
        <w:pStyle w:val="ListParagraph"/>
        <w:numPr>
          <w:ilvl w:val="2"/>
          <w:numId w:val="4"/>
        </w:numPr>
      </w:pPr>
      <w:r>
        <w:t>Bump SQL error logs to 12</w:t>
      </w:r>
    </w:p>
    <w:p w14:paraId="513FA32F" w14:textId="77777777" w:rsidR="005276C6" w:rsidRDefault="005276C6" w:rsidP="005276C6">
      <w:pPr>
        <w:pStyle w:val="ListParagraph"/>
        <w:numPr>
          <w:ilvl w:val="1"/>
          <w:numId w:val="4"/>
        </w:numPr>
      </w:pPr>
      <w:r>
        <w:t>Be sure all SQL related services are set for automatic startup</w:t>
      </w:r>
    </w:p>
    <w:p w14:paraId="11643325" w14:textId="77777777" w:rsidR="005276C6" w:rsidRDefault="005276C6" w:rsidP="005276C6">
      <w:pPr>
        <w:pStyle w:val="ListParagraph"/>
        <w:numPr>
          <w:ilvl w:val="1"/>
          <w:numId w:val="4"/>
        </w:numPr>
      </w:pPr>
      <w:r>
        <w:t xml:space="preserve">Be sure </w:t>
      </w:r>
      <w:proofErr w:type="spellStart"/>
      <w:r>
        <w:t>bitlocker</w:t>
      </w:r>
      <w:proofErr w:type="spellEnd"/>
      <w:r>
        <w:t xml:space="preserve"> </w:t>
      </w:r>
      <w:r w:rsidRPr="00013D89">
        <w:t>'Symmetric Key encryption algorithm' is set to 'AES_128' or higher</w:t>
      </w:r>
    </w:p>
    <w:p w14:paraId="4C0AC997" w14:textId="77777777" w:rsidR="005276C6" w:rsidRDefault="005276C6" w:rsidP="005276C6">
      <w:pPr>
        <w:pStyle w:val="ListParagraph"/>
        <w:numPr>
          <w:ilvl w:val="1"/>
          <w:numId w:val="4"/>
        </w:numPr>
      </w:pPr>
      <w:r>
        <w:t>Be sure user database(s) are set with the appropriate database recovery model</w:t>
      </w:r>
    </w:p>
    <w:p w14:paraId="54E473B4" w14:textId="77777777" w:rsidR="005276C6" w:rsidRDefault="005276C6" w:rsidP="005276C6">
      <w:pPr>
        <w:pStyle w:val="ListParagraph"/>
        <w:numPr>
          <w:ilvl w:val="1"/>
          <w:numId w:val="4"/>
        </w:numPr>
      </w:pPr>
      <w:r>
        <w:t>Be sure user database(s) data and log files are set to grow appropriately (fixed sizes are better than percentages)</w:t>
      </w:r>
    </w:p>
    <w:p w14:paraId="5B37B607" w14:textId="77777777" w:rsidR="005276C6" w:rsidRDefault="005276C6" w:rsidP="005276C6">
      <w:pPr>
        <w:pStyle w:val="ListParagraph"/>
        <w:numPr>
          <w:ilvl w:val="1"/>
          <w:numId w:val="4"/>
        </w:numPr>
      </w:pPr>
      <w:r>
        <w:t>Add new instance info to SQL meta collector node</w:t>
      </w:r>
    </w:p>
    <w:p w14:paraId="034F0B21" w14:textId="77777777" w:rsidR="005276C6" w:rsidRDefault="005276C6" w:rsidP="005276C6">
      <w:pPr>
        <w:pStyle w:val="ListParagraph"/>
        <w:numPr>
          <w:ilvl w:val="1"/>
          <w:numId w:val="4"/>
        </w:numPr>
      </w:pPr>
      <w:r>
        <w:t>SQL Server 2016+ - Disable CEI</w:t>
      </w:r>
    </w:p>
    <w:p w14:paraId="0A6AA9A3" w14:textId="77777777" w:rsidR="005276C6" w:rsidRDefault="005276C6" w:rsidP="005276C6">
      <w:pPr>
        <w:pStyle w:val="ListParagraph"/>
        <w:numPr>
          <w:ilvl w:val="2"/>
          <w:numId w:val="4"/>
        </w:numPr>
      </w:pPr>
      <w:r>
        <w:t>SQLDisableCEI.ps script</w:t>
      </w:r>
    </w:p>
    <w:p w14:paraId="38FA91FB" w14:textId="77777777" w:rsidR="005276C6" w:rsidRDefault="005276C6" w:rsidP="005276C6"/>
    <w:p w14:paraId="7FBF2AC1" w14:textId="77777777" w:rsidR="005276C6" w:rsidRDefault="005276C6" w:rsidP="005276C6">
      <w:r>
        <w:t>Notes:</w:t>
      </w:r>
    </w:p>
    <w:p w14:paraId="63D82433" w14:textId="77777777" w:rsidR="005276C6" w:rsidRDefault="005276C6" w:rsidP="005276C6">
      <w:pPr>
        <w:pStyle w:val="ListParagraph"/>
        <w:numPr>
          <w:ilvl w:val="0"/>
          <w:numId w:val="5"/>
        </w:numPr>
      </w:pPr>
      <w:r>
        <w:t>If you are seeing a problem with the SQL Server Agent not wanting to start you may need to check SQL Server Agent-&gt;Properties-&gt;Connection and set the Alias local host server to use the correct instance and port connection string.</w:t>
      </w:r>
    </w:p>
    <w:p w14:paraId="13B53CB8" w14:textId="691A1FF5" w:rsidR="005D52D1" w:rsidRDefault="005D52D1" w:rsidP="005D52D1">
      <w:pPr>
        <w:pStyle w:val="ListParagraph"/>
        <w:spacing w:after="0" w:line="240" w:lineRule="auto"/>
        <w:jc w:val="center"/>
        <w:rPr>
          <w:rFonts w:ascii="Arial" w:hAnsi="Arial" w:cs="Arial"/>
          <w:sz w:val="20"/>
          <w:szCs w:val="40"/>
        </w:rPr>
      </w:pPr>
    </w:p>
    <w:p w14:paraId="7D9706E1" w14:textId="77777777" w:rsidR="005D52D1" w:rsidRDefault="005D52D1" w:rsidP="00C93C29">
      <w:pPr>
        <w:pStyle w:val="ListParagraph"/>
        <w:spacing w:after="0"/>
        <w:rPr>
          <w:rFonts w:ascii="Arial" w:hAnsi="Arial" w:cs="Arial"/>
          <w:b/>
          <w:sz w:val="20"/>
          <w:szCs w:val="40"/>
        </w:rPr>
      </w:pPr>
    </w:p>
    <w:p w14:paraId="25EFEC76" w14:textId="44978DDC" w:rsidR="0096009A" w:rsidRDefault="0096009A">
      <w:pPr>
        <w:rPr>
          <w:rFonts w:ascii="Arial" w:hAnsi="Arial" w:cs="Arial"/>
          <w:sz w:val="20"/>
          <w:szCs w:val="40"/>
        </w:rPr>
      </w:pPr>
    </w:p>
    <w:p w14:paraId="004F3520" w14:textId="77777777" w:rsidR="000806A3" w:rsidRPr="00356D60" w:rsidRDefault="000806A3" w:rsidP="000806A3">
      <w:pPr>
        <w:jc w:val="center"/>
        <w:rPr>
          <w:rFonts w:cs="Arial"/>
          <w:sz w:val="18"/>
          <w:szCs w:val="18"/>
        </w:rPr>
      </w:pPr>
      <w:r w:rsidRPr="00356D60">
        <w:rPr>
          <w:rFonts w:cs="Arial"/>
          <w:sz w:val="36"/>
          <w:szCs w:val="36"/>
        </w:rPr>
        <w:t>Revision History</w:t>
      </w:r>
    </w:p>
    <w:p w14:paraId="79B5C053" w14:textId="77777777" w:rsidR="000806A3" w:rsidRPr="00356D60" w:rsidRDefault="000806A3" w:rsidP="000806A3">
      <w:pPr>
        <w:ind w:left="-630" w:right="-900"/>
        <w:rPr>
          <w:rFonts w:cs="Arial"/>
        </w:rPr>
      </w:pPr>
      <w:r w:rsidRPr="00356D60">
        <w:rPr>
          <w:rFonts w:cs="Arial"/>
          <w:sz w:val="18"/>
          <w:szCs w:val="18"/>
        </w:rPr>
        <w:t>Document Change</w:t>
      </w:r>
      <w:r w:rsidRPr="00356D60">
        <w:rPr>
          <w:rFonts w:cs="Arial"/>
          <w:sz w:val="18"/>
          <w:szCs w:val="18"/>
        </w:rPr>
        <w:tab/>
      </w:r>
      <w:r w:rsidRPr="00356D60"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 xml:space="preserve">         </w:t>
      </w:r>
      <w:r w:rsidRPr="00356D60">
        <w:rPr>
          <w:rFonts w:cs="Arial"/>
          <w:sz w:val="18"/>
          <w:szCs w:val="18"/>
        </w:rPr>
        <w:t>Contributor</w:t>
      </w:r>
      <w:r w:rsidRPr="00356D60">
        <w:rPr>
          <w:rFonts w:cs="Arial"/>
          <w:sz w:val="18"/>
          <w:szCs w:val="18"/>
        </w:rPr>
        <w:tab/>
        <w:t xml:space="preserve">    </w:t>
      </w:r>
      <w:r>
        <w:rPr>
          <w:rFonts w:cs="Arial"/>
          <w:sz w:val="18"/>
          <w:szCs w:val="18"/>
        </w:rPr>
        <w:tab/>
      </w:r>
      <w:r w:rsidRPr="00356D60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C</w:t>
      </w:r>
      <w:r w:rsidRPr="00356D60">
        <w:rPr>
          <w:rFonts w:cs="Arial"/>
          <w:sz w:val="18"/>
          <w:szCs w:val="18"/>
        </w:rPr>
        <w:t>hange Dat</w:t>
      </w:r>
      <w:r>
        <w:rPr>
          <w:rFonts w:cs="Arial"/>
          <w:sz w:val="18"/>
          <w:szCs w:val="18"/>
        </w:rPr>
        <w:t xml:space="preserve">e                    </w:t>
      </w:r>
      <w:r w:rsidRPr="00356D60">
        <w:rPr>
          <w:rFonts w:cs="Arial"/>
        </w:rPr>
        <w:t xml:space="preserve"> </w:t>
      </w:r>
      <w:r>
        <w:rPr>
          <w:rFonts w:cs="Arial"/>
          <w:sz w:val="18"/>
          <w:szCs w:val="18"/>
        </w:rPr>
        <w:t xml:space="preserve">Reviewer </w:t>
      </w:r>
      <w:r w:rsidRPr="00356D60">
        <w:rPr>
          <w:rFonts w:cs="Arial"/>
          <w:sz w:val="18"/>
          <w:szCs w:val="18"/>
        </w:rPr>
        <w:tab/>
        <w:t xml:space="preserve">           </w:t>
      </w:r>
      <w:r>
        <w:rPr>
          <w:rFonts w:cs="Arial"/>
          <w:sz w:val="18"/>
          <w:szCs w:val="18"/>
        </w:rPr>
        <w:tab/>
        <w:t xml:space="preserve">       Approval Date</w:t>
      </w:r>
    </w:p>
    <w:tbl>
      <w:tblPr>
        <w:tblStyle w:val="TableGrid"/>
        <w:tblpPr w:leftFromText="180" w:rightFromText="180" w:vertAnchor="text" w:horzAnchor="margin" w:tblpXSpec="center" w:tblpY="69"/>
        <w:tblW w:w="10762" w:type="dxa"/>
        <w:tblLook w:val="04A0" w:firstRow="1" w:lastRow="0" w:firstColumn="1" w:lastColumn="0" w:noHBand="0" w:noVBand="1"/>
      </w:tblPr>
      <w:tblGrid>
        <w:gridCol w:w="2687"/>
        <w:gridCol w:w="2176"/>
        <w:gridCol w:w="1593"/>
        <w:gridCol w:w="1819"/>
        <w:gridCol w:w="2487"/>
      </w:tblGrid>
      <w:tr w:rsidR="00B85FAA" w:rsidRPr="00356D60" w14:paraId="30AA8977" w14:textId="77777777" w:rsidTr="00B85FAA">
        <w:trPr>
          <w:trHeight w:val="503"/>
        </w:trPr>
        <w:tc>
          <w:tcPr>
            <w:tcW w:w="2687" w:type="dxa"/>
          </w:tcPr>
          <w:p w14:paraId="4CA016BB" w14:textId="77777777" w:rsidR="00B85FAA" w:rsidRPr="00356D60" w:rsidRDefault="00B85FAA" w:rsidP="00B85FA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Procedure</w:t>
            </w:r>
            <w:r w:rsidRPr="00356D60">
              <w:rPr>
                <w:rFonts w:cs="Arial"/>
                <w:sz w:val="18"/>
                <w:szCs w:val="18"/>
              </w:rPr>
              <w:t xml:space="preserve"> Creation</w:t>
            </w:r>
          </w:p>
        </w:tc>
        <w:tc>
          <w:tcPr>
            <w:tcW w:w="2176" w:type="dxa"/>
          </w:tcPr>
          <w:p w14:paraId="3494DF6C" w14:textId="77777777" w:rsidR="00B85FAA" w:rsidRPr="00356D60" w:rsidRDefault="00B85FAA" w:rsidP="00B85FA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593" w:type="dxa"/>
          </w:tcPr>
          <w:p w14:paraId="4E4C03C1" w14:textId="77777777" w:rsidR="00B85FAA" w:rsidRPr="00356D60" w:rsidRDefault="00B85FAA" w:rsidP="00B85FA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819" w:type="dxa"/>
          </w:tcPr>
          <w:p w14:paraId="5538F4EE" w14:textId="77777777" w:rsidR="00B85FAA" w:rsidRPr="00356D60" w:rsidRDefault="00B85FAA" w:rsidP="00B85FA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487" w:type="dxa"/>
          </w:tcPr>
          <w:p w14:paraId="051924EF" w14:textId="77777777" w:rsidR="00B85FAA" w:rsidRPr="00356D60" w:rsidRDefault="00B85FAA" w:rsidP="00B85FAA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85FAA" w:rsidRPr="00356D60" w14:paraId="522ED92F" w14:textId="77777777" w:rsidTr="00B85FAA">
        <w:trPr>
          <w:trHeight w:val="522"/>
        </w:trPr>
        <w:tc>
          <w:tcPr>
            <w:tcW w:w="2687" w:type="dxa"/>
          </w:tcPr>
          <w:p w14:paraId="19686D41" w14:textId="77777777" w:rsidR="00B85FAA" w:rsidRPr="00356D60" w:rsidRDefault="00B85FAA" w:rsidP="00B85FA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176" w:type="dxa"/>
          </w:tcPr>
          <w:p w14:paraId="563413FB" w14:textId="77777777" w:rsidR="00B85FAA" w:rsidRPr="00356D60" w:rsidRDefault="00B85FAA" w:rsidP="00B85FA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593" w:type="dxa"/>
          </w:tcPr>
          <w:p w14:paraId="26EF54F5" w14:textId="77777777" w:rsidR="00B85FAA" w:rsidRPr="00356D60" w:rsidRDefault="00B85FAA" w:rsidP="00B85FA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819" w:type="dxa"/>
          </w:tcPr>
          <w:p w14:paraId="469B0D80" w14:textId="77777777" w:rsidR="00B85FAA" w:rsidRPr="00356D60" w:rsidRDefault="00B85FAA" w:rsidP="00B85FA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487" w:type="dxa"/>
          </w:tcPr>
          <w:p w14:paraId="4561C0D1" w14:textId="77777777" w:rsidR="00B85FAA" w:rsidRPr="00356D60" w:rsidRDefault="00B85FAA" w:rsidP="00B85FAA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85FAA" w:rsidRPr="00356D60" w14:paraId="42B12815" w14:textId="77777777" w:rsidTr="00B85FAA">
        <w:trPr>
          <w:trHeight w:val="522"/>
        </w:trPr>
        <w:tc>
          <w:tcPr>
            <w:tcW w:w="2687" w:type="dxa"/>
          </w:tcPr>
          <w:p w14:paraId="6A4EAFF2" w14:textId="77777777" w:rsidR="00B85FAA" w:rsidRPr="00356D60" w:rsidRDefault="00B85FAA" w:rsidP="00B85FA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176" w:type="dxa"/>
          </w:tcPr>
          <w:p w14:paraId="67C0C8E1" w14:textId="77777777" w:rsidR="00B85FAA" w:rsidRPr="00356D60" w:rsidRDefault="00B85FAA" w:rsidP="00B85FA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593" w:type="dxa"/>
          </w:tcPr>
          <w:p w14:paraId="69E74424" w14:textId="77777777" w:rsidR="00B85FAA" w:rsidRPr="00356D60" w:rsidRDefault="00B85FAA" w:rsidP="00B85FA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819" w:type="dxa"/>
          </w:tcPr>
          <w:p w14:paraId="682E0233" w14:textId="77777777" w:rsidR="00B85FAA" w:rsidRPr="00356D60" w:rsidRDefault="00B85FAA" w:rsidP="00B85FA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487" w:type="dxa"/>
          </w:tcPr>
          <w:p w14:paraId="481758A9" w14:textId="77777777" w:rsidR="00B85FAA" w:rsidRPr="00356D60" w:rsidRDefault="00B85FAA" w:rsidP="00B85FAA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85FAA" w:rsidRPr="00356D60" w14:paraId="0AA0F0FA" w14:textId="77777777" w:rsidTr="00B85FAA">
        <w:trPr>
          <w:trHeight w:val="522"/>
        </w:trPr>
        <w:tc>
          <w:tcPr>
            <w:tcW w:w="2687" w:type="dxa"/>
          </w:tcPr>
          <w:p w14:paraId="215B7B8E" w14:textId="77777777" w:rsidR="00B85FAA" w:rsidRPr="00356D60" w:rsidRDefault="00B85FAA" w:rsidP="00B85FA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176" w:type="dxa"/>
          </w:tcPr>
          <w:p w14:paraId="4D9FCCD4" w14:textId="77777777" w:rsidR="00B85FAA" w:rsidRPr="00356D60" w:rsidRDefault="00B85FAA" w:rsidP="00B85FA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593" w:type="dxa"/>
          </w:tcPr>
          <w:p w14:paraId="0681BD7B" w14:textId="77777777" w:rsidR="00B85FAA" w:rsidRPr="00356D60" w:rsidRDefault="00B85FAA" w:rsidP="00B85FA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819" w:type="dxa"/>
          </w:tcPr>
          <w:p w14:paraId="3A4ED0B4" w14:textId="77777777" w:rsidR="00B85FAA" w:rsidRPr="00356D60" w:rsidRDefault="00B85FAA" w:rsidP="00B85FA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487" w:type="dxa"/>
          </w:tcPr>
          <w:p w14:paraId="7CA96BFE" w14:textId="77777777" w:rsidR="00B85FAA" w:rsidRPr="00356D60" w:rsidRDefault="00B85FAA" w:rsidP="00B85FAA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85FAA" w:rsidRPr="00356D60" w14:paraId="0084D129" w14:textId="77777777" w:rsidTr="00B85FAA">
        <w:trPr>
          <w:trHeight w:val="522"/>
        </w:trPr>
        <w:tc>
          <w:tcPr>
            <w:tcW w:w="2687" w:type="dxa"/>
          </w:tcPr>
          <w:p w14:paraId="5B496A7B" w14:textId="77777777" w:rsidR="00B85FAA" w:rsidRPr="00356D60" w:rsidRDefault="00B85FAA" w:rsidP="00B85FA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176" w:type="dxa"/>
          </w:tcPr>
          <w:p w14:paraId="2A86CB59" w14:textId="77777777" w:rsidR="00B85FAA" w:rsidRPr="00356D60" w:rsidRDefault="00B85FAA" w:rsidP="00B85FA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593" w:type="dxa"/>
          </w:tcPr>
          <w:p w14:paraId="1033E6EF" w14:textId="77777777" w:rsidR="00B85FAA" w:rsidRPr="00356D60" w:rsidRDefault="00B85FAA" w:rsidP="00B85FA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819" w:type="dxa"/>
          </w:tcPr>
          <w:p w14:paraId="322F0AE2" w14:textId="77777777" w:rsidR="00B85FAA" w:rsidRPr="00356D60" w:rsidRDefault="00B85FAA" w:rsidP="00B85FA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487" w:type="dxa"/>
          </w:tcPr>
          <w:p w14:paraId="51C15272" w14:textId="77777777" w:rsidR="00B85FAA" w:rsidRPr="00356D60" w:rsidRDefault="00B85FAA" w:rsidP="00B85FAA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14:paraId="0258BB09" w14:textId="77777777" w:rsidR="0096009A" w:rsidRPr="005D52D1" w:rsidRDefault="0096009A" w:rsidP="0096009A">
      <w:pPr>
        <w:pStyle w:val="ListParagraph"/>
        <w:ind w:left="0"/>
        <w:rPr>
          <w:rFonts w:ascii="Arial" w:hAnsi="Arial" w:cs="Arial"/>
          <w:sz w:val="20"/>
          <w:szCs w:val="40"/>
        </w:rPr>
      </w:pPr>
    </w:p>
    <w:sectPr w:rsidR="0096009A" w:rsidRPr="005D52D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D3E95" w14:textId="77777777" w:rsidR="00007A84" w:rsidRDefault="00007A84" w:rsidP="00677F2B">
      <w:pPr>
        <w:spacing w:after="0" w:line="240" w:lineRule="auto"/>
      </w:pPr>
      <w:r>
        <w:separator/>
      </w:r>
    </w:p>
  </w:endnote>
  <w:endnote w:type="continuationSeparator" w:id="0">
    <w:p w14:paraId="617CE600" w14:textId="77777777" w:rsidR="00007A84" w:rsidRDefault="00007A84" w:rsidP="0067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4A96D" w14:textId="77777777" w:rsidR="00113646" w:rsidRDefault="00113646" w:rsidP="00113646">
    <w:pPr>
      <w:pStyle w:val="Footer"/>
    </w:pPr>
    <w:r>
      <w:rPr>
        <w:b/>
      </w:rPr>
      <w:t>Internal Department</w:t>
    </w:r>
    <w:r w:rsidRPr="00CD0FD7">
      <w:rPr>
        <w:b/>
      </w:rPr>
      <w:t xml:space="preserve"> Use Only</w:t>
    </w:r>
    <w:r w:rsidRPr="00CD0FD7">
      <w:t xml:space="preserve">.  The information contained in this document is for internal </w:t>
    </w:r>
    <w:r>
      <w:t>department</w:t>
    </w:r>
    <w:r w:rsidRPr="00CD0FD7">
      <w:t xml:space="preserve"> use only and is not to be transmitted or relayed in any manner to outside en</w:t>
    </w:r>
    <w:r>
      <w:t>tities without prior permission by the VP of Infrastructure and Security.</w:t>
    </w:r>
  </w:p>
  <w:p w14:paraId="13B4AAEB" w14:textId="77777777" w:rsidR="00113646" w:rsidRDefault="00113646">
    <w:pPr>
      <w:pStyle w:val="Footer"/>
    </w:pPr>
  </w:p>
  <w:p w14:paraId="150DB791" w14:textId="77777777" w:rsidR="00113646" w:rsidRDefault="00113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4BB59" w14:textId="77777777" w:rsidR="00007A84" w:rsidRDefault="00007A84" w:rsidP="00677F2B">
      <w:pPr>
        <w:spacing w:after="0" w:line="240" w:lineRule="auto"/>
      </w:pPr>
      <w:r>
        <w:separator/>
      </w:r>
    </w:p>
  </w:footnote>
  <w:footnote w:type="continuationSeparator" w:id="0">
    <w:p w14:paraId="56D0C5AC" w14:textId="77777777" w:rsidR="00007A84" w:rsidRDefault="00007A84" w:rsidP="00677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1E7CA" w14:textId="77777777" w:rsidR="00677F2B" w:rsidRDefault="00007A84" w:rsidP="00677F2B">
    <w:pPr>
      <w:pStyle w:val="Header"/>
      <w:spacing w:after="240"/>
    </w:pPr>
    <w:sdt>
      <w:sdtPr>
        <w:id w:val="-1440209260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68F6F0D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13512720" o:spid="_x0000_s2049" type="#_x0000_t136" style="position:absolute;margin-left:0;margin-top:0;width:586.55pt;height:73.3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&quot;;font-size:1pt" string="Internal Use Only"/>
              <w10:wrap anchorx="margin" anchory="margin"/>
            </v:shape>
          </w:pict>
        </w:r>
      </w:sdtContent>
    </w:sdt>
    <w:r w:rsidR="00677F2B">
      <w:rPr>
        <w:rFonts w:ascii="Arial" w:hAnsi="Arial" w:cs="Arial"/>
        <w:noProof/>
      </w:rPr>
      <w:drawing>
        <wp:inline distT="0" distB="0" distL="0" distR="0" wp14:anchorId="6482089F" wp14:editId="6B91B585">
          <wp:extent cx="1039393" cy="409575"/>
          <wp:effectExtent l="0" t="0" r="8890" b="0"/>
          <wp:docPr id="1" name="Picture 1" descr="DarkCapital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rkCapital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608" cy="4143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77F2B">
      <w:ptab w:relativeTo="margin" w:alignment="center" w:leader="none"/>
    </w:r>
    <w:r w:rsidR="00677F2B">
      <w:ptab w:relativeTo="margin" w:alignment="right" w:leader="none"/>
    </w:r>
    <w:r w:rsidR="00677F2B" w:rsidRPr="000E5CCF">
      <w:rPr>
        <w:rFonts w:ascii="Arial" w:hAnsi="Arial" w:cs="Arial"/>
        <w:sz w:val="16"/>
        <w:szCs w:val="20"/>
      </w:rPr>
      <w:t xml:space="preserve">Document Classification:  </w:t>
    </w:r>
    <w:r w:rsidR="00677F2B" w:rsidRPr="000E5CCF">
      <w:rPr>
        <w:rFonts w:ascii="Arial" w:hAnsi="Arial" w:cs="Arial"/>
        <w:b/>
        <w:sz w:val="16"/>
        <w:szCs w:val="20"/>
      </w:rPr>
      <w:t xml:space="preserve">Internal </w:t>
    </w:r>
    <w:r w:rsidR="00677F2B">
      <w:rPr>
        <w:rFonts w:ascii="Arial" w:hAnsi="Arial" w:cs="Arial"/>
        <w:b/>
        <w:sz w:val="16"/>
        <w:szCs w:val="20"/>
      </w:rPr>
      <w:t>Department</w:t>
    </w:r>
    <w:r w:rsidR="00677F2B" w:rsidRPr="000E5CCF">
      <w:rPr>
        <w:rFonts w:ascii="Arial" w:hAnsi="Arial" w:cs="Arial"/>
        <w:b/>
        <w:sz w:val="16"/>
        <w:szCs w:val="20"/>
      </w:rPr>
      <w:t xml:space="preserve"> Use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838B6"/>
    <w:multiLevelType w:val="hybridMultilevel"/>
    <w:tmpl w:val="D2023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16B61"/>
    <w:multiLevelType w:val="hybridMultilevel"/>
    <w:tmpl w:val="D76271B2"/>
    <w:lvl w:ilvl="0" w:tplc="E004899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348CD"/>
    <w:multiLevelType w:val="hybridMultilevel"/>
    <w:tmpl w:val="FFE0BC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EA57ED"/>
    <w:multiLevelType w:val="hybridMultilevel"/>
    <w:tmpl w:val="E0780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BE5DA2"/>
    <w:multiLevelType w:val="hybridMultilevel"/>
    <w:tmpl w:val="91A4A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F2B"/>
    <w:rsid w:val="00007A84"/>
    <w:rsid w:val="000806A3"/>
    <w:rsid w:val="000D4678"/>
    <w:rsid w:val="00113646"/>
    <w:rsid w:val="001A3F70"/>
    <w:rsid w:val="00284DF7"/>
    <w:rsid w:val="0037548A"/>
    <w:rsid w:val="00435D48"/>
    <w:rsid w:val="00455336"/>
    <w:rsid w:val="00481B02"/>
    <w:rsid w:val="0048493C"/>
    <w:rsid w:val="005276C6"/>
    <w:rsid w:val="005D52D1"/>
    <w:rsid w:val="005F30F8"/>
    <w:rsid w:val="00677F2B"/>
    <w:rsid w:val="006C55FF"/>
    <w:rsid w:val="00815411"/>
    <w:rsid w:val="008C3AD7"/>
    <w:rsid w:val="0096009A"/>
    <w:rsid w:val="00A977FC"/>
    <w:rsid w:val="00AB3A1F"/>
    <w:rsid w:val="00AF2CE0"/>
    <w:rsid w:val="00B85FAA"/>
    <w:rsid w:val="00C46E0B"/>
    <w:rsid w:val="00C93C29"/>
    <w:rsid w:val="00CA1980"/>
    <w:rsid w:val="00ED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7A7EA35"/>
  <w15:chartTrackingRefBased/>
  <w15:docId w15:val="{F00D0CB7-DFB2-46F7-BD66-920186B4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F2B"/>
  </w:style>
  <w:style w:type="paragraph" w:styleId="Footer">
    <w:name w:val="footer"/>
    <w:basedOn w:val="Normal"/>
    <w:link w:val="FooterChar"/>
    <w:uiPriority w:val="99"/>
    <w:unhideWhenUsed/>
    <w:rsid w:val="00677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F2B"/>
  </w:style>
  <w:style w:type="paragraph" w:styleId="ListParagraph">
    <w:name w:val="List Paragraph"/>
    <w:basedOn w:val="Normal"/>
    <w:uiPriority w:val="34"/>
    <w:qFormat/>
    <w:rsid w:val="00677F2B"/>
    <w:pPr>
      <w:ind w:left="720"/>
      <w:contextualSpacing/>
    </w:pPr>
  </w:style>
  <w:style w:type="table" w:styleId="TableGrid">
    <w:name w:val="Table Grid"/>
    <w:basedOn w:val="TableNormal"/>
    <w:uiPriority w:val="39"/>
    <w:rsid w:val="00080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5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en-us/help/2154845/recommendations-to-reduce-allocation-contention-in-sql-server-tempdb-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Gravelle</dc:creator>
  <cp:keywords/>
  <dc:description/>
  <cp:lastModifiedBy>Keith Duggins</cp:lastModifiedBy>
  <cp:revision>6</cp:revision>
  <dcterms:created xsi:type="dcterms:W3CDTF">2018-10-26T15:59:00Z</dcterms:created>
  <dcterms:modified xsi:type="dcterms:W3CDTF">2018-11-06T18:05:00Z</dcterms:modified>
</cp:coreProperties>
</file>