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(pre-trib, for short). The rapture is the gathering of believers to meet Christ “in the air” (1 Thessalonians 4:17); the question is when it happens. The pre-trib view grows out of a larger system of Bible teaching called dispensationalism, which divides history into ages (“dispensations”) and keeps Israel and the church on separate tracks.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spacing w:after="200" w:line="300"/>
        <w:jc w:val="both"/>
      </w:pPr>
      <w:r>
        <w:rPr>
          <w:rFonts w:ascii="Garamond" w:cs="Garamond" w:eastAsia="Garamond" w:hAnsi="Garamond"/>
          <w:b w:val="false"/>
          <w:bCs w:val="false"/>
          <w:i w:val="false"/>
          <w:iCs w:val="false"/>
          <w:sz w:val="23"/>
          <w:szCs w:val="23"/>
        </w:rPr>
        <w:t xml:space="preserve">A few terms used throughout: “Tribulation” with a capital T means the seven-year period pre-trib teaching expects; “great tribulation” is Scripture’s own phrase (Matthew 24:21; Revelation 7:14). Numbers such as G3952 or H5057 point to Strong’s Concordance, where readers can look up the original Greek (G) or Hebrew (H) word. “This research” refers to the Continuous Jubilee Calendar (CJC), which counts Scripture’s sabbath years and Jubilees, the year of release after seven cycles of seven years (Leviticus 25:8–10). Days 1,260, 1,290, and 1,335 are Daniel’s countdown (Daniel 12:7, 11–12), counted from the start of the great tribulation; see “The Shepherd’s Gathering.”</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Artaxerxes’ decree to Ezra in 457 BC (Ezra 7),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Two ways to count the seventy weeks</w:t>
      </w:r>
    </w:p>
    <w:p>
      <w:pPr>
        <w:spacing w:after="200" w:line="300"/>
        <w:jc w:val="both"/>
      </w:pPr>
      <w:r>
        <w:rPr>
          <w:rFonts w:ascii="Garamond" w:cs="Garamond" w:eastAsia="Garamond" w:hAnsi="Garamond"/>
          <w:b/>
          <w:bCs/>
          <w:i w:val="false"/>
          <w:iCs w:val="false"/>
          <w:sz w:val="23"/>
          <w:szCs w:val="23"/>
        </w:rPr>
        <w:t xml:space="preserve">The pre-trib count.</w:t>
      </w:r>
      <w:r>
        <w:rPr>
          <w:rFonts w:ascii="Garamond" w:cs="Garamond" w:eastAsia="Garamond" w:hAnsi="Garamond"/>
          <w:b w:val="false"/>
          <w:bCs w:val="false"/>
          <w:i w:val="false"/>
          <w:iCs w:val="false"/>
          <w:sz w:val="23"/>
          <w:szCs w:val="23"/>
        </w:rPr>
        <w:t xml:space="preserve"> The best-known pre-trib calculation comes from Sir Robert Anderson’s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later revised by Harold Hoehner (1977). It makes four changes: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starting point.</w:t>
      </w:r>
      <w:r>
        <w:rPr>
          <w:rFonts w:ascii="Garamond" w:cs="Garamond" w:eastAsia="Garamond" w:hAnsi="Garamond"/>
          <w:b w:val="false"/>
          <w:bCs w:val="false"/>
          <w:i w:val="false"/>
          <w:iCs w:val="false"/>
          <w:sz w:val="23"/>
          <w:szCs w:val="23"/>
        </w:rPr>
        <w:t xml:space="preserve"> It starts with Artaxerxes’ letters to Nehemiah (445 or 444 BC), not his decree to Ezra (457 BC).</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shorter year.</w:t>
      </w:r>
      <w:r>
        <w:rPr>
          <w:rFonts w:ascii="Garamond" w:cs="Garamond" w:eastAsia="Garamond" w:hAnsi="Garamond"/>
          <w:b w:val="false"/>
          <w:bCs w:val="false"/>
          <w:i w:val="false"/>
          <w:iCs w:val="false"/>
          <w:sz w:val="23"/>
          <w:szCs w:val="23"/>
        </w:rPr>
        <w:t xml:space="preserve"> It shortens each year to 360 days, a “prophetic year,” based on the 1,260 days of Revelation 12:6.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end.</w:t>
      </w:r>
      <w:r>
        <w:rPr>
          <w:rFonts w:ascii="Garamond" w:cs="Garamond" w:eastAsia="Garamond" w:hAnsi="Garamond"/>
          <w:b w:val="false"/>
          <w:bCs w:val="false"/>
          <w:i w:val="false"/>
          <w:iCs w:val="false"/>
          <w:sz w:val="23"/>
          <w:szCs w:val="23"/>
        </w:rPr>
        <w:t xml:space="preserve"> It counts 69 weeks × 7 × 360 = 173,880 days and ends at Jesus’ entry into Jerusalem (AD 32 or 33), not at His anointing.</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paused clock.</w:t>
      </w:r>
      <w:r>
        <w:rPr>
          <w:rFonts w:ascii="Garamond" w:cs="Garamond" w:eastAsia="Garamond" w:hAnsi="Garamond"/>
          <w:b w:val="false"/>
          <w:bCs w:val="false"/>
          <w:i w:val="false"/>
          <w:iCs w:val="false"/>
          <w:sz w:val="23"/>
          <w:szCs w:val="23"/>
        </w:rPr>
        <w:t xml:space="preserve"> It stops the clock there and moves the seventieth week to the future.</w:t>
      </w:r>
    </w:p>
    <w:p>
      <w:pPr>
        <w:spacing w:after="200" w:line="300"/>
        <w:jc w:val="both"/>
      </w:pPr>
      <w:r>
        <w:rPr>
          <w:rFonts w:ascii="Garamond" w:cs="Garamond" w:eastAsia="Garamond" w:hAnsi="Garamond"/>
          <w:b/>
          <w:bCs/>
          <w:i w:val="false"/>
          <w:iCs w:val="false"/>
          <w:sz w:val="23"/>
          <w:szCs w:val="23"/>
        </w:rPr>
        <w:t xml:space="preserve">The CJC count.</w:t>
      </w:r>
      <w:r>
        <w:rPr>
          <w:rFonts w:ascii="Garamond" w:cs="Garamond" w:eastAsia="Garamond" w:hAnsi="Garamond"/>
          <w:b w:val="false"/>
          <w:bCs w:val="false"/>
          <w:i w:val="false"/>
          <w:iCs w:val="false"/>
          <w:sz w:val="23"/>
          <w:szCs w:val="23"/>
        </w:rPr>
        <w:t xml:space="preserve"> The Continuous Jubilee Calendar counts the seventy weeks the way Leviticus 25 counts sabbath years: ordinary years, seven at a time, with no pauses. It uses one simple formula anyone can check with a pencil: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B (the year count):</w:t>
      </w:r>
      <w:r>
        <w:rPr>
          <w:rFonts w:ascii="Garamond" w:cs="Garamond" w:eastAsia="Garamond" w:hAnsi="Garamond"/>
          <w:b w:val="false"/>
          <w:bCs w:val="false"/>
          <w:i w:val="false"/>
          <w:iCs w:val="false"/>
          <w:sz w:val="23"/>
          <w:szCs w:val="23"/>
        </w:rPr>
        <w:t xml:space="preserve"> for a BC year, B = 1438 − year; for an AD year, B = 1437 +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Cycle:</w:t>
      </w:r>
      <w:r>
        <w:rPr>
          <w:rFonts w:ascii="Garamond" w:cs="Garamond" w:eastAsia="Garamond" w:hAnsi="Garamond"/>
          <w:b w:val="false"/>
          <w:bCs w:val="false"/>
          <w:i w:val="false"/>
          <w:iCs w:val="false"/>
          <w:sz w:val="23"/>
          <w:szCs w:val="23"/>
        </w:rPr>
        <w:t xml:space="preserve"> (B − 1) ÷ 49, rounded down, plus 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in the cycle (Y):</w:t>
      </w:r>
      <w:r>
        <w:rPr>
          <w:rFonts w:ascii="Garamond" w:cs="Garamond" w:eastAsia="Garamond" w:hAnsi="Garamond"/>
          <w:b w:val="false"/>
          <w:bCs w:val="false"/>
          <w:i w:val="false"/>
          <w:iCs w:val="false"/>
          <w:sz w:val="23"/>
          <w:szCs w:val="23"/>
        </w:rPr>
        <w:t xml:space="preserve"> B − (Cycle − 1) × 49. Y = 1 is a Jubilee.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000"/>
        <w:gridCol w:w="2300"/>
        <w:gridCol w:w="2800"/>
      </w:tblGrid>
      <w:tr>
        <w:trPr>
          <w:cantSplit/>
          <w:tblHeader/>
        </w:trPr>
        <w:tc>
          <w:tcPr>
            <w:tcW w:type="dxa" w:w="21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Event</w:t>
            </w:r>
          </w:p>
        </w:tc>
        <w:tc>
          <w:tcPr>
            <w:tcW w:type="dxa" w:w="11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Year</w:t>
            </w:r>
          </w:p>
        </w:tc>
        <w:tc>
          <w:tcPr>
            <w:tcW w:type="dxa" w:w="1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B</w:t>
            </w:r>
          </w:p>
        </w:tc>
        <w:tc>
          <w:tcPr>
            <w:tcW w:type="dxa" w:w="23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Cycle, Year</w:t>
            </w:r>
          </w:p>
        </w:tc>
        <w:tc>
          <w:tcPr>
            <w:tcW w:type="dxa" w:w="2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Check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Decree to Ezra (Ezra 7)</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457 BC</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981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21,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start</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anointed at His baptism</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27</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43</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1464 − 981 = 483 years (69 weeks)</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cut off</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30</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1467</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46 (the middle year of its seven)</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midst of the seventieth week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Seventy weeks complete</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34</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1471 − 981 = 490 years</w:t>
            </w:r>
          </w:p>
        </w:tc>
      </w:tr>
    </w:tbl>
    <w:p>
      <w:pPr>
        <w:spacing w:after="120"/>
      </w:pPr>
    </w:p>
    <w:p>
      <w:pPr>
        <w:spacing w:after="200" w:line="300"/>
        <w:jc w:val="both"/>
      </w:pPr>
      <w:r>
        <w:rPr>
          <w:rFonts w:ascii="Garamond" w:cs="Garamond" w:eastAsia="Garamond" w:hAnsi="Garamond"/>
          <w:b/>
          <w:bCs/>
          <w:i w:val="false"/>
          <w:iCs w:val="false"/>
          <w:sz w:val="23"/>
          <w:szCs w:val="23"/>
        </w:rPr>
        <w:t xml:space="preserve">What the comparison shows: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length.</w:t>
      </w:r>
      <w:r>
        <w:rPr>
          <w:rFonts w:ascii="Garamond" w:cs="Garamond" w:eastAsia="Garamond" w:hAnsi="Garamond"/>
          <w:b w:val="false"/>
          <w:bCs w:val="false"/>
          <w:i w:val="false"/>
          <w:iCs w:val="false"/>
          <w:sz w:val="23"/>
          <w:szCs w:val="23"/>
        </w:rPr>
        <w:t xml:space="preserve"> Scripture’s sabbath years are ordinary years, counted by sowing and harvest (Leviticus 25:3–4). Changing them to 360 days changes the unit Gabriel used.</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Where 69 weeks ends.</w:t>
      </w:r>
      <w:r>
        <w:rPr>
          <w:rFonts w:ascii="Garamond" w:cs="Garamond" w:eastAsia="Garamond" w:hAnsi="Garamond"/>
          <w:b w:val="false"/>
          <w:bCs w:val="false"/>
          <w:i w:val="false"/>
          <w:iCs w:val="false"/>
          <w:sz w:val="23"/>
          <w:szCs w:val="23"/>
        </w:rPr>
        <w:t xml:space="preserve"> Gabriel counted “unto the Messiah the Prince” (9:25). “Messiah” means Anointed One, and Jesus was anointed at His baptism (Acts 10:38): AD 27, exactly 483 years.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gap.</w:t>
      </w:r>
      <w:r>
        <w:rPr>
          <w:rFonts w:ascii="Garamond" w:cs="Garamond" w:eastAsia="Garamond" w:hAnsi="Garamond"/>
          <w:b w:val="false"/>
          <w:bCs w:val="false"/>
          <w:i w:val="false"/>
          <w:iCs w:val="false"/>
          <w:sz w:val="23"/>
          <w:szCs w:val="23"/>
        </w:rPr>
        <w:t xml:space="preserve"> The pre-trib count must stop the clock after 69 weeks, and nothing in the text says to. The CJC count needs no gap. It runs from a Jubilee (457 BC) to a Jubilee (AD 34), unbroken, with the cross in the middle of the final week.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can check it.</w:t>
      </w:r>
      <w:r>
        <w:rPr>
          <w:rFonts w:ascii="Garamond" w:cs="Garamond" w:eastAsia="Garamond" w:hAnsi="Garamond"/>
          <w:b w:val="false"/>
          <w:bCs w:val="false"/>
          <w:i w:val="false"/>
          <w:iCs w:val="false"/>
          <w:sz w:val="23"/>
          <w:szCs w:val="23"/>
        </w:rPr>
        <w:t xml:space="preserve"> The CJC uses whole years and simple subtraction, so anyone can verify every number.</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How a side note became the mainstream</w:t>
      </w:r>
    </w:p>
    <w:p>
      <w:pPr>
        <w:spacing w:after="200" w:line="300"/>
        <w:jc w:val="both"/>
      </w:pPr>
      <w:r>
        <w:rPr>
          <w:rFonts w:ascii="Garamond" w:cs="Garamond" w:eastAsia="Garamond" w:hAnsi="Garamond"/>
          <w:b w:val="false"/>
          <w:bCs w:val="false"/>
          <w:i w:val="false"/>
          <w:iCs w:val="false"/>
          <w:sz w:val="23"/>
          <w:szCs w:val="23"/>
        </w:rPr>
        <w:t xml:space="preserve">The idea that Antiochus fulfilled Daniel did not come from Scripture. It grew in steps, and each step added more weight than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w:t>
            </w:r>
          </w:p>
        </w:tc>
        <w:tc>
          <w:tcPr>
            <w:tcW w:type="dxa" w:w="3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Who</w:t>
            </w:r>
          </w:p>
        </w:tc>
        <w:tc>
          <w:tcPr>
            <w:tcW w:type="dxa" w:w="49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they did with Antiochus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100 BC</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1 Maccabees</w:t>
            </w:r>
            <w:r>
              <w:rPr>
                <w:rFonts w:ascii="Arial" w:cs="Arial" w:eastAsia="Arial" w:hAnsi="Arial"/>
                <w:b w:val="false"/>
                <w:bCs w:val="false"/>
                <w:i w:val="false"/>
                <w:iCs w:val="false"/>
                <w:color w:val="2B2318"/>
                <w:sz w:val="18"/>
                <w:szCs w:val="18"/>
              </w:rPr>
              <w:t xml:space="preserve">, a Jewish history book that is not part of the Bible</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Used Daniel’s phrase to describe Antiochus’s pagan altar (1 Maccabees 1:54). A side note in a history book, not a claim of fulfillment.</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AD 270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Porphyry</w:t>
            </w:r>
            <w:r>
              <w:rPr>
                <w:rFonts w:ascii="Arial" w:cs="Arial" w:eastAsia="Arial" w:hAnsi="Arial"/>
                <w:b w:val="false"/>
                <w:bCs w:val="false"/>
                <w:i w:val="false"/>
                <w:iCs w:val="false"/>
                <w:color w:val="2B2318"/>
                <w:sz w:val="18"/>
                <w:szCs w:val="18"/>
              </w:rPr>
              <w:t xml:space="preserve">, a Greek philosopher who wrote against Christianity</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Claimed the book of Daniel was written after Antiochus, as history dressed up to look like prophecy. Making Antiochus the fulfillment was his way of saying Daniel never predicted anything.</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407</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Jerome</w:t>
            </w:r>
            <w:r>
              <w:rPr>
                <w:rFonts w:ascii="Arial" w:cs="Arial" w:eastAsia="Arial" w:hAnsi="Arial"/>
                <w:b w:val="false"/>
                <w:bCs w:val="false"/>
                <w:i w:val="false"/>
                <w:iCs w:val="false"/>
                <w:color w:val="2B2318"/>
                <w:sz w:val="18"/>
                <w:szCs w:val="18"/>
              </w:rPr>
              <w:t xml:space="preserve">, a church scholar best known for translating the Bible into Latin</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Defended Daniel against Porphyry, but still kept Antiochus as a “type,” meaning an early preview, of a future Antichrist. His commentary became a standard reference for over a thousand years.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1560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The Geneva Bible’s</w:t>
            </w:r>
            <w:r>
              <w:rPr>
                <w:rFonts w:ascii="Arial" w:cs="Arial" w:eastAsia="Arial" w:hAnsi="Arial"/>
                <w:b w:val="false"/>
                <w:bCs w:val="false"/>
                <w:i w:val="false"/>
                <w:iCs w:val="false"/>
                <w:color w:val="2B2318"/>
                <w:sz w:val="18"/>
                <w:szCs w:val="18"/>
              </w:rPr>
              <w:t xml:space="preserve"> study notes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Printed Antiochus as the “little horn” of Daniel 8 in the margins of a popular English Bible.</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1800s to today</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Two modern roads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University scholars revived Porphyry’s view: Daniel was written about 165 BC, and Antiochus is the fulfillment. Dispensational teachers kept Jerome’s “type” and built on it a future Antichrist and a seven-year treaty. The Scofield Reference Bible (1909) carried that reading into millions of homes.</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how the idea traveled. It began as a side note, became a critic’s weapon against prophecy, survived as a defender’s compromise, and spread through study notes printed beside the text, until many readers could no longer tell the note from the Scripture. It grew by repetition, not by Scripture.</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(New American Standard Bible)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God’s Word in its two testimonies, the Old and New Testaments, standing side by side and agreeing, lit by the Holy Spirit and carried to the world by His people.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“coming” or “arrival”),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“that”).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“At that time thy people shall be delivered, every one that shall be found written in the book” (Daniel 12:1). They are gathered at the last trump and brought into the new earth (1 Thessalonians 4:17; Revelation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Where we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the region of Egypt where Israel lived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 xml:space="preserve">Scripture is honest about this, and so is this paper. Saints die for their faith in Revelation: the martyrs under the altar at the fifth seal (6:9–11). Near the end, a death decree is set against all who refuse the mark (13:15). It comes on day 1,290, during the bowls, as the plagues stir the wicked to fury rather than repentance: “they repented not to give him glory” (16:9), for the devil knows “he hath but a short time” (12:12).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Most of them give their lives, each in his own time, only after his testimony is finished: “when they shall have finished their testimony” (11:7). They are the souls under the altar, the first given white robes, “the firstfruits unto God and to the Lamb” (6:9–11; 14:4).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God’s Word in its two testimonies, the Old and New Testaments, standing side by side and agreeing, lit by the Holy Spirit and carried by His people: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lighting that testimony for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 xml:space="preserve">Throughout Scripture, God holds evil back until His set time. Four angels hold the winds of judgment with the command, “Hurt not the earth... till we have sealed the servants of our God in their foreheads” (Revelation 7:3).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 xml:space="preserve">On this point, pre-trib and this paper agree. The difference is what “out of the midst” means. The Spirit does not leave the earth. He steps aside from holding Satan back, on God’s schedule, while He goes on lighting the two witnesses’ testimony until day 1,260 (Revelation 11:3).</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literally “keep out of.”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not in the incorruptible body Paul describes (1 Corinthians 15:42–44). The word for heaven, </w:t>
      </w:r>
      <w:r>
        <w:rPr>
          <w:rFonts w:ascii="Garamond" w:cs="Garamond" w:eastAsia="Garamond" w:hAnsi="Garamond"/>
          <w:b w:val="false"/>
          <w:bCs w:val="false"/>
          <w:i/>
          <w:iCs/>
          <w:sz w:val="23"/>
          <w:szCs w:val="23"/>
        </w:rPr>
        <w:t xml:space="preserve">ouranos</w:t>
      </w:r>
      <w:r>
        <w:rPr>
          <w:rFonts w:ascii="Garamond" w:cs="Garamond" w:eastAsia="Garamond" w:hAnsi="Garamond"/>
          <w:b w:val="false"/>
          <w:bCs w:val="false"/>
          <w:i w:val="false"/>
          <w:iCs w:val="false"/>
          <w:sz w:val="23"/>
          <w:szCs w:val="23"/>
        </w:rPr>
        <w:t xml:space="preserve"> (G3772), is also Scripture’s word for the sky (Matthew 16:2–3), and Scripture does not say they enter God’s throne room. Their deaths are vindicated before the world. Scripture does not describe what follows their ascent; the best understanding is that, like all who “sleep in Jesus,” they rest until the gathering, which comes once, at the last trump (1 Thessalonians 4:14–17).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“No Warning”? Can the Rapture Happen at Any Moment?</w:t>
      </w:r>
    </w:p>
    <w:p>
      <w:pPr>
        <w:spacing w:after="200" w:line="300"/>
        <w:jc w:val="both"/>
      </w:pPr>
      <w:r>
        <w:rPr>
          <w:rFonts w:ascii="Garamond" w:cs="Garamond" w:eastAsia="Garamond" w:hAnsi="Garamond"/>
          <w:b/>
          <w:bCs/>
          <w:i w:val="false"/>
          <w:iCs w:val="false"/>
          <w:sz w:val="23"/>
          <w:szCs w:val="23"/>
        </w:rPr>
        <w:t xml:space="preserve">The short answer:</w:t>
      </w:r>
      <w:r>
        <w:rPr>
          <w:rFonts w:ascii="Garamond" w:cs="Garamond" w:eastAsia="Garamond" w:hAnsi="Garamond"/>
          <w:b w:val="false"/>
          <w:bCs w:val="false"/>
          <w:i w:val="false"/>
          <w:iCs w:val="false"/>
          <w:sz w:val="23"/>
          <w:szCs w:val="23"/>
        </w:rPr>
        <w:t xml:space="preserve"> No. Scripture says no one knows the day or the hour, but it also gives clear signs and a clear order of events. The gathering of believers comes at the end of that order, not before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teaches that the rapture is “imminent”: it could happen at any moment, with no warning and no sign that must come first. On this view, believers will be taken before any of the prophesied trouble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 step by step</w:t>
      </w:r>
    </w:p>
    <w:p>
      <w:pPr>
        <w:spacing w:after="200" w:line="300"/>
        <w:jc w:val="both"/>
      </w:pPr>
      <w:r>
        <w:rPr>
          <w:rFonts w:ascii="Garamond" w:cs="Garamond" w:eastAsia="Garamond" w:hAnsi="Garamond"/>
          <w:b/>
          <w:bCs/>
          <w:i w:val="false"/>
          <w:iCs w:val="false"/>
          <w:sz w:val="23"/>
          <w:szCs w:val="23"/>
        </w:rPr>
        <w:t xml:space="preserve">Step 1: Not knowing the day is not the same as having no signs.</w:t>
      </w:r>
    </w:p>
    <w:p>
      <w:pPr>
        <w:spacing w:after="200" w:line="300"/>
        <w:jc w:val="both"/>
      </w:pPr>
      <w:r>
        <w:rPr>
          <w:rFonts w:ascii="Garamond" w:cs="Garamond" w:eastAsia="Garamond" w:hAnsi="Garamond"/>
          <w:b w:val="false"/>
          <w:bCs w:val="false"/>
          <w:i w:val="false"/>
          <w:iCs w:val="false"/>
          <w:sz w:val="23"/>
          <w:szCs w:val="23"/>
        </w:rPr>
        <w:t xml:space="preserve">Jesus said, “of that day and hour knoweth no man” (Matthew 24:36). But in the same chapter He gave a picture anyone can follow: “Now learn a parable of the fig tree; When his branch is yet tender, and putteth forth leaves, ye know that summer is nigh: So likewise ye, when ye shall see all these things, know that it is near, even at the doors” (Matthew 24:32–33). Jesus did not point His listeners to a calendar date. He pointed them to the tree. When the fig branch turns tender and the leaves come out, you know the warm season of harvest is near, even before it arrives. In the same way, the signs tell the watcher that His coming is near, even though “that day and hour knoweth no man.” Paul told believers the same: “ye, brethren, are not in darkness, that that day should overtake you as a thief” (1 Thessalonians 5:4).</w:t>
      </w:r>
    </w:p>
    <w:p>
      <w:pPr>
        <w:spacing w:after="200" w:line="300"/>
        <w:jc w:val="both"/>
      </w:pPr>
      <w:r>
        <w:rPr>
          <w:rFonts w:ascii="Garamond" w:cs="Garamond" w:eastAsia="Garamond" w:hAnsi="Garamond"/>
          <w:b/>
          <w:bCs/>
          <w:i w:val="false"/>
          <w:iCs w:val="false"/>
          <w:sz w:val="23"/>
          <w:szCs w:val="23"/>
        </w:rPr>
        <w:t xml:space="preserve">Step 2: Paul answered this exact question.</w:t>
      </w:r>
    </w:p>
    <w:p>
      <w:pPr>
        <w:spacing w:after="200" w:line="300"/>
        <w:jc w:val="both"/>
      </w:pPr>
      <w:r>
        <w:rPr>
          <w:rFonts w:ascii="Garamond" w:cs="Garamond" w:eastAsia="Garamond" w:hAnsi="Garamond"/>
          <w:b w:val="false"/>
          <w:bCs w:val="false"/>
          <w:i w:val="false"/>
          <w:iCs w:val="false"/>
          <w:sz w:val="23"/>
          <w:szCs w:val="23"/>
        </w:rPr>
        <w:t xml:space="preserve">The believers in Thessalonica were worried they had missed Christ’s coming. Paul wrote to them about “the coming of our Lord Jesus Christ, and by our gathering together unto him” (2 Thessalonians 2:1), which is the very event pre-trib calls the rapture. His answer was plain: “Let no man deceive you by any means: for that day shall not come, except there come a falling away first, and that man of sin be revealed” (2:3). Two things must happen </w:t>
      </w:r>
      <w:r>
        <w:rPr>
          <w:rFonts w:ascii="Garamond" w:cs="Garamond" w:eastAsia="Garamond" w:hAnsi="Garamond"/>
          <w:b w:val="false"/>
          <w:bCs w:val="false"/>
          <w:i/>
          <w:iCs/>
          <w:sz w:val="23"/>
          <w:szCs w:val="23"/>
        </w:rPr>
        <w:t xml:space="preserve">first</w:t>
      </w:r>
      <w:r>
        <w:rPr>
          <w:rFonts w:ascii="Garamond" w:cs="Garamond" w:eastAsia="Garamond" w:hAnsi="Garamond"/>
          <w:b w:val="false"/>
          <w:bCs w:val="false"/>
          <w:i w:val="false"/>
          <w:iCs w:val="false"/>
          <w:sz w:val="23"/>
          <w:szCs w:val="23"/>
        </w:rPr>
        <w:t xml:space="preserve">. A gathering with things that must come first cannot be a gathering with no warning.</w:t>
      </w:r>
    </w:p>
    <w:p>
      <w:pPr>
        <w:spacing w:after="200" w:line="300"/>
        <w:jc w:val="both"/>
      </w:pPr>
      <w:r>
        <w:rPr>
          <w:rFonts w:ascii="Garamond" w:cs="Garamond" w:eastAsia="Garamond" w:hAnsi="Garamond"/>
          <w:b/>
          <w:bCs/>
          <w:i w:val="false"/>
          <w:iCs w:val="false"/>
          <w:sz w:val="23"/>
          <w:szCs w:val="23"/>
        </w:rPr>
        <w:t xml:space="preserve">Step 3: Scripture’s order of events.</w:t>
      </w:r>
    </w:p>
    <w:p>
      <w:pPr>
        <w:spacing w:after="200" w:line="300"/>
        <w:jc w:val="both"/>
      </w:pPr>
      <w:r>
        <w:rPr>
          <w:rFonts w:ascii="Garamond" w:cs="Garamond" w:eastAsia="Garamond" w:hAnsi="Garamond"/>
          <w:b w:val="false"/>
          <w:bCs w:val="false"/>
          <w:i w:val="false"/>
          <w:iCs w:val="false"/>
          <w:sz w:val="23"/>
          <w:szCs w:val="23"/>
        </w:rPr>
        <w:t xml:space="preserve">Put the passages side by side, and the order is 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260"/>
        <w:gridCol w:w="3200"/>
      </w:tblGrid>
      <w:tr>
        <w:trPr>
          <w:cantSplit/>
          <w:tblHeader/>
        </w:trPr>
        <w:tc>
          <w:tcPr>
            <w:tcW w:type="dxa" w:w="9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Order</w:t>
            </w:r>
          </w:p>
        </w:tc>
        <w:tc>
          <w:tcPr>
            <w:tcW w:type="dxa" w:w="52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happens</w:t>
            </w:r>
          </w:p>
        </w:tc>
        <w:tc>
          <w:tcPr>
            <w:tcW w:type="dxa" w:w="32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 falling away from the faith, and the man of sin revealed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 Thessalonians 2:3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 when the beast makes “war with the saints”</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24:21; Revelation 13:7</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3</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Signs in the sky “immediately after the tribulation”: the sun darkened, the moon not giving her light, the stars falling</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24:29; Revelation 6:12–13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Son of man appears; the trumpet sounds; His people are gathered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24:30–31; 1 Thessalonians 4:16–17</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Pre-trib places the rapture before step 1. Scripture places the gathering at step 4. </w:t>
      </w:r>
      <w:r>
        <w:rPr>
          <w:rFonts w:ascii="Garamond" w:cs="Garamond" w:eastAsia="Garamond" w:hAnsi="Garamond"/>
          <w:b w:val="false"/>
          <w:bCs w:val="false"/>
          <w:i/>
          <w:iCs/>
          <w:sz w:val="23"/>
          <w:szCs w:val="23"/>
        </w:rPr>
        <w:t xml:space="preserve">(For how Daniel’s 1,260, 1,290, and 1,335 days fit this order, see “The Shepherd’s Gathering.”)</w:t>
      </w:r>
    </w:p>
    <w:p>
      <w:pPr>
        <w:spacing w:after="200" w:line="300"/>
        <w:jc w:val="both"/>
      </w:pPr>
      <w:r>
        <w:rPr>
          <w:rFonts w:ascii="Garamond" w:cs="Garamond" w:eastAsia="Garamond" w:hAnsi="Garamond"/>
          <w:b/>
          <w:bCs/>
          <w:i w:val="false"/>
          <w:iCs w:val="false"/>
          <w:sz w:val="23"/>
          <w:szCs w:val="23"/>
        </w:rPr>
        <w:t xml:space="preserve">Step 4: What “escape all these things” means.</w:t>
      </w:r>
    </w:p>
    <w:p>
      <w:pPr>
        <w:spacing w:after="200" w:line="300"/>
        <w:jc w:val="both"/>
      </w:pPr>
      <w:r>
        <w:rPr>
          <w:rFonts w:ascii="Garamond" w:cs="Garamond" w:eastAsia="Garamond" w:hAnsi="Garamond"/>
          <w:b w:val="false"/>
          <w:bCs w:val="false"/>
          <w:i w:val="false"/>
          <w:iCs w:val="false"/>
          <w:sz w:val="23"/>
          <w:szCs w:val="23"/>
        </w:rPr>
        <w:t xml:space="preserve">Luke 21:36 is often quoted as a promise of escape before the trouble: “Watch ye therefore, and pray always, that ye may be accounted worthy to escape all these things that shall come to pass, and to stand before the Son of man.” Read with the verses around it, it says something different: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had just warned His disciples of hardship.</w:t>
      </w:r>
      <w:r>
        <w:rPr>
          <w:rFonts w:ascii="Garamond" w:cs="Garamond" w:eastAsia="Garamond" w:hAnsi="Garamond"/>
          <w:b w:val="false"/>
          <w:bCs w:val="false"/>
          <w:i w:val="false"/>
          <w:iCs w:val="false"/>
          <w:sz w:val="23"/>
          <w:szCs w:val="23"/>
        </w:rPr>
        <w:t xml:space="preserve"> They would be persecuted and imprisoned (21:12), and “some of you shall they cause to be put to death” (21:16). He was not promising them removal.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danger is a trap for the unprepared.</w:t>
      </w:r>
      <w:r>
        <w:rPr>
          <w:rFonts w:ascii="Garamond" w:cs="Garamond" w:eastAsia="Garamond" w:hAnsi="Garamond"/>
          <w:b w:val="false"/>
          <w:bCs w:val="false"/>
          <w:i w:val="false"/>
          <w:iCs w:val="false"/>
          <w:sz w:val="23"/>
          <w:szCs w:val="23"/>
        </w:rPr>
        <w:t xml:space="preserve"> Right before verse 36, He warned them to “take heed to yourselves, lest at any time your hearts be overcharged... and so that day come upon you unawares. For as a snare shall it come on all them that dwell on the face of the whole earth” (21:34–35).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escape is from judgment, not from the earth.</w:t>
      </w:r>
      <w:r>
        <w:rPr>
          <w:rFonts w:ascii="Garamond" w:cs="Garamond" w:eastAsia="Garamond" w:hAnsi="Garamond"/>
          <w:b w:val="false"/>
          <w:bCs w:val="false"/>
          <w:i w:val="false"/>
          <w:iCs w:val="false"/>
          <w:sz w:val="23"/>
          <w:szCs w:val="23"/>
        </w:rPr>
        <w:t xml:space="preserve"> Paul uses the same Greek word, </w:t>
      </w:r>
      <w:r>
        <w:rPr>
          <w:rFonts w:ascii="Garamond" w:cs="Garamond" w:eastAsia="Garamond" w:hAnsi="Garamond"/>
          <w:b w:val="false"/>
          <w:bCs w:val="false"/>
          <w:i/>
          <w:iCs/>
          <w:sz w:val="23"/>
          <w:szCs w:val="23"/>
        </w:rPr>
        <w:t xml:space="preserve">ekpheugō</w:t>
      </w:r>
      <w:r>
        <w:rPr>
          <w:rFonts w:ascii="Garamond" w:cs="Garamond" w:eastAsia="Garamond" w:hAnsi="Garamond"/>
          <w:b w:val="false"/>
          <w:bCs w:val="false"/>
          <w:i w:val="false"/>
          <w:iCs w:val="false"/>
          <w:sz w:val="23"/>
          <w:szCs w:val="23"/>
        </w:rPr>
        <w:t xml:space="preserve"> (G1628), for the unbelieving world: “sudden destruction cometh upon them... and they shall not escape” (1 Thessalonians 5:3). The watchful escape what the careless cannot.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goal is to stand before Christ when He comes.</w:t>
      </w:r>
      <w:r>
        <w:rPr>
          <w:rFonts w:ascii="Garamond" w:cs="Garamond" w:eastAsia="Garamond" w:hAnsi="Garamond"/>
          <w:b w:val="false"/>
          <w:bCs w:val="false"/>
          <w:i w:val="false"/>
          <w:iCs w:val="false"/>
          <w:sz w:val="23"/>
          <w:szCs w:val="23"/>
        </w:rPr>
        <w:t xml:space="preserve"> The unprepared cry out, “who shall be able to stand?” (Revelation 6:17). The faithful are able to stand.</w:t>
      </w:r>
    </w:p>
    <w:p>
      <w:pPr>
        <w:spacing w:after="200" w:line="300"/>
        <w:jc w:val="both"/>
      </w:pPr>
      <w:r>
        <w:rPr>
          <w:rFonts w:ascii="Garamond" w:cs="Garamond" w:eastAsia="Garamond" w:hAnsi="Garamond"/>
          <w:b/>
          <w:bCs/>
          <w:i w:val="false"/>
          <w:iCs w:val="false"/>
          <w:sz w:val="23"/>
          <w:szCs w:val="23"/>
        </w:rPr>
        <w:t xml:space="preserve">Step 5: Where the “any moment” idea came from.</w:t>
      </w:r>
    </w:p>
    <w:p>
      <w:pPr>
        <w:spacing w:after="200" w:line="300"/>
        <w:jc w:val="both"/>
      </w:pPr>
      <w:r>
        <w:rPr>
          <w:rFonts w:ascii="Garamond" w:cs="Garamond" w:eastAsia="Garamond" w:hAnsi="Garamond"/>
          <w:b w:val="false"/>
          <w:bCs w:val="false"/>
          <w:i w:val="false"/>
          <w:iCs w:val="false"/>
          <w:sz w:val="23"/>
          <w:szCs w:val="23"/>
        </w:rPr>
        <w:t xml:space="preserve">Christians have always watched for Christ’s return. But the early church expected the signs Paul named to come first. The idea of a signless, any-moment rapture before all prophesied events took its modern form in the 1830s as part of J. N. Darby’s pre-tribulation system. </w:t>
      </w:r>
      <w:r>
        <w:rPr>
          <w:rFonts w:ascii="Garamond" w:cs="Garamond" w:eastAsia="Garamond" w:hAnsi="Garamond"/>
          <w:b w:val="false"/>
          <w:bCs w:val="false"/>
          <w:i/>
          <w:iCs/>
          <w:sz w:val="23"/>
          <w:szCs w:val="23"/>
        </w:rPr>
        <w:t xml:space="preserve">(See also the table under “Two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world will be caught off guard because it is not watching. The church is told to watch because it has been told what to watch for. Scripture gives the signs, the order of events, and the command to stay awake: “Watch therefore” (Matthew 24:42). It does not give a coming with no warning at all.</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Word, lit by the Spirit, is the same testimony the two witnesses carry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qjgxjrimrdxnd6cvbve-i">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iu-d7mfm_0m0k9kfywk5_">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so85xgumq0dtuymyutqsw">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beu7-weemd_roshq2ka0y">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iwyr9-u4kixirnzqdrn4n">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s3io72xyp0_ue6izq7vjc">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whaevpdiqufrwpe6xxwvn">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Sir Robert Anderson,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and Harold W. Hoehner, </w:t>
      </w:r>
      <w:r>
        <w:rPr>
          <w:rFonts w:ascii="Garamond" w:cs="Garamond" w:eastAsia="Garamond" w:hAnsi="Garamond"/>
          <w:b w:val="false"/>
          <w:bCs w:val="false"/>
          <w:i/>
          <w:iCs/>
          <w:sz w:val="23"/>
          <w:szCs w:val="23"/>
        </w:rPr>
        <w:t xml:space="preserve">Chronological Aspects of the Life of Christ</w:t>
      </w:r>
      <w:r>
        <w:rPr>
          <w:rFonts w:ascii="Garamond" w:cs="Garamond" w:eastAsia="Garamond" w:hAnsi="Garamond"/>
          <w:b w:val="false"/>
          <w:bCs w:val="false"/>
          <w:i w:val="false"/>
          <w:iCs w:val="false"/>
          <w:sz w:val="23"/>
          <w:szCs w:val="23"/>
        </w:rPr>
        <w:t xml:space="preserve"> (1977), on the 360-day-year count.</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Porphyry, </w:t>
      </w:r>
      <w:r>
        <w:rPr>
          <w:rFonts w:ascii="Garamond" w:cs="Garamond" w:eastAsia="Garamond" w:hAnsi="Garamond"/>
          <w:b w:val="false"/>
          <w:bCs w:val="false"/>
          <w:i/>
          <w:iCs/>
          <w:sz w:val="23"/>
          <w:szCs w:val="23"/>
        </w:rPr>
        <w:t xml:space="preserve">Against the Christians</w:t>
      </w:r>
      <w:r>
        <w:rPr>
          <w:rFonts w:ascii="Garamond" w:cs="Garamond" w:eastAsia="Garamond" w:hAnsi="Garamond"/>
          <w:b w:val="false"/>
          <w:bCs w:val="false"/>
          <w:i w:val="false"/>
          <w:iCs w:val="false"/>
          <w:sz w:val="23"/>
          <w:szCs w:val="23"/>
        </w:rPr>
        <w:t xml:space="preserve"> (book 12, on Daniel), known through Jerome’s quotations.</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Geneva Bible (1560), study note on Daniel 8:9; the Scofield Reference Bible (1909), note on Daniel 8:9.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jgxjrimrdxnd6cvbve-i" Type="http://schemas.openxmlformats.org/officeDocument/2006/relationships/hyperlink" Target="https://scripturescjc.com/isaiah61-cjc-math.html" TargetMode="External"/><Relationship Id="rIdiu-d7mfm_0m0k9kfywk5_" Type="http://schemas.openxmlformats.org/officeDocument/2006/relationships/hyperlink" Target="https://scripturescjc.com/art-thou-he.html" TargetMode="External"/><Relationship Id="rIdso85xgumq0dtuymyutqsw" Type="http://schemas.openxmlformats.org/officeDocument/2006/relationships/hyperlink" Target="https://scripturescjc.com/one-commandment.html" TargetMode="External"/><Relationship Id="rIdbeu7-weemd_roshq2ka0y" Type="http://schemas.openxmlformats.org/officeDocument/2006/relationships/hyperlink" Target="https://scripturescjc.com/five-exoduses.html" TargetMode="External"/><Relationship Id="rIdiwyr9-u4kixirnzqdrn4n" Type="http://schemas.openxmlformats.org/officeDocument/2006/relationships/hyperlink" Target="https://scripturescjc.com/the-shepherds-gathering.html" TargetMode="External"/><Relationship Id="rIds3io72xyp0_ue6izq7vjc" Type="http://schemas.openxmlformats.org/officeDocument/2006/relationships/hyperlink" Target="https://scripturescjc.com/jubilee-calendar-story-of-the-end.html" TargetMode="External"/><Relationship Id="rIdwhaevpdiqufrwpe6xxwvn" Type="http://schemas.openxmlformats.org/officeDocument/2006/relationships/hyperlink" Target="https://scripturescjc.com/four-horsemen.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2026-10-05T10:57:57.718Z</dcterms:created>
  <dcterms:modified xsi:type="dcterms:W3CDTF">2026-10-05T10:57:57.729Z</dcterms:modified>
</cp:coreProperties>
</file>

<file path=docProps/custom.xml><?xml version="1.0" encoding="utf-8"?>
<Properties xmlns="http://schemas.openxmlformats.org/officeDocument/2006/custom-properties" xmlns:vt="http://schemas.openxmlformats.org/officeDocument/2006/docPropsVTypes"/>
</file>