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Scripture itself shows the count kept running even when Israel stopped keeping it. Leviticus 26 warned that if the sabbath years were broken, the people would be scattered, and “then shall the land enjoy her sabbaths” (26:34). When that happened, the exile lasted seventy years, “until the land had enjoyed her sabbaths” (2 Chronicles 36:21). Those missed rests could only be counted up and repaid if the sabbath-year count continued through the years no one observed it. Daniel, reading about those seventy years, confessed “the oath that is written in the law of Moses” (Daniel 9:11), and Gabriel answered in the same measure: seventy weeks of years, 490 years, exactly ten 49-year Jubilee cycles. On this calendar, those 490 years run from the 457 BC decree (Cycle 21, Year 1) to AD 34 (Cycle 31, Year 1), a Jubilee year to a Jubilee year.</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Post-Sennacherib deliverance and land-rest reform (2 Kings 19:29-31); Sennacherib's 701 BC campaign falls inside this Jubilee's rest year; see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in the spring and summer of 701 BC, still inside the Jubilee’s rest year, which began when the Jubilee was proclaimed on the Day of Atonement in the autumn of 702 BC (Leviticus 25:9).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A second factor can also shift year labels between the two records: calendar misalignment.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The summary: Sennacherib’s own annals date his campaign to 701 BC, and that campaign falls inside the rest year of the 702 BC Jubilee, which ran from autumn 702 to autumn 701 BC. Scripture adds that it ended without an assault on Jerusalem: the angel of the LORD struck the Assyrian camp and Sennacherib returned home (2 Kings 19:32-36), and his own annals claim tribute from Hezekiah but never the capture of Jerusalem. The Isaiah 37:30 reading remains a defended interpretation, not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