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the Holy Spirit and the Word of God, acting together through God’s sealed servants: the trees supply the Spirit’s oil, and the lampstands hold up the light of the Word.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Scripture is honest about this, and so is this paper. Saints die for their faith in Revelation: the martyrs under the altar at the fifth seal (6:9–11). Like Paul, they can say, “I have fought a good fight, I have finished my course, I have kept the faith” (2 Timothy 4:7).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They give their lives when their testimony is finished: “when they shall have finished their testimony” (11:7). Then they are raised and taken up as “the firstfruits unto God and to the Lamb” (11:11–12; 14:4), while the souls under the altar, the faithful martyrs of every age, wait for them and for the saints still alive, who are caught up together with them at the last trump (6:9–11; 1 Thessalonians 4:17).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the Holy Spirit and the Word of God, carried to the world by His sealed servants: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one of the two witnesses, giving the Word to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and their deaths are vindicated before the world. Their going up follows the firstfruits offering, the first sheaf presented to God before the harvest (Leviticus 23:10–11): they are “the firstfruits unto God and to the Lamb” (14:4), taken up before the one harvest at the last trump (14:14–16; 1 Corinthians 15:52). Scripture does not say whether they receive the incorruptible body then or with all the saints; the pattern allows that they receive it just before the rest. It is not a separate rapture of the church: the gathering of God’s people still comes once, at the last trump (1 Thessalonians 4:14–17).</w:t>
      </w:r>
      <w:r>
        <w:rPr>
          <w:rFonts w:ascii="Garamond" w:cs="Garamond" w:eastAsia="Garamond" w:hAnsi="Garamond"/>
          <w:b w:val="false"/>
          <w:bCs w:val="false"/>
          <w:i/>
          <w:iCs/>
          <w:sz w:val="23"/>
          <w:szCs w:val="23"/>
        </w:rPr>
      </w:r>
      <w:r>
        <w:rPr>
          <w:rFonts w:ascii="Garamond" w:cs="Garamond" w:eastAsia="Garamond" w:hAnsi="Garamond"/>
          <w:b w:val="false"/>
          <w:bCs w:val="false"/>
          <w:i w:val="false"/>
          <w:iCs w:val="false"/>
          <w:sz w:val="23"/>
          <w:szCs w:val="23"/>
        </w:rPr>
        <w:t xml:space="preserve">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Spirit and the Word are the two witnesses themselves, speaking through God’s servants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