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 xml:space="preserve">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and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450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 xml:space="preserve">A few more examples, all using this identical rule: Joseph holds his brothers “in custody for three days,” then releases them “on the third day” (Genesis 42:17-18). An Egyptian servant describes going without food for “three days and three nights,” which the very next verse also calls “three days ago” (1 Samuel 30:12-13). Rehoboam tells the people “come back to me in three days,” and they return “on the third day” (2 Chronicles 10:5, 12).</w:t>
      </w:r>
    </w:p>
    <w:p>
      <w:pPr>
        <w:pStyle w:val="BodyText"/>
      </w:pPr>
      <w:r>
        <w:t xml:space="preserve">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“17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Tiberius’s Fifteenth Year</w:t>
      </w:r>
    </w:p>
    <w:p>
      <w:pPr>
        <w:pStyle w:val="FirstParagraph"/>
      </w:pPr>
      <w:r>
        <w:t>Luke 3:1 dates the start of John the Baptist’s ministry to “the fifteenth year” of the Roman emperor Tiberius. The CJC counts those years from when Tiberius began ruling alongside Augustus, not from Augustus’s death.</w:t>
      </w:r>
    </w:p>
    <w:p>
      <w:pPr>
        <w:pStyle w:val="FirstParagraph"/>
      </w:pPr>
      <w:r>
        <w:t>In AD 13, a Roman law gave Tiberius power equal to Augustus’s over the provinces and armies. Roman coins from that year show the two men together, Augustus on one side and Tiberius on the other (catalogued as RIC 225-226). Those coins were not minted by chance: Rome issued them the same year the law raised Tiberius to Augustus’s side.</w:t>
      </w:r>
    </w:p>
    <w:p>
      <w:pPr>
        <w:pStyle w:val="FirstParagraph"/>
      </w:pPr>
      <w:r>
        <w:t>Read this way, Luke’s count begins the same year as the law and the coins. With AD 13/14 as Tiberius’s Year 1, Year 15 is AD 27/28 (often written simply as AD 27). That is the same year Gabriel’s 483 years from the 457 BC decree point to, and the same year John 2:20’s “forty-six years” points to (see 4C). John’s ministry begins then, with Jesus baptized shortly after. From there, John’s Gospel names three Passovers (John 2:13; 6:4; 11:55), in AD 28, 29, and 30, and the third is the crucifixion.</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 xml:space="preserve">Post-Sennacherib deliverance and land-rest reform (2 Kings 19:29-31); see the honest 701 BC caveat and calendar-misalignment discussion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 xml:space="preserve">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then… sow and reap”) — a fit worth noting, not a proof of it. Sennacherib’s campaign and the miraculous deliverance (2 Kings 19:35, Isaiah 37:36) fall within 701 BC, the year immediately after the Jubilee.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 xml:space="preserve">A second, independent possible contributor to the one-year gap is calendar misalignment rather than interpretation.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 xml:space="preserve">The honest summary: Sennacherib’s own annals confirm his campaign’s historicity but date it to 701 BC, not 702 BC. Two independent, evidenced explanations exist for the one-year gap — a textual reading of Isaiah 37:30, and a calendar-alignment mechanism — and either or both may contribute. Present 702 BC as a defended reading with real supporting mechanisms, not as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“during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xml:space="preserve">: the crucifixion. John calls this “the day of Preparation of the Passover” (John 19:14) — “day of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xml:space="preserve">: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John notes they “had not yet eaten the Passover” even after the crucifixion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