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 xml:space="preserve">One item above requires an honest caveat: Hezekiah's 702 BC deliverance is not a clean external match. Sennacherib's own annals date his actual campaign to 701 BC, one year later. A conditional reconciliation exists (Leviticus 25's own math makes the year before every Jubilee an ordinary sabbatical as well, producing two rest years matching Isaiah 37:30's agricultural sign) — but this is a defended interpretation, not an uncontested fact, and is presented that way throughout the CJC's own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Luke's fifteenth year of Tiberius, counted from AD 13/14 (the year a Roman law raised Tiberius to Augustus's side and Roman coins, RIC 225-226, show the two together), is AD 27/28. Gabriel's 483 years from the 457 BC decree (Daniel 9:25) and John 2:20's "forty-six years" reach the same year. This places Jesus's baptism in AD 27/28, a date that doesn't depend on the crucifixion-year debate.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 xml:space="preserve">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 xml:space="preserve">Exodus 12:2 establishes Nisan as the first month, timed to the first new moon on or after the spring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