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 xml:space="preserve">Walking Through Tiberius’s Fifteenth Year, Year by Year</w:t>
      </w:r>
    </w:p>
    <w:p>
      <w:pPr>
        <w:pStyle w:val="FirstParagraph"/>
      </w:pPr>
      <w:r>
        <w:t xml:space="preserve">Tiberius’s fifteenth year is counted from his coregency with Augustus, not from Augustus’s death. In AD 13, a law passed making Tiberius’s authority over the provinces and armies co-equal with Augustus’s — confirmed by Roman coinage from AD 13/14 (RIC 225-226), the first to pair Augustus’s and Tiberius’s portraits together and the first to record Tiberius’s own tribunician-power year. Counting from that year:</w:t>
      </w:r>
    </w:p>
    <w:p>
      <w:pPr>
        <w:numPr>
          <w:ilvl w:val="0"/>
          <w:numId w:val="1002"/>
        </w:numPr>
        <w:pStyle w:val="Compact"/>
      </w:pPr>
      <w:r>
        <w:rPr>
          <w:bCs/>
          <w:b/>
        </w:rPr>
        <w:t xml:space="preserve">Year 1</w:t>
      </w:r>
      <w:r>
        <w:t xml:space="preserve">: AD 13/14</w:t>
      </w:r>
    </w:p>
    <w:p>
      <w:pPr>
        <w:numPr>
          <w:ilvl w:val="0"/>
          <w:numId w:val="1002"/>
        </w:numPr>
        <w:pStyle w:val="Compact"/>
      </w:pPr>
      <w:r>
        <w:rPr>
          <w:bCs/>
          <w:b/>
        </w:rPr>
        <w:t xml:space="preserve">Year 2</w:t>
      </w:r>
      <w:r>
        <w:t xml:space="preserve">: AD 14/15</w:t>
      </w:r>
    </w:p>
    <w:p>
      <w:pPr>
        <w:numPr>
          <w:ilvl w:val="0"/>
          <w:numId w:val="1002"/>
        </w:numPr>
        <w:pStyle w:val="Compact"/>
      </w:pPr>
      <w:r>
        <w:rPr>
          <w:bCs/>
          <w:b/>
        </w:rPr>
        <w:t xml:space="preserve">Year 3</w:t>
      </w:r>
      <w:r>
        <w:t xml:space="preserve">: AD 15/16</w:t>
      </w:r>
    </w:p>
    <w:p>
      <w:pPr>
        <w:numPr>
          <w:ilvl w:val="0"/>
          <w:numId w:val="1002"/>
        </w:numPr>
        <w:pStyle w:val="Compact"/>
      </w:pPr>
      <w:r>
        <w:rPr>
          <w:bCs/>
          <w:b/>
        </w:rPr>
        <w:t xml:space="preserve">Year 4</w:t>
      </w:r>
      <w:r>
        <w:t xml:space="preserve">: AD 16/17</w:t>
      </w:r>
    </w:p>
    <w:p>
      <w:pPr>
        <w:numPr>
          <w:ilvl w:val="0"/>
          <w:numId w:val="1002"/>
        </w:numPr>
        <w:pStyle w:val="Compact"/>
      </w:pPr>
      <w:r>
        <w:rPr>
          <w:bCs/>
          <w:b/>
        </w:rPr>
        <w:t xml:space="preserve">Year 5</w:t>
      </w:r>
      <w:r>
        <w:t xml:space="preserve">: AD 17/18</w:t>
      </w:r>
    </w:p>
    <w:p>
      <w:pPr>
        <w:numPr>
          <w:ilvl w:val="0"/>
          <w:numId w:val="1002"/>
        </w:numPr>
        <w:pStyle w:val="Compact"/>
      </w:pPr>
      <w:r>
        <w:rPr>
          <w:bCs/>
          <w:b/>
        </w:rPr>
        <w:t xml:space="preserve">Year 6</w:t>
      </w:r>
      <w:r>
        <w:t xml:space="preserve">: AD 18/19</w:t>
      </w:r>
    </w:p>
    <w:p>
      <w:pPr>
        <w:numPr>
          <w:ilvl w:val="0"/>
          <w:numId w:val="1002"/>
        </w:numPr>
        <w:pStyle w:val="Compact"/>
      </w:pPr>
      <w:r>
        <w:rPr>
          <w:bCs/>
          <w:b/>
        </w:rPr>
        <w:t xml:space="preserve">Year 7</w:t>
      </w:r>
      <w:r>
        <w:t xml:space="preserve">: AD 19/20</w:t>
      </w:r>
    </w:p>
    <w:p>
      <w:pPr>
        <w:numPr>
          <w:ilvl w:val="0"/>
          <w:numId w:val="1002"/>
        </w:numPr>
        <w:pStyle w:val="Compact"/>
      </w:pPr>
      <w:r>
        <w:rPr>
          <w:bCs/>
          <w:b/>
        </w:rPr>
        <w:t xml:space="preserve">Year 8</w:t>
      </w:r>
      <w:r>
        <w:t xml:space="preserve">: AD 20/21</w:t>
      </w:r>
    </w:p>
    <w:p>
      <w:pPr>
        <w:numPr>
          <w:ilvl w:val="0"/>
          <w:numId w:val="1002"/>
        </w:numPr>
        <w:pStyle w:val="Compact"/>
      </w:pPr>
      <w:r>
        <w:rPr>
          <w:bCs/>
          <w:b/>
        </w:rPr>
        <w:t xml:space="preserve">Year 9</w:t>
      </w:r>
      <w:r>
        <w:t xml:space="preserve">: AD 21/22</w:t>
      </w:r>
    </w:p>
    <w:p>
      <w:pPr>
        <w:numPr>
          <w:ilvl w:val="0"/>
          <w:numId w:val="1002"/>
        </w:numPr>
        <w:pStyle w:val="Compact"/>
      </w:pPr>
      <w:r>
        <w:rPr>
          <w:bCs/>
          <w:b/>
        </w:rPr>
        <w:t xml:space="preserve">Year 10</w:t>
      </w:r>
      <w:r>
        <w:t xml:space="preserve">: AD 22/23</w:t>
      </w:r>
    </w:p>
    <w:p>
      <w:pPr>
        <w:numPr>
          <w:ilvl w:val="0"/>
          <w:numId w:val="1002"/>
        </w:numPr>
        <w:pStyle w:val="Compact"/>
      </w:pPr>
      <w:r>
        <w:rPr>
          <w:bCs/>
          <w:b/>
        </w:rPr>
        <w:t xml:space="preserve">Year 11</w:t>
      </w:r>
      <w:r>
        <w:t xml:space="preserve">: AD 23/24</w:t>
      </w:r>
    </w:p>
    <w:p>
      <w:pPr>
        <w:numPr>
          <w:ilvl w:val="0"/>
          <w:numId w:val="1002"/>
        </w:numPr>
        <w:pStyle w:val="Compact"/>
      </w:pPr>
      <w:r>
        <w:rPr>
          <w:bCs/>
          <w:b/>
        </w:rPr>
        <w:t xml:space="preserve">Year 12</w:t>
      </w:r>
      <w:r>
        <w:t xml:space="preserve">: AD 24/25</w:t>
      </w:r>
    </w:p>
    <w:p>
      <w:pPr>
        <w:numPr>
          <w:ilvl w:val="0"/>
          <w:numId w:val="1002"/>
        </w:numPr>
        <w:pStyle w:val="Compact"/>
      </w:pPr>
      <w:r>
        <w:rPr>
          <w:bCs/>
          <w:b/>
        </w:rPr>
        <w:t xml:space="preserve">Year 13</w:t>
      </w:r>
      <w:r>
        <w:t xml:space="preserve">: AD 25/26</w:t>
      </w:r>
    </w:p>
    <w:p>
      <w:pPr>
        <w:numPr>
          <w:ilvl w:val="0"/>
          <w:numId w:val="1002"/>
        </w:numPr>
        <w:pStyle w:val="Compact"/>
      </w:pPr>
      <w:r>
        <w:rPr>
          <w:bCs/>
          <w:b/>
        </w:rPr>
        <w:t xml:space="preserve">Year 14</w:t>
      </w:r>
      <w:r>
        <w:t xml:space="preserve">: AD 26/27</w:t>
      </w:r>
    </w:p>
    <w:p>
      <w:pPr>
        <w:numPr>
          <w:ilvl w:val="0"/>
          <w:numId w:val="1002"/>
        </w:numPr>
        <w:pStyle w:val="Compact"/>
      </w:pPr>
      <w:r>
        <w:rPr>
          <w:bCs/>
          <w:b/>
        </w:rPr>
        <w:t xml:space="preserve">Year 15</w:t>
      </w:r>
      <w:r>
        <w:t xml:space="preserve">: AD 27/28 — this is where Luke 3:1 places the start of John the Baptist’s ministry, which lines up with Jesus’s own baptism shortly after</w:t>
      </w:r>
    </w:p>
    <w:p>
      <w:pPr>
        <w:pStyle w:val="FirstParagraph"/>
      </w:pPr>
      <w:r>
        <w:t xml:space="preserve">Some scholars instead count Tiberius’s Year 1 from Augustus’s death (August AD 14), landing his fifteenth year in the same AD 27/28 range by ordinary accession-year convention. Either path reaches the same year; this chapter uses the coregency and coinage as the primary basis, since it rests on a specific, dated law and physical numismatic evidence rather than a general counting convention alone.</w:t>
      </w:r>
    </w:p>
    <w:p>
      <w:pPr>
        <w:pStyle w:val="FirstParagraph"/>
      </w:pPr>
      <w:r>
        <w:t xml:space="preserve">Because Year 15 straddles the turn from AD 27 into AD 28, both “27 AD” and “27/28 AD” are correct ways to describe it — there’s no real ambiguity here, just the normal effect of a reign that began mid-year.</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