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Part A — Complete Project Log</w:t>
      </w:r>
    </w:p>
    <w:p>
      <w:pPr>
        <w:jc w:val="center"/>
      </w:pPr>
      <w:r>
        <w:rPr>
          <w:b/>
          <w:sz w:val="26"/>
        </w:rPr>
        <w:t>Financial News Sentiment vs NIFTY50 Analysis</w:t>
      </w:r>
    </w:p>
    <w:p>
      <w:pPr>
        <w:jc w:val="center"/>
      </w:pPr>
      <w:r>
        <w:rPr>
          <w:i/>
        </w:rPr>
        <w:t>Reference notebook: 01_analysis.ipynb</w:t>
        <w:br/>
      </w:r>
      <w:r>
        <w:t>Environment: Python 3.13.9 | pandas 3.0.5 | NumPy 2.5.2 | Matplotlib 3.11.1</w:t>
      </w:r>
    </w:p>
    <w:p>
      <w:pPr>
        <w:pStyle w:val="Heading1"/>
      </w:pPr>
      <w:r>
        <w:t>1. Objective of Part A</w:t>
      </w:r>
    </w:p>
    <w:p>
      <w:r>
        <w:t>Part A implements the reference project's rule-based financial-news sentiment workflow: clean the financial-news and NIFTY50 datasets, align them by date, create a same-day market-direction target, calculate a hand-built sentiment score, visualize the relationship between sentiment and market movement, and evaluate a simple sentiment-based UP/DOWN rule.</w:t>
      </w:r>
    </w:p>
    <w:p>
      <w:pPr>
        <w:pStyle w:val="Heading1"/>
      </w:pPr>
      <w:r>
        <w:t>2. Project Setup</w:t>
      </w:r>
    </w:p>
    <w:p>
      <w:r>
        <w:t>The repository was cloned, a project-specific virtual environment was created, dependencies were installed, and the project was opened in VS Code.</w:t>
      </w:r>
    </w:p>
    <w:p>
      <w:pPr>
        <w:pStyle w:val="IntenseQuote"/>
      </w:pPr>
      <w:r>
        <w:t>git clone https://github.com/eklavyakiit/Financial-News-Sentiment-vs-NIFTY50-Analysis.git</w:t>
      </w:r>
    </w:p>
    <w:p>
      <w:pPr>
        <w:pStyle w:val="IntenseQuote"/>
      </w:pPr>
      <w:r>
        <w:t>cd Financial-News-Sentiment-vs-NIFTY50-Analysis</w:t>
      </w:r>
    </w:p>
    <w:p>
      <w:pPr>
        <w:pStyle w:val="IntenseQuote"/>
      </w:pPr>
      <w:r>
        <w:t>python -m venv .venv</w:t>
      </w:r>
    </w:p>
    <w:p>
      <w:pPr>
        <w:pStyle w:val="IntenseQuote"/>
      </w:pPr>
      <w:r>
        <w:t>.venv\Scripts\activate</w:t>
      </w:r>
    </w:p>
    <w:p>
      <w:pPr>
        <w:pStyle w:val="IntenseQuote"/>
      </w:pPr>
      <w:r>
        <w:t>pip install -r requirements.txt</w:t>
      </w:r>
    </w:p>
    <w:p>
      <w:pPr>
        <w:pStyle w:val="IntenseQuote"/>
      </w:pPr>
      <w:r>
        <w:t>code .</w:t>
      </w:r>
    </w:p>
    <w:p>
      <w:r>
        <w:t>The requirements file contained a Python-version line that pip treated as an invalid package requirement, so that line was removed. pandas and matplotlib and their dependencies then installed successfully. ipykernel and jupyter were also installed so the .ipynb notebook could run in VS Code.</w:t>
      </w:r>
    </w:p>
    <w:p>
      <w:pPr>
        <w:pStyle w:val="Heading1"/>
      </w:pPr>
      <w:r>
        <w:t>3. Notebook Configuration</w:t>
      </w:r>
    </w:p>
    <w:p>
      <w:r>
        <w:t>The .venv interpreter was selected as the VS Code notebook kernel. The notebook working directory was confirmed as the project's notebooks folder. Therefore CSV input paths were changed to ../data/ when necessary.</w:t>
      </w:r>
    </w:p>
    <w:p>
      <w:pPr>
        <w:pStyle w:val="Heading1"/>
      </w:pPr>
      <w:r>
        <w:t>4. News Dataset Inspection and Cleaning</w:t>
      </w:r>
    </w:p>
    <w:p>
      <w:r>
        <w:t>Raw file: data/news.csv. Initial inspection found 3,349 data rows and 189 columns. The relevant columns were Title and Date; the other fields included Description, Author, Content, Keywords, and many empty Unnamed columns.</w:t>
      </w:r>
    </w:p>
    <w:p>
      <w:pPr>
        <w:pStyle w:val="ListBullet"/>
      </w:pPr>
      <w:r>
        <w:t>Title</w:t>
      </w:r>
    </w:p>
    <w:p>
      <w:pPr>
        <w:pStyle w:val="ListBullet"/>
      </w:pPr>
      <w:r>
        <w:t>Date</w:t>
      </w:r>
    </w:p>
    <w:p>
      <w:pPr>
        <w:pStyle w:val="ListBullet"/>
      </w:pPr>
      <w:r>
        <w:t>Description</w:t>
      </w:r>
    </w:p>
    <w:p>
      <w:pPr>
        <w:pStyle w:val="ListBullet"/>
      </w:pPr>
      <w:r>
        <w:t>Author</w:t>
      </w:r>
    </w:p>
    <w:p>
      <w:pPr>
        <w:pStyle w:val="ListBullet"/>
      </w:pPr>
      <w:r>
        <w:t>Content</w:t>
      </w:r>
    </w:p>
    <w:p>
      <w:pPr>
        <w:pStyle w:val="ListBullet"/>
      </w:pPr>
      <w:r>
        <w:t>Keywords</w:t>
      </w:r>
    </w:p>
    <w:p>
      <w:pPr>
        <w:pStyle w:val="ListBullet"/>
      </w:pPr>
      <w:r>
        <w:t>Unnamed: 6 through Unnamed: 188</w:t>
      </w:r>
    </w:p>
    <w:p>
      <w:r>
        <w:t>The irrelevant columns were removed, leaving Title and Date. There were 0 missing Title values and 0 missing Date values. dropna() therefore removed no rows. drop_duplicates() removed exactly one duplicate, reducing 3,349 rows to 3,348. Title whitespace was stripped.</w:t>
      </w:r>
    </w:p>
    <w:p>
      <w:pPr>
        <w:pStyle w:val="Heading1"/>
      </w:pPr>
      <w:r>
        <w:t>5. Grouping News by Date</w:t>
      </w:r>
    </w:p>
    <w:p>
      <w:r>
        <w:t>The 3,348 cleaned headlines were grouped by Date, with all headlines for a date stored as a list. This initially produced 174 grouped dates.</w:t>
      </w:r>
    </w:p>
    <w:p>
      <w:r>
        <w:t>Inspection of the first grouped row revealed malformed data: its Date value was text beginning with 'just some time back that you resisted going to...' rather than a date. This confirmed the purpose of the reference notebook's grouped_news.iloc[1:] step. The malformed first group was removed once, leaving 173 valid grouped dates.</w:t>
      </w:r>
    </w:p>
    <w:p>
      <w:r>
        <w:t>The grouped Date column was converted from DD-MM-YYYY strings to pandas datetime using the explicit %d-%m-%Y format. In the current pandas environment the dtype displayed as datetime64[us]. A grouped_news.csv checkpoint was saved in data/.</w:t>
      </w:r>
    </w:p>
    <w:p>
      <w:pPr>
        <w:pStyle w:val="Heading1"/>
      </w:pPr>
      <w:r>
        <w:t>6. NIFTY50 Dataset Inspection and Cleaning</w:t>
      </w:r>
    </w:p>
    <w:p>
      <w:r>
        <w:t>Raw file: data/nifty50.csv. The dataset contained 142 rows and 7 columns with no missing values. Raw headers contained whitespace and encoding artifacts such as a BOM and a garbled rupee symbol.</w:t>
      </w:r>
    </w:p>
    <w:p>
      <w:pPr>
        <w:pStyle w:val="ListBullet"/>
      </w:pPr>
      <w:r>
        <w:t>date</w:t>
      </w:r>
    </w:p>
    <w:p>
      <w:pPr>
        <w:pStyle w:val="ListBullet"/>
      </w:pPr>
      <w:r>
        <w:t>open</w:t>
      </w:r>
    </w:p>
    <w:p>
      <w:pPr>
        <w:pStyle w:val="ListBullet"/>
      </w:pPr>
      <w:r>
        <w:t>high</w:t>
      </w:r>
    </w:p>
    <w:p>
      <w:pPr>
        <w:pStyle w:val="ListBullet"/>
      </w:pPr>
      <w:r>
        <w:t>low</w:t>
      </w:r>
    </w:p>
    <w:p>
      <w:pPr>
        <w:pStyle w:val="ListBullet"/>
      </w:pPr>
      <w:r>
        <w:t>close</w:t>
      </w:r>
    </w:p>
    <w:p>
      <w:pPr>
        <w:pStyle w:val="ListBullet"/>
      </w:pPr>
      <w:r>
        <w:t>shares_traded</w:t>
      </w:r>
    </w:p>
    <w:p>
      <w:pPr>
        <w:pStyle w:val="ListBullet"/>
      </w:pPr>
      <w:r>
        <w:t>turnover_cr</w:t>
      </w:r>
    </w:p>
    <w:p>
      <w:r>
        <w:t>shares_traded was converted from int64 to float64 following the reference notebook. The date values, such as 29-AUG-2025, were converted to pandas datetime using dayfirst=True and errors='coerce'. No invalid dates were produced.</w:t>
      </w:r>
    </w:p>
    <w:p>
      <w:pPr>
        <w:pStyle w:val="Heading1"/>
      </w:pPr>
      <w:r>
        <w:t>7. Merging News and NIFTY50</w:t>
      </w:r>
    </w:p>
    <w:p>
      <w:r>
        <w:t>The grouped news and NIFTY50 data were merged with an inner join on their standardized datetime columns.</w:t>
      </w:r>
    </w:p>
    <w:tbl>
      <w:tblPr>
        <w:tblStyle w:val="TableGrid"/>
        <w:tblW w:type="auto" w:w="0"/>
        <w:jc w:val="center"/>
        <w:tblLook w:firstColumn="1" w:firstRow="1" w:lastColumn="0" w:lastRow="0" w:noHBand="0" w:noVBand="1" w:val="04A0"/>
      </w:tblPr>
      <w:tblGrid>
        <w:gridCol w:w="4968"/>
        <w:gridCol w:w="4968"/>
      </w:tblGrid>
      <w:tr>
        <w:tc>
          <w:tcPr>
            <w:tcW w:type="dxa" w:w="4968"/>
          </w:tcPr>
          <w:p>
            <w:r>
              <w:t>Stage</w:t>
            </w:r>
          </w:p>
        </w:tc>
        <w:tc>
          <w:tcPr>
            <w:tcW w:type="dxa" w:w="4968"/>
          </w:tcPr>
          <w:p>
            <w:r>
              <w:t>Rows</w:t>
            </w:r>
          </w:p>
        </w:tc>
      </w:tr>
      <w:tr>
        <w:tc>
          <w:tcPr>
            <w:tcW w:type="dxa" w:w="4968"/>
          </w:tcPr>
          <w:p>
            <w:r>
              <w:t>Cleaned news headlines</w:t>
            </w:r>
          </w:p>
        </w:tc>
        <w:tc>
          <w:tcPr>
            <w:tcW w:type="dxa" w:w="4968"/>
          </w:tcPr>
          <w:p>
            <w:r>
              <w:t>3,348</w:t>
            </w:r>
          </w:p>
        </w:tc>
      </w:tr>
      <w:tr>
        <w:tc>
          <w:tcPr>
            <w:tcW w:type="dxa" w:w="4968"/>
          </w:tcPr>
          <w:p>
            <w:r>
              <w:t>Valid grouped news dates</w:t>
            </w:r>
          </w:p>
        </w:tc>
        <w:tc>
          <w:tcPr>
            <w:tcW w:type="dxa" w:w="4968"/>
          </w:tcPr>
          <w:p>
            <w:r>
              <w:t>173</w:t>
            </w:r>
          </w:p>
        </w:tc>
      </w:tr>
      <w:tr>
        <w:tc>
          <w:tcPr>
            <w:tcW w:type="dxa" w:w="4968"/>
          </w:tcPr>
          <w:p>
            <w:r>
              <w:t>NIFTY50 trading days</w:t>
            </w:r>
          </w:p>
        </w:tc>
        <w:tc>
          <w:tcPr>
            <w:tcW w:type="dxa" w:w="4968"/>
          </w:tcPr>
          <w:p>
            <w:r>
              <w:t>142</w:t>
            </w:r>
          </w:p>
        </w:tc>
      </w:tr>
      <w:tr>
        <w:tc>
          <w:tcPr>
            <w:tcW w:type="dxa" w:w="4968"/>
          </w:tcPr>
          <w:p>
            <w:r>
              <w:t>Matched dates after inner join</w:t>
            </w:r>
          </w:p>
        </w:tc>
        <w:tc>
          <w:tcPr>
            <w:tcW w:type="dxa" w:w="4968"/>
          </w:tcPr>
          <w:p>
            <w:r>
              <w:t>132</w:t>
            </w:r>
          </w:p>
        </w:tc>
      </w:tr>
    </w:tbl>
    <w:p>
      <w:r>
        <w:t>The resulting 132 observations contained both daily news and NIFTY50 information.</w:t>
      </w:r>
    </w:p>
    <w:p>
      <w:pPr>
        <w:pStyle w:val="Heading1"/>
      </w:pPr>
      <w:r>
        <w:t>8. Market Movement and Target</w:t>
      </w:r>
    </w:p>
    <w:p>
      <w:r>
        <w:t>Same-day market movement was defined as:</w:t>
      </w:r>
    </w:p>
    <w:p>
      <w:pPr>
        <w:pStyle w:val="IntenseQuote"/>
      </w:pPr>
      <w:r>
        <w:t>movement = close - open</w:t>
      </w:r>
    </w:p>
    <w:p>
      <w:r>
        <w:t>The binary target was defined as 1 when movement &gt; 0 and 0 otherwise. Thus target=1 means NIFTY50 closed above its opening value that same day.</w:t>
      </w:r>
    </w:p>
    <w:p>
      <w:pPr>
        <w:pStyle w:val="Heading1"/>
      </w:pPr>
      <w:r>
        <w:t>9. Majority-Class Baseline</w:t>
      </w:r>
    </w:p>
    <w:p>
      <w:r>
        <w:t>The merged sample contained 132 observations: 67 target=0 and 65 target=1.</w:t>
      </w:r>
    </w:p>
    <w:tbl>
      <w:tblPr>
        <w:tblStyle w:val="TableGrid"/>
        <w:tblW w:type="auto" w:w="0"/>
        <w:jc w:val="center"/>
        <w:tblLook w:firstColumn="1" w:firstRow="1" w:lastColumn="0" w:lastRow="0" w:noHBand="0" w:noVBand="1" w:val="04A0"/>
      </w:tblPr>
      <w:tblGrid>
        <w:gridCol w:w="4968"/>
        <w:gridCol w:w="4968"/>
      </w:tblGrid>
      <w:tr>
        <w:tc>
          <w:tcPr>
            <w:tcW w:type="dxa" w:w="4968"/>
          </w:tcPr>
          <w:p>
            <w:r>
              <w:t>Metric</w:t>
            </w:r>
          </w:p>
        </w:tc>
        <w:tc>
          <w:tcPr>
            <w:tcW w:type="dxa" w:w="4968"/>
          </w:tcPr>
          <w:p>
            <w:r>
              <w:t>Value</w:t>
            </w:r>
          </w:p>
        </w:tc>
      </w:tr>
      <w:tr>
        <w:tc>
          <w:tcPr>
            <w:tcW w:type="dxa" w:w="4968"/>
          </w:tcPr>
          <w:p>
            <w:r>
              <w:t>Target = 0</w:t>
            </w:r>
          </w:p>
        </w:tc>
        <w:tc>
          <w:tcPr>
            <w:tcW w:type="dxa" w:w="4968"/>
          </w:tcPr>
          <w:p>
            <w:r>
              <w:t>67 days</w:t>
            </w:r>
          </w:p>
        </w:tc>
      </w:tr>
      <w:tr>
        <w:tc>
          <w:tcPr>
            <w:tcW w:type="dxa" w:w="4968"/>
          </w:tcPr>
          <w:p>
            <w:r>
              <w:t>Target = 1</w:t>
            </w:r>
          </w:p>
        </w:tc>
        <w:tc>
          <w:tcPr>
            <w:tcW w:type="dxa" w:w="4968"/>
          </w:tcPr>
          <w:p>
            <w:r>
              <w:t>65 days</w:t>
            </w:r>
          </w:p>
        </w:tc>
      </w:tr>
      <w:tr>
        <w:tc>
          <w:tcPr>
            <w:tcW w:type="dxa" w:w="4968"/>
          </w:tcPr>
          <w:p>
            <w:r>
              <w:t>Majority class</w:t>
            </w:r>
          </w:p>
        </w:tc>
        <w:tc>
          <w:tcPr>
            <w:tcW w:type="dxa" w:w="4968"/>
          </w:tcPr>
          <w:p>
            <w:r>
              <w:t>0</w:t>
            </w:r>
          </w:p>
        </w:tc>
      </w:tr>
      <w:tr>
        <w:tc>
          <w:tcPr>
            <w:tcW w:type="dxa" w:w="4968"/>
          </w:tcPr>
          <w:p>
            <w:r>
              <w:t>Majority-class baseline</w:t>
            </w:r>
          </w:p>
        </w:tc>
        <w:tc>
          <w:tcPr>
            <w:tcW w:type="dxa" w:w="4968"/>
          </w:tcPr>
          <w:p>
            <w:r>
              <w:t>67 / 132 = 50.76%</w:t>
            </w:r>
          </w:p>
        </w:tc>
      </w:tr>
    </w:tbl>
    <w:p>
      <w:r>
        <w:t>The majority-class baseline is the accuracy obtained by always predicting the most frequent class. Here, always predicting 0 gives 50.76% accuracy.</w:t>
      </w:r>
    </w:p>
    <w:p>
      <w:pPr>
        <w:pStyle w:val="Heading1"/>
      </w:pPr>
      <w:r>
        <w:t>10. Rule-Based Sentiment Scoring</w:t>
      </w:r>
    </w:p>
    <w:p>
      <w:r>
        <w:t>Part A uses the positive_words and negative_words vocabularies provided by the reference notebook. This is a manually constructed lexicon-based method, not a trained machine-learning or pretrained NLP model.</w:t>
      </w:r>
    </w:p>
    <w:p>
      <w:r>
        <w:t>The scoring function lowercases the input, counts occurrences of positive words and adds their counts, then counts negative words and subtracts their counts. The result is sentiment_score.</w:t>
      </w:r>
    </w:p>
    <w:p>
      <w:r>
        <w:t>Because Title contains a list of headlines for each date, the reference function converts that list to a string before applying substring counting.</w:t>
      </w:r>
    </w:p>
    <w:tbl>
      <w:tblPr>
        <w:tblStyle w:val="TableGrid"/>
        <w:tblW w:type="auto" w:w="0"/>
        <w:jc w:val="center"/>
        <w:tblLook w:firstColumn="1" w:firstRow="1" w:lastColumn="0" w:lastRow="0" w:noHBand="0" w:noVBand="1" w:val="04A0"/>
      </w:tblPr>
      <w:tblGrid>
        <w:gridCol w:w="4968"/>
        <w:gridCol w:w="4968"/>
      </w:tblGrid>
      <w:tr>
        <w:tc>
          <w:tcPr>
            <w:tcW w:type="dxa" w:w="4968"/>
          </w:tcPr>
          <w:p>
            <w:r>
              <w:t>Sanity check</w:t>
            </w:r>
          </w:p>
        </w:tc>
        <w:tc>
          <w:tcPr>
            <w:tcW w:type="dxa" w:w="4968"/>
          </w:tcPr>
          <w:p>
            <w:r>
              <w:t>Observed score</w:t>
            </w:r>
          </w:p>
        </w:tc>
      </w:tr>
      <w:tr>
        <w:tc>
          <w:tcPr>
            <w:tcW w:type="dxa" w:w="4968"/>
          </w:tcPr>
          <w:p>
            <w:r>
              <w:t>Clearly positive test sentence</w:t>
            </w:r>
          </w:p>
        </w:tc>
        <w:tc>
          <w:tcPr>
            <w:tcW w:type="dxa" w:w="4968"/>
          </w:tcPr>
          <w:p>
            <w:r>
              <w:t>6</w:t>
            </w:r>
          </w:p>
        </w:tc>
      </w:tr>
      <w:tr>
        <w:tc>
          <w:tcPr>
            <w:tcW w:type="dxa" w:w="4968"/>
          </w:tcPr>
          <w:p>
            <w:r>
              <w:t>Clearly negative test sentence</w:t>
            </w:r>
          </w:p>
        </w:tc>
        <w:tc>
          <w:tcPr>
            <w:tcW w:type="dxa" w:w="4968"/>
          </w:tcPr>
          <w:p>
            <w:r>
              <w:t>-1</w:t>
            </w:r>
          </w:p>
        </w:tc>
      </w:tr>
      <w:tr>
        <w:tc>
          <w:tcPr>
            <w:tcW w:type="dxa" w:w="4968"/>
          </w:tcPr>
          <w:p>
            <w:r>
              <w:t>Neutral test sentence</w:t>
            </w:r>
          </w:p>
        </w:tc>
        <w:tc>
          <w:tcPr>
            <w:tcW w:type="dxa" w:w="4968"/>
          </w:tcPr>
          <w:p>
            <w:r>
              <w:t>0</w:t>
            </w:r>
          </w:p>
        </w:tc>
      </w:tr>
    </w:tbl>
    <w:p>
      <w:pPr>
        <w:pStyle w:val="Heading1"/>
      </w:pPr>
      <w:r>
        <w:t>11. Sentiment Distribution</w:t>
      </w:r>
    </w:p>
    <w:p>
      <w:r>
        <w:t>Sentiment scoring was applied to all 132 merged dates.</w:t>
      </w:r>
    </w:p>
    <w:tbl>
      <w:tblPr>
        <w:tblStyle w:val="TableGrid"/>
        <w:tblW w:type="auto" w:w="0"/>
        <w:jc w:val="center"/>
        <w:tblLook w:firstColumn="1" w:firstRow="1" w:lastColumn="0" w:lastRow="0" w:noHBand="0" w:noVBand="1" w:val="04A0"/>
      </w:tblPr>
      <w:tblGrid>
        <w:gridCol w:w="4968"/>
        <w:gridCol w:w="4968"/>
      </w:tblGrid>
      <w:tr>
        <w:tc>
          <w:tcPr>
            <w:tcW w:type="dxa" w:w="4968"/>
          </w:tcPr>
          <w:p>
            <w:r>
              <w:t>Statistic</w:t>
            </w:r>
          </w:p>
        </w:tc>
        <w:tc>
          <w:tcPr>
            <w:tcW w:type="dxa" w:w="4968"/>
          </w:tcPr>
          <w:p>
            <w:r>
              <w:t>Value</w:t>
            </w:r>
          </w:p>
        </w:tc>
      </w:tr>
      <w:tr>
        <w:tc>
          <w:tcPr>
            <w:tcW w:type="dxa" w:w="4968"/>
          </w:tcPr>
          <w:p>
            <w:r>
              <w:t>Count</w:t>
            </w:r>
          </w:p>
        </w:tc>
        <w:tc>
          <w:tcPr>
            <w:tcW w:type="dxa" w:w="4968"/>
          </w:tcPr>
          <w:p>
            <w:r>
              <w:t>132</w:t>
            </w:r>
          </w:p>
        </w:tc>
      </w:tr>
      <w:tr>
        <w:tc>
          <w:tcPr>
            <w:tcW w:type="dxa" w:w="4968"/>
          </w:tcPr>
          <w:p>
            <w:r>
              <w:t>Mean</w:t>
            </w:r>
          </w:p>
        </w:tc>
        <w:tc>
          <w:tcPr>
            <w:tcW w:type="dxa" w:w="4968"/>
          </w:tcPr>
          <w:p>
            <w:r>
              <w:t>18.166667</w:t>
            </w:r>
          </w:p>
        </w:tc>
      </w:tr>
      <w:tr>
        <w:tc>
          <w:tcPr>
            <w:tcW w:type="dxa" w:w="4968"/>
          </w:tcPr>
          <w:p>
            <w:r>
              <w:t>Standard deviation</w:t>
            </w:r>
          </w:p>
        </w:tc>
        <w:tc>
          <w:tcPr>
            <w:tcW w:type="dxa" w:w="4968"/>
          </w:tcPr>
          <w:p>
            <w:r>
              <w:t>22.537557</w:t>
            </w:r>
          </w:p>
        </w:tc>
      </w:tr>
      <w:tr>
        <w:tc>
          <w:tcPr>
            <w:tcW w:type="dxa" w:w="4968"/>
          </w:tcPr>
          <w:p>
            <w:r>
              <w:t>Minimum</w:t>
            </w:r>
          </w:p>
        </w:tc>
        <w:tc>
          <w:tcPr>
            <w:tcW w:type="dxa" w:w="4968"/>
          </w:tcPr>
          <w:p>
            <w:r>
              <w:t>-24</w:t>
            </w:r>
          </w:p>
        </w:tc>
      </w:tr>
      <w:tr>
        <w:tc>
          <w:tcPr>
            <w:tcW w:type="dxa" w:w="4968"/>
          </w:tcPr>
          <w:p>
            <w:r>
              <w:t>25th percentile</w:t>
            </w:r>
          </w:p>
        </w:tc>
        <w:tc>
          <w:tcPr>
            <w:tcW w:type="dxa" w:w="4968"/>
          </w:tcPr>
          <w:p>
            <w:r>
              <w:t>4</w:t>
            </w:r>
          </w:p>
        </w:tc>
      </w:tr>
      <w:tr>
        <w:tc>
          <w:tcPr>
            <w:tcW w:type="dxa" w:w="4968"/>
          </w:tcPr>
          <w:p>
            <w:r>
              <w:t>Median</w:t>
            </w:r>
          </w:p>
        </w:tc>
        <w:tc>
          <w:tcPr>
            <w:tcW w:type="dxa" w:w="4968"/>
          </w:tcPr>
          <w:p>
            <w:r>
              <w:t>13</w:t>
            </w:r>
          </w:p>
        </w:tc>
      </w:tr>
      <w:tr>
        <w:tc>
          <w:tcPr>
            <w:tcW w:type="dxa" w:w="4968"/>
          </w:tcPr>
          <w:p>
            <w:r>
              <w:t>75th percentile</w:t>
            </w:r>
          </w:p>
        </w:tc>
        <w:tc>
          <w:tcPr>
            <w:tcW w:type="dxa" w:w="4968"/>
          </w:tcPr>
          <w:p>
            <w:r>
              <w:t>31.25</w:t>
            </w:r>
          </w:p>
        </w:tc>
      </w:tr>
      <w:tr>
        <w:tc>
          <w:tcPr>
            <w:tcW w:type="dxa" w:w="4968"/>
          </w:tcPr>
          <w:p>
            <w:r>
              <w:t>Maximum</w:t>
            </w:r>
          </w:p>
        </w:tc>
        <w:tc>
          <w:tcPr>
            <w:tcW w:type="dxa" w:w="4968"/>
          </w:tcPr>
          <w:p>
            <w:r>
              <w:t>88</w:t>
            </w:r>
          </w:p>
        </w:tc>
      </w:tr>
    </w:tbl>
    <w:p>
      <w:r>
        <w:t>The histogram was concentrated mainly on the positive side, with a smaller negative tail and a positive tail extending to high scores. This describes the behavior of the selected lexicon; it should not be interpreted as an objective measurement that the underlying news was intrinsically positive.</w:t>
      </w:r>
    </w:p>
    <w:p>
      <w:pPr>
        <w:pStyle w:val="Heading1"/>
      </w:pPr>
      <w:r>
        <w:t>12. Required EDA Plots</w:t>
      </w:r>
    </w:p>
    <w:p>
      <w:pPr>
        <w:pStyle w:val="Heading2"/>
      </w:pPr>
      <w:r>
        <w:t>12.1 Distribution of News Sentiment</w:t>
      </w:r>
    </w:p>
    <w:p>
      <w:r>
        <w:t>A histogram of sentiment_score was generated. Most observations were concentrated roughly between 0 and 40, with scores extending from -24 to 88.</w:t>
      </w:r>
    </w:p>
    <w:p>
      <w:pPr>
        <w:pStyle w:val="Heading2"/>
      </w:pPr>
      <w:r>
        <w:t>12.2 Average Sentiment by Market Direction</w:t>
      </w:r>
    </w:p>
    <w:p>
      <w:r>
        <w:t>The bar chart showed average sentiment of approximately 14.8 for target=0 days and approximately 21.6 for target=1 days. Thus UP days had higher average rule-based sentiment in this sample.</w:t>
      </w:r>
    </w:p>
    <w:p>
      <w:pPr>
        <w:pStyle w:val="Heading2"/>
      </w:pPr>
      <w:r>
        <w:t>12.3 Sentiment vs Market Movement</w:t>
      </w:r>
    </w:p>
    <w:p>
      <w:r>
        <w:t>The scatter plot of sentiment_score against movement was widely dispersed and did not show a strong obvious linear upward relationship. Sentiment may have some association with direction, but its magnitude did not visibly explain the magnitude of same-day NIFTY50 movement.</w:t>
      </w:r>
    </w:p>
    <w:p>
      <w:pPr>
        <w:pStyle w:val="Heading1"/>
      </w:pPr>
      <w:r>
        <w:t>13. Same-Day Sentiment Prediction</w:t>
      </w:r>
    </w:p>
    <w:p>
      <w:r>
        <w:t>The reference notebook mapped score &gt; 0 to UP, score &lt; 0 to DOWN, and score = 0 to NEUTRAL. For binary evaluation, score &gt; 0 became 1 and score &lt;= 0 became 0, so a zero score was treated as the non-UP class.</w:t>
      </w:r>
    </w:p>
    <w:tbl>
      <w:tblPr>
        <w:tblStyle w:val="TableGrid"/>
        <w:tblW w:type="auto" w:w="0"/>
        <w:jc w:val="center"/>
        <w:tblLook w:firstColumn="1" w:firstRow="1" w:lastColumn="0" w:lastRow="0" w:noHBand="0" w:noVBand="1" w:val="04A0"/>
      </w:tblPr>
      <w:tblGrid>
        <w:gridCol w:w="4968"/>
        <w:gridCol w:w="4968"/>
      </w:tblGrid>
      <w:tr>
        <w:tc>
          <w:tcPr>
            <w:tcW w:type="dxa" w:w="4968"/>
          </w:tcPr>
          <w:p>
            <w:r>
              <w:t>Evaluation</w:t>
            </w:r>
          </w:p>
        </w:tc>
        <w:tc>
          <w:tcPr>
            <w:tcW w:type="dxa" w:w="4968"/>
          </w:tcPr>
          <w:p>
            <w:r>
              <w:t>Accuracy</w:t>
            </w:r>
          </w:p>
        </w:tc>
      </w:tr>
      <w:tr>
        <w:tc>
          <w:tcPr>
            <w:tcW w:type="dxa" w:w="4968"/>
          </w:tcPr>
          <w:p>
            <w:r>
              <w:t>Majority-class baseline</w:t>
            </w:r>
          </w:p>
        </w:tc>
        <w:tc>
          <w:tcPr>
            <w:tcW w:type="dxa" w:w="4968"/>
          </w:tcPr>
          <w:p>
            <w:r>
              <w:t>50.76%</w:t>
            </w:r>
          </w:p>
        </w:tc>
      </w:tr>
      <w:tr>
        <w:tc>
          <w:tcPr>
            <w:tcW w:type="dxa" w:w="4968"/>
          </w:tcPr>
          <w:p>
            <w:r>
              <w:t>Rule-based sentiment</w:t>
            </w:r>
          </w:p>
        </w:tc>
        <w:tc>
          <w:tcPr>
            <w:tcW w:type="dxa" w:w="4968"/>
          </w:tcPr>
          <w:p>
            <w:r>
              <w:t>59.85%</w:t>
            </w:r>
          </w:p>
        </w:tc>
      </w:tr>
      <w:tr>
        <w:tc>
          <w:tcPr>
            <w:tcW w:type="dxa" w:w="4968"/>
          </w:tcPr>
          <w:p>
            <w:r>
              <w:t>Absolute improvement</w:t>
            </w:r>
          </w:p>
        </w:tc>
        <w:tc>
          <w:tcPr>
            <w:tcW w:type="dxa" w:w="4968"/>
          </w:tcPr>
          <w:p>
            <w:r>
              <w:t>+9.09 percentage points</w:t>
            </w:r>
          </w:p>
        </w:tc>
      </w:tr>
    </w:tbl>
    <w:p>
      <w:r>
        <w:t>The rule-based sentiment classifier outperformed the majority baseline on this 132-day sample. However, this is a same-day association test: sentiment and market movement are measured for the same date, so 59.85% should not be described as genuine next-day predictive performance.</w:t>
      </w:r>
    </w:p>
    <w:p>
      <w:pPr>
        <w:pStyle w:val="Heading1"/>
      </w:pPr>
      <w:r>
        <w:t>14. Final Part A Dataset</w:t>
      </w:r>
    </w:p>
    <w:p>
      <w:r>
        <w:t>The final merged DataFrame contained 132 rows and 14 columns, with zero missing values in every column.</w:t>
      </w:r>
    </w:p>
    <w:p>
      <w:pPr>
        <w:pStyle w:val="ListBullet"/>
      </w:pPr>
      <w:r>
        <w:t>date</w:t>
      </w:r>
    </w:p>
    <w:p>
      <w:pPr>
        <w:pStyle w:val="ListBullet"/>
      </w:pPr>
      <w:r>
        <w:t>open</w:t>
      </w:r>
    </w:p>
    <w:p>
      <w:pPr>
        <w:pStyle w:val="ListBullet"/>
      </w:pPr>
      <w:r>
        <w:t>high</w:t>
      </w:r>
    </w:p>
    <w:p>
      <w:pPr>
        <w:pStyle w:val="ListBullet"/>
      </w:pPr>
      <w:r>
        <w:t>low</w:t>
      </w:r>
    </w:p>
    <w:p>
      <w:pPr>
        <w:pStyle w:val="ListBullet"/>
      </w:pPr>
      <w:r>
        <w:t>close</w:t>
      </w:r>
    </w:p>
    <w:p>
      <w:pPr>
        <w:pStyle w:val="ListBullet"/>
      </w:pPr>
      <w:r>
        <w:t>shares_traded</w:t>
      </w:r>
    </w:p>
    <w:p>
      <w:pPr>
        <w:pStyle w:val="ListBullet"/>
      </w:pPr>
      <w:r>
        <w:t>turnover_cr</w:t>
      </w:r>
    </w:p>
    <w:p>
      <w:pPr>
        <w:pStyle w:val="ListBullet"/>
      </w:pPr>
      <w:r>
        <w:t>Date</w:t>
      </w:r>
    </w:p>
    <w:p>
      <w:pPr>
        <w:pStyle w:val="ListBullet"/>
      </w:pPr>
      <w:r>
        <w:t>Title</w:t>
      </w:r>
    </w:p>
    <w:p>
      <w:pPr>
        <w:pStyle w:val="ListBullet"/>
      </w:pPr>
      <w:r>
        <w:t>movement</w:t>
      </w:r>
    </w:p>
    <w:p>
      <w:pPr>
        <w:pStyle w:val="ListBullet"/>
      </w:pPr>
      <w:r>
        <w:t>target</w:t>
      </w:r>
    </w:p>
    <w:p>
      <w:pPr>
        <w:pStyle w:val="ListBullet"/>
      </w:pPr>
      <w:r>
        <w:t>sentiment_score</w:t>
      </w:r>
    </w:p>
    <w:p>
      <w:pPr>
        <w:pStyle w:val="ListBullet"/>
      </w:pPr>
      <w:r>
        <w:t>prediction</w:t>
      </w:r>
    </w:p>
    <w:p>
      <w:pPr>
        <w:pStyle w:val="ListBullet"/>
      </w:pPr>
      <w:r>
        <w:t>prediction_binary</w:t>
      </w:r>
    </w:p>
    <w:p>
      <w:r>
        <w:t>The reference notebook saves final_project_dataset.csv. Because the notebook working directory is notebooks/, the reference save command writes the file there unless the output path is changed.</w:t>
      </w:r>
    </w:p>
    <w:p>
      <w:pPr>
        <w:pStyle w:val="Heading1"/>
      </w:pPr>
      <w:r>
        <w:t>15. Part A Final Checkpoint</w:t>
      </w:r>
    </w:p>
    <w:tbl>
      <w:tblPr>
        <w:tblStyle w:val="TableGrid"/>
        <w:tblW w:type="auto" w:w="0"/>
        <w:jc w:val="center"/>
        <w:tblLook w:firstColumn="1" w:firstRow="1" w:lastColumn="0" w:lastRow="0" w:noHBand="0" w:noVBand="1" w:val="04A0"/>
      </w:tblPr>
      <w:tblGrid>
        <w:gridCol w:w="4968"/>
        <w:gridCol w:w="4968"/>
      </w:tblGrid>
      <w:tr>
        <w:tc>
          <w:tcPr>
            <w:tcW w:type="dxa" w:w="4968"/>
          </w:tcPr>
          <w:p>
            <w:r>
              <w:t>Checkpoint</w:t>
            </w:r>
          </w:p>
        </w:tc>
        <w:tc>
          <w:tcPr>
            <w:tcW w:type="dxa" w:w="4968"/>
          </w:tcPr>
          <w:p>
            <w:r>
              <w:t>Result</w:t>
            </w:r>
          </w:p>
        </w:tc>
      </w:tr>
      <w:tr>
        <w:tc>
          <w:tcPr>
            <w:tcW w:type="dxa" w:w="4968"/>
          </w:tcPr>
          <w:p>
            <w:r>
              <w:t>Cleaned news headlines</w:t>
            </w:r>
          </w:p>
        </w:tc>
        <w:tc>
          <w:tcPr>
            <w:tcW w:type="dxa" w:w="4968"/>
          </w:tcPr>
          <w:p>
            <w:r>
              <w:t>3,348</w:t>
            </w:r>
          </w:p>
        </w:tc>
      </w:tr>
      <w:tr>
        <w:tc>
          <w:tcPr>
            <w:tcW w:type="dxa" w:w="4968"/>
          </w:tcPr>
          <w:p>
            <w:r>
              <w:t>Valid grouped news dates</w:t>
            </w:r>
          </w:p>
        </w:tc>
        <w:tc>
          <w:tcPr>
            <w:tcW w:type="dxa" w:w="4968"/>
          </w:tcPr>
          <w:p>
            <w:r>
              <w:t>173</w:t>
            </w:r>
          </w:p>
        </w:tc>
      </w:tr>
      <w:tr>
        <w:tc>
          <w:tcPr>
            <w:tcW w:type="dxa" w:w="4968"/>
          </w:tcPr>
          <w:p>
            <w:r>
              <w:t>NIFTY50 rows</w:t>
            </w:r>
          </w:p>
        </w:tc>
        <w:tc>
          <w:tcPr>
            <w:tcW w:type="dxa" w:w="4968"/>
          </w:tcPr>
          <w:p>
            <w:r>
              <w:t>142</w:t>
            </w:r>
          </w:p>
        </w:tc>
      </w:tr>
      <w:tr>
        <w:tc>
          <w:tcPr>
            <w:tcW w:type="dxa" w:w="4968"/>
          </w:tcPr>
          <w:p>
            <w:r>
              <w:t>Merged observations</w:t>
            </w:r>
          </w:p>
        </w:tc>
        <w:tc>
          <w:tcPr>
            <w:tcW w:type="dxa" w:w="4968"/>
          </w:tcPr>
          <w:p>
            <w:r>
              <w:t>132</w:t>
            </w:r>
          </w:p>
        </w:tc>
      </w:tr>
      <w:tr>
        <w:tc>
          <w:tcPr>
            <w:tcW w:type="dxa" w:w="4968"/>
          </w:tcPr>
          <w:p>
            <w:r>
              <w:t>Target 0 / 1</w:t>
            </w:r>
          </w:p>
        </w:tc>
        <w:tc>
          <w:tcPr>
            <w:tcW w:type="dxa" w:w="4968"/>
          </w:tcPr>
          <w:p>
            <w:r>
              <w:t>67 / 65</w:t>
            </w:r>
          </w:p>
        </w:tc>
      </w:tr>
      <w:tr>
        <w:tc>
          <w:tcPr>
            <w:tcW w:type="dxa" w:w="4968"/>
          </w:tcPr>
          <w:p>
            <w:r>
              <w:t>Majority baseline</w:t>
            </w:r>
          </w:p>
        </w:tc>
        <w:tc>
          <w:tcPr>
            <w:tcW w:type="dxa" w:w="4968"/>
          </w:tcPr>
          <w:p>
            <w:r>
              <w:t>50.76%</w:t>
            </w:r>
          </w:p>
        </w:tc>
      </w:tr>
      <w:tr>
        <w:tc>
          <w:tcPr>
            <w:tcW w:type="dxa" w:w="4968"/>
          </w:tcPr>
          <w:p>
            <w:r>
              <w:t>Sentiment accuracy</w:t>
            </w:r>
          </w:p>
        </w:tc>
        <w:tc>
          <w:tcPr>
            <w:tcW w:type="dxa" w:w="4968"/>
          </w:tcPr>
          <w:p>
            <w:r>
              <w:t>59.85%</w:t>
            </w:r>
          </w:p>
        </w:tc>
      </w:tr>
      <w:tr>
        <w:tc>
          <w:tcPr>
            <w:tcW w:type="dxa" w:w="4968"/>
          </w:tcPr>
          <w:p>
            <w:r>
              <w:t>Final dataset columns</w:t>
            </w:r>
          </w:p>
        </w:tc>
        <w:tc>
          <w:tcPr>
            <w:tcW w:type="dxa" w:w="4968"/>
          </w:tcPr>
          <w:p>
            <w:r>
              <w:t>14</w:t>
            </w:r>
          </w:p>
        </w:tc>
      </w:tr>
      <w:tr>
        <w:tc>
          <w:tcPr>
            <w:tcW w:type="dxa" w:w="4968"/>
          </w:tcPr>
          <w:p>
            <w:r>
              <w:t>Missing values</w:t>
            </w:r>
          </w:p>
        </w:tc>
        <w:tc>
          <w:tcPr>
            <w:tcW w:type="dxa" w:w="4968"/>
          </w:tcPr>
          <w:p>
            <w:r>
              <w:t>0</w:t>
            </w:r>
          </w:p>
        </w:tc>
      </w:tr>
    </w:tbl>
    <w:p>
      <w:r>
        <w:t>Part A is complete. Part B should be treated as a separate next-day prediction experiment, with chronological ordering, a future target, and explicit protection against temporal/data leakage.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