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6"/>
        </w:rPr>
        <w:t>Part B — Machine Learning Pipeline</w:t>
      </w:r>
    </w:p>
    <w:p>
      <w:pPr>
        <w:jc w:val="center"/>
      </w:pPr>
      <w:r>
        <w:rPr>
          <w:b/>
          <w:sz w:val="32"/>
        </w:rPr>
        <w:t>Financial News Sentiment vs. NIFTY50 Analysis</w:t>
      </w:r>
    </w:p>
    <w:p>
      <w:pPr>
        <w:jc w:val="center"/>
      </w:pPr>
      <w:r>
        <w:rPr>
          <w:i/>
        </w:rPr>
        <w:t>Project Execution &amp; Results Log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D9EAF7"/>
          </w:tcPr>
          <w:p>
            <w:r>
              <w:rPr>
                <w:b/>
              </w:rPr>
              <w:t>Item</w:t>
            </w:r>
          </w:p>
        </w:tc>
        <w:tc>
          <w:tcPr>
            <w:tcW w:type="dxa" w:w="4968"/>
            <w:shd w:fill="D9EAF7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4968"/>
            <w:vAlign w:val="center"/>
          </w:tcPr>
          <w:p>
            <w:r>
              <w:t>Project</w:t>
            </w:r>
          </w:p>
        </w:tc>
        <w:tc>
          <w:tcPr>
            <w:tcW w:type="dxa" w:w="4968"/>
            <w:vAlign w:val="center"/>
          </w:tcPr>
          <w:p>
            <w:r>
              <w:t>Financial News Sentiment vs. NIFTY50 Analysis</w:t>
            </w:r>
          </w:p>
        </w:tc>
      </w:tr>
      <w:tr>
        <w:tc>
          <w:tcPr>
            <w:tcW w:type="dxa" w:w="4968"/>
            <w:vAlign w:val="center"/>
          </w:tcPr>
          <w:p>
            <w:r>
              <w:t>Section</w:t>
            </w:r>
          </w:p>
        </w:tc>
        <w:tc>
          <w:tcPr>
            <w:tcW w:type="dxa" w:w="4968"/>
            <w:vAlign w:val="center"/>
          </w:tcPr>
          <w:p>
            <w:r>
              <w:t>Part B — Full Machine Learning Pipeline</w:t>
            </w:r>
          </w:p>
        </w:tc>
      </w:tr>
      <w:tr>
        <w:tc>
          <w:tcPr>
            <w:tcW w:type="dxa" w:w="4968"/>
            <w:vAlign w:val="center"/>
          </w:tcPr>
          <w:p>
            <w:r>
              <w:t>Dataset period</w:t>
            </w:r>
          </w:p>
        </w:tc>
        <w:tc>
          <w:tcPr>
            <w:tcW w:type="dxa" w:w="4968"/>
            <w:vAlign w:val="center"/>
          </w:tcPr>
          <w:p>
            <w:r>
              <w:t>February 2025 – August 2025</w:t>
            </w:r>
          </w:p>
        </w:tc>
      </w:tr>
      <w:tr>
        <w:tc>
          <w:tcPr>
            <w:tcW w:type="dxa" w:w="4968"/>
            <w:vAlign w:val="center"/>
          </w:tcPr>
          <w:p>
            <w:r>
              <w:t>ML observations</w:t>
            </w:r>
          </w:p>
        </w:tc>
        <w:tc>
          <w:tcPr>
            <w:tcW w:type="dxa" w:w="4968"/>
            <w:vAlign w:val="center"/>
          </w:tcPr>
          <w:p>
            <w:r>
              <w:t>125 after feature engineering and removal of incomplete rows</w:t>
            </w:r>
          </w:p>
        </w:tc>
      </w:tr>
      <w:tr>
        <w:tc>
          <w:tcPr>
            <w:tcW w:type="dxa" w:w="4968"/>
            <w:vAlign w:val="center"/>
          </w:tcPr>
          <w:p>
            <w:r>
              <w:t>Training set</w:t>
            </w:r>
          </w:p>
        </w:tc>
        <w:tc>
          <w:tcPr>
            <w:tcW w:type="dxa" w:w="4968"/>
            <w:vAlign w:val="center"/>
          </w:tcPr>
          <w:p>
            <w:r>
              <w:t>100 observations</w:t>
            </w:r>
          </w:p>
        </w:tc>
      </w:tr>
      <w:tr>
        <w:tc>
          <w:tcPr>
            <w:tcW w:type="dxa" w:w="4968"/>
            <w:vAlign w:val="center"/>
          </w:tcPr>
          <w:p>
            <w:r>
              <w:t>Test set</w:t>
            </w:r>
          </w:p>
        </w:tc>
        <w:tc>
          <w:tcPr>
            <w:tcW w:type="dxa" w:w="4968"/>
            <w:vAlign w:val="center"/>
          </w:tcPr>
          <w:p>
            <w:r>
              <w:t>25 observations</w:t>
            </w:r>
          </w:p>
        </w:tc>
      </w:tr>
    </w:tbl>
    <w:p>
      <w:r>
        <w:t>This document records the steps performed, implementation choices, actual results, and interpretation for Part B.</w:t>
      </w:r>
    </w:p>
    <w:p>
      <w:r>
        <w:br w:type="page"/>
      </w:r>
    </w:p>
    <w:p>
      <w:pPr>
        <w:pStyle w:val="Heading1"/>
      </w:pPr>
      <w:r>
        <w:t>1. Objective of Part B</w:t>
      </w:r>
    </w:p>
    <w:p>
      <w:r>
        <w:t>Part B extends the rule-based Part A analysis into a machine-learning pipeline. Instead of manually defining a prediction rule from sentiment, the model learns from historical features to predict whether the NIFTY50 will close higher or lower on the following trading day.</w:t>
      </w:r>
    </w:p>
    <w:p>
      <w:r>
        <w:t>The pipeline uses a shifted next-day target and a chronological train/test split so that future observations do not enter model training.</w:t>
      </w:r>
    </w:p>
    <w:p>
      <w:pPr>
        <w:pStyle w:val="ListBullet"/>
      </w:pPr>
      <w:r>
        <w:t>Create a next-day binary target.</w:t>
      </w:r>
    </w:p>
    <w:p>
      <w:pPr>
        <w:pStyle w:val="ListBullet"/>
      </w:pPr>
      <w:r>
        <w:t>Engineer sentiment, market-history, volume, and intraday-range features.</w:t>
      </w:r>
    </w:p>
    <w:p>
      <w:pPr>
        <w:pStyle w:val="ListBullet"/>
      </w:pPr>
      <w:r>
        <w:t>Remove rows with incomplete rolling/lagged features.</w:t>
      </w:r>
    </w:p>
    <w:p>
      <w:pPr>
        <w:pStyle w:val="ListBullet"/>
      </w:pPr>
      <w:r>
        <w:t>Split chronologically into training and test sets.</w:t>
      </w:r>
    </w:p>
    <w:p>
      <w:pPr>
        <w:pStyle w:val="ListBullet"/>
      </w:pPr>
      <w:r>
        <w:t>Establish a majority-class baseline.</w:t>
      </w:r>
    </w:p>
    <w:p>
      <w:pPr>
        <w:pStyle w:val="ListBullet"/>
      </w:pPr>
      <w:r>
        <w:t>Train Logistic Regression, Random Forest, and XGBoost.</w:t>
      </w:r>
    </w:p>
    <w:p>
      <w:pPr>
        <w:pStyle w:val="ListBullet"/>
      </w:pPr>
      <w:r>
        <w:t>Tune Random Forest with TimeSeriesSplit and GridSearchCV.</w:t>
      </w:r>
    </w:p>
    <w:p>
      <w:pPr>
        <w:pStyle w:val="ListBullet"/>
      </w:pPr>
      <w:r>
        <w:t>Evaluate with accuracy, classification reports, and a confusion matrix.</w:t>
      </w:r>
    </w:p>
    <w:p>
      <w:pPr>
        <w:pStyle w:val="ListBullet"/>
      </w:pPr>
      <w:r>
        <w:t>Backtest the tuned Random Forest against NIFTY50 buy-and-hold.</w:t>
      </w:r>
    </w:p>
    <w:p>
      <w:pPr>
        <w:pStyle w:val="ListBullet"/>
      </w:pPr>
      <w:r>
        <w:t>Inspect Random Forest feature importance.</w:t>
      </w:r>
    </w:p>
    <w:p>
      <w:pPr>
        <w:pStyle w:val="Heading1"/>
      </w:pPr>
      <w:r>
        <w:t>2. Prediction Target</w:t>
      </w:r>
    </w:p>
    <w:p>
      <w:r>
        <w:t>Part A used a same-day target. For Part B, the target was shifted so today's information is used to predict the following trading day's direction.</w:t>
      </w:r>
    </w:p>
    <w:p>
      <w:pPr>
        <w:pStyle w:val="CodeBlock"/>
        <w:ind w:left="360"/>
      </w:pPr>
      <w:r>
        <w:t>merged['next_day_target'] = merged['target'].shift(-1)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D9EAF7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3312"/>
            <w:shd w:fill="D9EAF7"/>
          </w:tcPr>
          <w:p>
            <w:r>
              <w:rPr>
                <w:b/>
              </w:rPr>
              <w:t>Meaning</w:t>
            </w:r>
          </w:p>
        </w:tc>
        <w:tc>
          <w:tcPr>
            <w:tcW w:type="dxa" w:w="3312"/>
            <w:shd w:fill="D9EAF7"/>
          </w:tcPr>
          <w:p>
            <w:r>
              <w:rPr>
                <w:b/>
              </w:rPr>
              <w:t>Count</w:t>
            </w:r>
          </w:p>
        </w:tc>
      </w:tr>
      <w:tr>
        <w:tc>
          <w:tcPr>
            <w:tcW w:type="dxa" w:w="3312"/>
            <w:vAlign w:val="center"/>
          </w:tcPr>
          <w:p>
            <w:r>
              <w:t>0</w:t>
            </w:r>
          </w:p>
        </w:tc>
        <w:tc>
          <w:tcPr>
            <w:tcW w:type="dxa" w:w="3312"/>
            <w:vAlign w:val="center"/>
          </w:tcPr>
          <w:p>
            <w:r>
              <w:t>Next trading day Down / not Up</w:t>
            </w:r>
          </w:p>
        </w:tc>
        <w:tc>
          <w:tcPr>
            <w:tcW w:type="dxa" w:w="3312"/>
            <w:vAlign w:val="center"/>
          </w:tcPr>
          <w:p>
            <w:r>
              <w:t>66</w:t>
            </w:r>
          </w:p>
        </w:tc>
      </w:tr>
      <w:tr>
        <w:tc>
          <w:tcPr>
            <w:tcW w:type="dxa" w:w="3312"/>
            <w:vAlign w:val="center"/>
          </w:tcPr>
          <w:p>
            <w:r>
              <w:t>1</w:t>
            </w:r>
          </w:p>
        </w:tc>
        <w:tc>
          <w:tcPr>
            <w:tcW w:type="dxa" w:w="3312"/>
            <w:vAlign w:val="center"/>
          </w:tcPr>
          <w:p>
            <w:r>
              <w:t>Next trading day Up</w:t>
            </w:r>
          </w:p>
        </w:tc>
        <w:tc>
          <w:tcPr>
            <w:tcW w:type="dxa" w:w="3312"/>
            <w:vAlign w:val="center"/>
          </w:tcPr>
          <w:p>
            <w:r>
              <w:t>65</w:t>
            </w:r>
          </w:p>
        </w:tc>
      </w:tr>
    </w:tbl>
    <w:p>
      <w:r>
        <w:t>The final observation has no known next-day outcome and is therefore excluded from the ML target dataset.</w:t>
      </w:r>
    </w:p>
    <w:p>
      <w:pPr>
        <w:pStyle w:val="Heading1"/>
      </w:pPr>
      <w:r>
        <w:t>3. Feature Engineering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D9EAF7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4968"/>
            <w:shd w:fill="D9EAF7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4968"/>
            <w:vAlign w:val="center"/>
          </w:tcPr>
          <w:p>
            <w:r>
              <w:t>sentiment_score</w:t>
            </w:r>
          </w:p>
        </w:tc>
        <w:tc>
          <w:tcPr>
            <w:tcW w:type="dxa" w:w="4968"/>
            <w:vAlign w:val="center"/>
          </w:tcPr>
          <w:p>
            <w:r>
              <w:t>Daily rule-based financial-news sentiment score.</w:t>
            </w:r>
          </w:p>
        </w:tc>
      </w:tr>
      <w:tr>
        <w:tc>
          <w:tcPr>
            <w:tcW w:type="dxa" w:w="4968"/>
            <w:vAlign w:val="center"/>
          </w:tcPr>
          <w:p>
            <w:r>
              <w:t>sentiment_ma3</w:t>
            </w:r>
          </w:p>
        </w:tc>
        <w:tc>
          <w:tcPr>
            <w:tcW w:type="dxa" w:w="4968"/>
            <w:vAlign w:val="center"/>
          </w:tcPr>
          <w:p>
            <w:r>
              <w:t>3-day moving average of sentiment.</w:t>
            </w:r>
          </w:p>
        </w:tc>
      </w:tr>
      <w:tr>
        <w:tc>
          <w:tcPr>
            <w:tcW w:type="dxa" w:w="4968"/>
            <w:vAlign w:val="center"/>
          </w:tcPr>
          <w:p>
            <w:r>
              <w:t>sentiment_ma7</w:t>
            </w:r>
          </w:p>
        </w:tc>
        <w:tc>
          <w:tcPr>
            <w:tcW w:type="dxa" w:w="4968"/>
            <w:vAlign w:val="center"/>
          </w:tcPr>
          <w:p>
            <w:r>
              <w:t>7-day moving average of sentiment.</w:t>
            </w:r>
          </w:p>
        </w:tc>
      </w:tr>
      <w:tr>
        <w:tc>
          <w:tcPr>
            <w:tcW w:type="dxa" w:w="4968"/>
            <w:vAlign w:val="center"/>
          </w:tcPr>
          <w:p>
            <w:r>
              <w:t>sentiment_std3</w:t>
            </w:r>
          </w:p>
        </w:tc>
        <w:tc>
          <w:tcPr>
            <w:tcW w:type="dxa" w:w="4968"/>
            <w:vAlign w:val="center"/>
          </w:tcPr>
          <w:p>
            <w:r>
              <w:t>3-day rolling standard deviation of sentiment.</w:t>
            </w:r>
          </w:p>
        </w:tc>
      </w:tr>
      <w:tr>
        <w:tc>
          <w:tcPr>
            <w:tcW w:type="dxa" w:w="4968"/>
            <w:vAlign w:val="center"/>
          </w:tcPr>
          <w:p>
            <w:r>
              <w:t>movement_lag1</w:t>
            </w:r>
          </w:p>
        </w:tc>
        <w:tc>
          <w:tcPr>
            <w:tcW w:type="dxa" w:w="4968"/>
            <w:vAlign w:val="center"/>
          </w:tcPr>
          <w:p>
            <w:r>
              <w:t>Previous trading day's market movement.</w:t>
            </w:r>
          </w:p>
        </w:tc>
      </w:tr>
      <w:tr>
        <w:tc>
          <w:tcPr>
            <w:tcW w:type="dxa" w:w="4968"/>
            <w:vAlign w:val="center"/>
          </w:tcPr>
          <w:p>
            <w:r>
              <w:t>movement_lag2</w:t>
            </w:r>
          </w:p>
        </w:tc>
        <w:tc>
          <w:tcPr>
            <w:tcW w:type="dxa" w:w="4968"/>
            <w:vAlign w:val="center"/>
          </w:tcPr>
          <w:p>
            <w:r>
              <w:t>Market movement from two trading days earlier.</w:t>
            </w:r>
          </w:p>
        </w:tc>
      </w:tr>
      <w:tr>
        <w:tc>
          <w:tcPr>
            <w:tcW w:type="dxa" w:w="4968"/>
            <w:vAlign w:val="center"/>
          </w:tcPr>
          <w:p>
            <w:r>
              <w:t>volume_change</w:t>
            </w:r>
          </w:p>
        </w:tc>
        <w:tc>
          <w:tcPr>
            <w:tcW w:type="dxa" w:w="4968"/>
            <w:vAlign w:val="center"/>
          </w:tcPr>
          <w:p>
            <w:r>
              <w:t>Percentage change in shares traded.</w:t>
            </w:r>
          </w:p>
        </w:tc>
      </w:tr>
      <w:tr>
        <w:tc>
          <w:tcPr>
            <w:tcW w:type="dxa" w:w="4968"/>
            <w:vAlign w:val="center"/>
          </w:tcPr>
          <w:p>
            <w:r>
              <w:t>high_low_spread</w:t>
            </w:r>
          </w:p>
        </w:tc>
        <w:tc>
          <w:tcPr>
            <w:tcW w:type="dxa" w:w="4968"/>
            <w:vAlign w:val="center"/>
          </w:tcPr>
          <w:p>
            <w:r>
              <w:t>Intraday percentage high-low spread.</w:t>
            </w:r>
          </w:p>
        </w:tc>
      </w:tr>
    </w:tbl>
    <w:p>
      <w:r>
        <w:t>Rolling and lagged features created missing values at the beginning of the series. Rows with incomplete predictors were removed before modelling.</w:t>
      </w:r>
    </w:p>
    <w:p>
      <w:pPr>
        <w:pStyle w:val="CodeBlock"/>
        <w:ind w:left="360"/>
      </w:pPr>
      <w:r>
        <w:t>feature_cols = [</w:t>
        <w:br/>
        <w:t xml:space="preserve">    'sentiment_score', 'sentiment_ma3', 'sentiment_ma7',</w:t>
        <w:br/>
        <w:t xml:space="preserve">    'sentiment_std3', 'movement_lag1', 'movement_lag2',</w:t>
        <w:br/>
        <w:t xml:space="preserve">    'volume_change', 'high_low_spread'</w:t>
        <w:br/>
        <w:t>]</w:t>
      </w:r>
    </w:p>
    <w:p>
      <w:pPr>
        <w:pStyle w:val="Heading1"/>
      </w:pPr>
      <w:r>
        <w:t>4. Chronological Train/Test Split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D9EAF7"/>
          </w:tcPr>
          <w:p>
            <w:r>
              <w:rPr>
                <w:b/>
              </w:rPr>
              <w:t>Split</w:t>
            </w:r>
          </w:p>
        </w:tc>
        <w:tc>
          <w:tcPr>
            <w:tcW w:type="dxa" w:w="3312"/>
            <w:shd w:fill="D9EAF7"/>
          </w:tcPr>
          <w:p>
            <w:r>
              <w:rPr>
                <w:b/>
              </w:rPr>
              <w:t>Observations</w:t>
            </w:r>
          </w:p>
        </w:tc>
        <w:tc>
          <w:tcPr>
            <w:tcW w:type="dxa" w:w="3312"/>
            <w:shd w:fill="D9EAF7"/>
          </w:tcPr>
          <w:p>
            <w:r>
              <w:rPr>
                <w:b/>
              </w:rPr>
              <w:t>Date range</w:t>
            </w:r>
          </w:p>
        </w:tc>
      </w:tr>
      <w:tr>
        <w:tc>
          <w:tcPr>
            <w:tcW w:type="dxa" w:w="3312"/>
            <w:vAlign w:val="center"/>
          </w:tcPr>
          <w:p>
            <w:r>
              <w:t>Training</w:t>
            </w:r>
          </w:p>
        </w:tc>
        <w:tc>
          <w:tcPr>
            <w:tcW w:type="dxa" w:w="3312"/>
            <w:vAlign w:val="center"/>
          </w:tcPr>
          <w:p>
            <w:r>
              <w:t>100</w:t>
            </w:r>
          </w:p>
        </w:tc>
        <w:tc>
          <w:tcPr>
            <w:tcW w:type="dxa" w:w="3312"/>
            <w:vAlign w:val="center"/>
          </w:tcPr>
          <w:p>
            <w:r>
              <w:t>2025-02-17 to 2025-07-15</w:t>
            </w:r>
          </w:p>
        </w:tc>
      </w:tr>
      <w:tr>
        <w:tc>
          <w:tcPr>
            <w:tcW w:type="dxa" w:w="3312"/>
            <w:vAlign w:val="center"/>
          </w:tcPr>
          <w:p>
            <w:r>
              <w:t>Test</w:t>
            </w:r>
          </w:p>
        </w:tc>
        <w:tc>
          <w:tcPr>
            <w:tcW w:type="dxa" w:w="3312"/>
            <w:vAlign w:val="center"/>
          </w:tcPr>
          <w:p>
            <w:r>
              <w:t>25</w:t>
            </w:r>
          </w:p>
        </w:tc>
        <w:tc>
          <w:tcPr>
            <w:tcW w:type="dxa" w:w="3312"/>
            <w:vAlign w:val="center"/>
          </w:tcPr>
          <w:p>
            <w:r>
              <w:t>2025-07-16 to 2025-08-20</w:t>
            </w:r>
          </w:p>
        </w:tc>
      </w:tr>
    </w:tbl>
    <w:p>
      <w:r>
        <w:t>An 80/20 chronological split was used. No random shuffling was used.</w:t>
      </w:r>
    </w:p>
    <w:p>
      <w:pPr>
        <w:pStyle w:val="CodeBlock"/>
        <w:ind w:left="360"/>
      </w:pPr>
      <w:r>
        <w:t>split_idx = int(len(ml_df) * 0.8)</w:t>
        <w:br/>
        <w:t>X_train, X_test = X.iloc[:split_idx], X.iloc[split_idx:]</w:t>
        <w:br/>
        <w:t>y_train, y_test = y.iloc[:split_idx], y.iloc[split_idx:]</w:t>
      </w:r>
    </w:p>
    <w:p>
      <w:pPr>
        <w:pStyle w:val="Heading1"/>
      </w:pPr>
      <w:r>
        <w:t>5. Majority-Class Baseline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D9EAF7"/>
          </w:tcPr>
          <w:p>
            <w:r>
              <w:rPr>
                <w:b/>
              </w:rPr>
              <w:t>Test class</w:t>
            </w:r>
          </w:p>
        </w:tc>
        <w:tc>
          <w:tcPr>
            <w:tcW w:type="dxa" w:w="4968"/>
            <w:shd w:fill="D9EAF7"/>
          </w:tcPr>
          <w:p>
            <w:r>
              <w:rPr>
                <w:b/>
              </w:rPr>
              <w:t>Count</w:t>
            </w:r>
          </w:p>
        </w:tc>
      </w:tr>
      <w:tr>
        <w:tc>
          <w:tcPr>
            <w:tcW w:type="dxa" w:w="4968"/>
            <w:vAlign w:val="center"/>
          </w:tcPr>
          <w:p>
            <w:r>
              <w:t>0</w:t>
            </w:r>
          </w:p>
        </w:tc>
        <w:tc>
          <w:tcPr>
            <w:tcW w:type="dxa" w:w="4968"/>
            <w:vAlign w:val="center"/>
          </w:tcPr>
          <w:p>
            <w:r>
              <w:t>14</w:t>
            </w:r>
          </w:p>
        </w:tc>
      </w:tr>
      <w:tr>
        <w:tc>
          <w:tcPr>
            <w:tcW w:type="dxa" w:w="4968"/>
            <w:vAlign w:val="center"/>
          </w:tcPr>
          <w:p>
            <w:r>
              <w:t>1</w:t>
            </w:r>
          </w:p>
        </w:tc>
        <w:tc>
          <w:tcPr>
            <w:tcW w:type="dxa" w:w="4968"/>
            <w:vAlign w:val="center"/>
          </w:tcPr>
          <w:p>
            <w:r>
              <w:t>11</w:t>
            </w:r>
          </w:p>
        </w:tc>
      </w:tr>
    </w:tbl>
    <w:p>
      <w:r>
        <w:t>The majority-class baseline is 14/25 = 56.0%. This is the minimum benchmark that the ML models should be compared against.</w:t>
      </w:r>
    </w:p>
    <w:p>
      <w:pPr>
        <w:pStyle w:val="Heading1"/>
      </w:pPr>
      <w:r>
        <w:t>6. Model Training and Evaluation</w:t>
      </w:r>
    </w:p>
    <w:p>
      <w:pPr>
        <w:pStyle w:val="Heading2"/>
      </w:pPr>
      <w:r>
        <w:t>6.1 Logistic Regression</w:t>
      </w:r>
    </w:p>
    <w:p>
      <w:r>
        <w:t>The numerical features were standardized using StandardScaler. The scaler was fitted only on the training data and then applied to the test data.</w:t>
      </w:r>
    </w:p>
    <w:p>
      <w:pPr>
        <w:pStyle w:val="CodeBlock"/>
        <w:ind w:left="360"/>
      </w:pPr>
      <w:r>
        <w:t>scaler = StandardScaler()</w:t>
        <w:br/>
        <w:t>X_train_scaled = scaler.fit_transform(X_train)</w:t>
        <w:br/>
        <w:t>X_test_scaled = scaler.transform(X_test)</w:t>
        <w:br/>
        <w:t>log_reg = LogisticRegression(max_iter=1000)</w:t>
      </w:r>
    </w:p>
    <w:p>
      <w:r>
        <w:t>Test accuracy: 44.0%.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shd w:fill="D9EAF7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1987"/>
            <w:shd w:fill="D9EAF7"/>
          </w:tcPr>
          <w:p>
            <w:r>
              <w:rPr>
                <w:b/>
              </w:rPr>
              <w:t>Precision</w:t>
            </w:r>
          </w:p>
        </w:tc>
        <w:tc>
          <w:tcPr>
            <w:tcW w:type="dxa" w:w="1987"/>
            <w:shd w:fill="D9EAF7"/>
          </w:tcPr>
          <w:p>
            <w:r>
              <w:rPr>
                <w:b/>
              </w:rPr>
              <w:t>Recall</w:t>
            </w:r>
          </w:p>
        </w:tc>
        <w:tc>
          <w:tcPr>
            <w:tcW w:type="dxa" w:w="1987"/>
            <w:shd w:fill="D9EAF7"/>
          </w:tcPr>
          <w:p>
            <w:r>
              <w:rPr>
                <w:b/>
              </w:rPr>
              <w:t>F1</w:t>
            </w:r>
          </w:p>
        </w:tc>
        <w:tc>
          <w:tcPr>
            <w:tcW w:type="dxa" w:w="1987"/>
            <w:shd w:fill="D9EAF7"/>
          </w:tcPr>
          <w:p>
            <w:r>
              <w:rPr>
                <w:b/>
              </w:rPr>
              <w:t>Support</w:t>
            </w:r>
          </w:p>
        </w:tc>
      </w:tr>
      <w:tr>
        <w:tc>
          <w:tcPr>
            <w:tcW w:type="dxa" w:w="1987"/>
            <w:vAlign w:val="center"/>
          </w:tcPr>
          <w:p>
            <w:r>
              <w:t>0</w:t>
            </w:r>
          </w:p>
        </w:tc>
        <w:tc>
          <w:tcPr>
            <w:tcW w:type="dxa" w:w="1987"/>
            <w:vAlign w:val="center"/>
          </w:tcPr>
          <w:p>
            <w:r>
              <w:t>0.50</w:t>
            </w:r>
          </w:p>
        </w:tc>
        <w:tc>
          <w:tcPr>
            <w:tcW w:type="dxa" w:w="1987"/>
            <w:vAlign w:val="center"/>
          </w:tcPr>
          <w:p>
            <w:r>
              <w:t>0.43</w:t>
            </w:r>
          </w:p>
        </w:tc>
        <w:tc>
          <w:tcPr>
            <w:tcW w:type="dxa" w:w="1987"/>
            <w:vAlign w:val="center"/>
          </w:tcPr>
          <w:p>
            <w:r>
              <w:t>0.46</w:t>
            </w:r>
          </w:p>
        </w:tc>
        <w:tc>
          <w:tcPr>
            <w:tcW w:type="dxa" w:w="1987"/>
            <w:vAlign w:val="center"/>
          </w:tcPr>
          <w:p>
            <w:r>
              <w:t>14</w:t>
            </w:r>
          </w:p>
        </w:tc>
      </w:tr>
      <w:tr>
        <w:tc>
          <w:tcPr>
            <w:tcW w:type="dxa" w:w="1987"/>
            <w:vAlign w:val="center"/>
          </w:tcPr>
          <w:p>
            <w:r>
              <w:t>1</w:t>
            </w:r>
          </w:p>
        </w:tc>
        <w:tc>
          <w:tcPr>
            <w:tcW w:type="dxa" w:w="1987"/>
            <w:vAlign w:val="center"/>
          </w:tcPr>
          <w:p>
            <w:r>
              <w:t>0.38</w:t>
            </w:r>
          </w:p>
        </w:tc>
        <w:tc>
          <w:tcPr>
            <w:tcW w:type="dxa" w:w="1987"/>
            <w:vAlign w:val="center"/>
          </w:tcPr>
          <w:p>
            <w:r>
              <w:t>0.45</w:t>
            </w:r>
          </w:p>
        </w:tc>
        <w:tc>
          <w:tcPr>
            <w:tcW w:type="dxa" w:w="1987"/>
            <w:vAlign w:val="center"/>
          </w:tcPr>
          <w:p>
            <w:r>
              <w:t>0.42</w:t>
            </w:r>
          </w:p>
        </w:tc>
        <w:tc>
          <w:tcPr>
            <w:tcW w:type="dxa" w:w="1987"/>
            <w:vAlign w:val="center"/>
          </w:tcPr>
          <w:p>
            <w:r>
              <w:t>11</w:t>
            </w:r>
          </w:p>
        </w:tc>
      </w:tr>
    </w:tbl>
    <w:p>
      <w:r>
        <w:t>Confusion matrix: TN = 6, FP = 8, FN = 6, TP = 5.</w:t>
      </w:r>
    </w:p>
    <w:p>
      <w:pPr>
        <w:pStyle w:val="Heading2"/>
      </w:pPr>
      <w:r>
        <w:t>6.2 Random Forest</w:t>
      </w:r>
    </w:p>
    <w:p>
      <w:r>
        <w:t>The initial Random Forest used 300 trees, maximum depth 5, minimum leaf size 10, and random_state 42.</w:t>
      </w:r>
    </w:p>
    <w:p>
      <w:pPr>
        <w:pStyle w:val="CodeBlock"/>
        <w:ind w:left="360"/>
      </w:pPr>
      <w:r>
        <w:t>RandomForestClassifier(</w:t>
        <w:br/>
        <w:t xml:space="preserve">    n_estimators=300,</w:t>
        <w:br/>
        <w:t xml:space="preserve">    max_depth=5,</w:t>
        <w:br/>
        <w:t xml:space="preserve">    min_samples_leaf=10,</w:t>
        <w:br/>
        <w:t xml:space="preserve">    random_state=42</w:t>
        <w:br/>
        <w:t>)</w:t>
      </w:r>
    </w:p>
    <w:p>
      <w:r>
        <w:t>Test accuracy: 52.0%.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shd w:fill="D9EAF7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1987"/>
            <w:shd w:fill="D9EAF7"/>
          </w:tcPr>
          <w:p>
            <w:r>
              <w:rPr>
                <w:b/>
              </w:rPr>
              <w:t>Precision</w:t>
            </w:r>
          </w:p>
        </w:tc>
        <w:tc>
          <w:tcPr>
            <w:tcW w:type="dxa" w:w="1987"/>
            <w:shd w:fill="D9EAF7"/>
          </w:tcPr>
          <w:p>
            <w:r>
              <w:rPr>
                <w:b/>
              </w:rPr>
              <w:t>Recall</w:t>
            </w:r>
          </w:p>
        </w:tc>
        <w:tc>
          <w:tcPr>
            <w:tcW w:type="dxa" w:w="1987"/>
            <w:shd w:fill="D9EAF7"/>
          </w:tcPr>
          <w:p>
            <w:r>
              <w:rPr>
                <w:b/>
              </w:rPr>
              <w:t>F1</w:t>
            </w:r>
          </w:p>
        </w:tc>
        <w:tc>
          <w:tcPr>
            <w:tcW w:type="dxa" w:w="1987"/>
            <w:shd w:fill="D9EAF7"/>
          </w:tcPr>
          <w:p>
            <w:r>
              <w:rPr>
                <w:b/>
              </w:rPr>
              <w:t>Support</w:t>
            </w:r>
          </w:p>
        </w:tc>
      </w:tr>
      <w:tr>
        <w:tc>
          <w:tcPr>
            <w:tcW w:type="dxa" w:w="1987"/>
            <w:vAlign w:val="center"/>
          </w:tcPr>
          <w:p>
            <w:r>
              <w:t>0</w:t>
            </w:r>
          </w:p>
        </w:tc>
        <w:tc>
          <w:tcPr>
            <w:tcW w:type="dxa" w:w="1987"/>
            <w:vAlign w:val="center"/>
          </w:tcPr>
          <w:p>
            <w:r>
              <w:t>0.58</w:t>
            </w:r>
          </w:p>
        </w:tc>
        <w:tc>
          <w:tcPr>
            <w:tcW w:type="dxa" w:w="1987"/>
            <w:vAlign w:val="center"/>
          </w:tcPr>
          <w:p>
            <w:r>
              <w:t>0.50</w:t>
            </w:r>
          </w:p>
        </w:tc>
        <w:tc>
          <w:tcPr>
            <w:tcW w:type="dxa" w:w="1987"/>
            <w:vAlign w:val="center"/>
          </w:tcPr>
          <w:p>
            <w:r>
              <w:t>0.54</w:t>
            </w:r>
          </w:p>
        </w:tc>
        <w:tc>
          <w:tcPr>
            <w:tcW w:type="dxa" w:w="1987"/>
            <w:vAlign w:val="center"/>
          </w:tcPr>
          <w:p>
            <w:r>
              <w:t>14</w:t>
            </w:r>
          </w:p>
        </w:tc>
      </w:tr>
      <w:tr>
        <w:tc>
          <w:tcPr>
            <w:tcW w:type="dxa" w:w="1987"/>
            <w:vAlign w:val="center"/>
          </w:tcPr>
          <w:p>
            <w:r>
              <w:t>1</w:t>
            </w:r>
          </w:p>
        </w:tc>
        <w:tc>
          <w:tcPr>
            <w:tcW w:type="dxa" w:w="1987"/>
            <w:vAlign w:val="center"/>
          </w:tcPr>
          <w:p>
            <w:r>
              <w:t>0.46</w:t>
            </w:r>
          </w:p>
        </w:tc>
        <w:tc>
          <w:tcPr>
            <w:tcW w:type="dxa" w:w="1987"/>
            <w:vAlign w:val="center"/>
          </w:tcPr>
          <w:p>
            <w:r>
              <w:t>0.55</w:t>
            </w:r>
          </w:p>
        </w:tc>
        <w:tc>
          <w:tcPr>
            <w:tcW w:type="dxa" w:w="1987"/>
            <w:vAlign w:val="center"/>
          </w:tcPr>
          <w:p>
            <w:r>
              <w:t>0.50</w:t>
            </w:r>
          </w:p>
        </w:tc>
        <w:tc>
          <w:tcPr>
            <w:tcW w:type="dxa" w:w="1987"/>
            <w:vAlign w:val="center"/>
          </w:tcPr>
          <w:p>
            <w:r>
              <w:t>11</w:t>
            </w:r>
          </w:p>
        </w:tc>
      </w:tr>
    </w:tbl>
    <w:p>
      <w:r>
        <w:t>Confusion matrix: TN = 7, FP = 7, FN = 5, TP = 6.</w:t>
      </w:r>
    </w:p>
    <w:p>
      <w:pPr>
        <w:pStyle w:val="Heading2"/>
      </w:pPr>
      <w:r>
        <w:t>6.3 XGBoost</w:t>
      </w:r>
    </w:p>
    <w:p>
      <w:r>
        <w:t>XGBoost 3.4.1 was installed in the project virtual environment and trained with the guidebook configuration.</w:t>
      </w:r>
    </w:p>
    <w:p>
      <w:pPr>
        <w:pStyle w:val="CodeBlock"/>
        <w:ind w:left="360"/>
      </w:pPr>
      <w:r>
        <w:t>XGBClassifier(</w:t>
        <w:br/>
        <w:t xml:space="preserve">    n_estimators=200, max_depth=3, learning_rate=0.05,</w:t>
        <w:br/>
        <w:t xml:space="preserve">    subsample=0.8, colsample_bytree=0.8,</w:t>
        <w:br/>
        <w:t xml:space="preserve">    eval_metric='logloss', random_state=42</w:t>
        <w:br/>
        <w:t>)</w:t>
      </w:r>
    </w:p>
    <w:p>
      <w:r>
        <w:t>Test accuracy: 40.0%.</w:t>
      </w:r>
    </w:p>
    <w:p>
      <w:pPr>
        <w:pStyle w:val="Heading1"/>
      </w:pPr>
      <w:r>
        <w:t>7. Time-Aware Random Forest Tuning</w:t>
      </w:r>
    </w:p>
    <w:p>
      <w:r>
        <w:t>Random Forest hyperparameters were tuned with five time-ordered folds rather than shuffled cross-validation.</w:t>
      </w:r>
    </w:p>
    <w:p>
      <w:pPr>
        <w:pStyle w:val="CodeBlock"/>
        <w:ind w:left="360"/>
      </w:pPr>
      <w:r>
        <w:t>tscv = TimeSeriesSplit(n_splits=5)</w:t>
        <w:br/>
        <w:t>param_grid = {</w:t>
        <w:br/>
        <w:t xml:space="preserve">    'n_estimators': [100, 200, 300],</w:t>
        <w:br/>
        <w:t xml:space="preserve">    'max_depth': [3, 5, 7],</w:t>
        <w:br/>
        <w:t xml:space="preserve">    'min_samples_leaf': [5, 10, 20]</w:t>
        <w:br/>
        <w:t>}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D9EAF7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4968"/>
            <w:shd w:fill="D9EAF7"/>
          </w:tcPr>
          <w:p>
            <w:r>
              <w:rPr>
                <w:b/>
              </w:rPr>
              <w:t>Best value</w:t>
            </w:r>
          </w:p>
        </w:tc>
      </w:tr>
      <w:tr>
        <w:tc>
          <w:tcPr>
            <w:tcW w:type="dxa" w:w="4968"/>
            <w:vAlign w:val="center"/>
          </w:tcPr>
          <w:p>
            <w:r>
              <w:t>n_estimators</w:t>
            </w:r>
          </w:p>
        </w:tc>
        <w:tc>
          <w:tcPr>
            <w:tcW w:type="dxa" w:w="4968"/>
            <w:vAlign w:val="center"/>
          </w:tcPr>
          <w:p>
            <w:r>
              <w:t>100</w:t>
            </w:r>
          </w:p>
        </w:tc>
      </w:tr>
      <w:tr>
        <w:tc>
          <w:tcPr>
            <w:tcW w:type="dxa" w:w="4968"/>
            <w:vAlign w:val="center"/>
          </w:tcPr>
          <w:p>
            <w:r>
              <w:t>max_depth</w:t>
            </w:r>
          </w:p>
        </w:tc>
        <w:tc>
          <w:tcPr>
            <w:tcW w:type="dxa" w:w="4968"/>
            <w:vAlign w:val="center"/>
          </w:tcPr>
          <w:p>
            <w:r>
              <w:t>3</w:t>
            </w:r>
          </w:p>
        </w:tc>
      </w:tr>
      <w:tr>
        <w:tc>
          <w:tcPr>
            <w:tcW w:type="dxa" w:w="4968"/>
            <w:vAlign w:val="center"/>
          </w:tcPr>
          <w:p>
            <w:r>
              <w:t>min_samples_leaf</w:t>
            </w:r>
          </w:p>
        </w:tc>
        <w:tc>
          <w:tcPr>
            <w:tcW w:type="dxa" w:w="4968"/>
            <w:vAlign w:val="center"/>
          </w:tcPr>
          <w:p>
            <w:r>
              <w:t>20</w:t>
            </w:r>
          </w:p>
        </w:tc>
      </w:tr>
    </w:tbl>
    <w:p>
      <w:r>
        <w:t>Best time-series cross-validation accuracy: 51.25%.</w:t>
      </w:r>
    </w:p>
    <w:p>
      <w:r>
        <w:t>Held-out test accuracy: 44.0%. The tuned model did not improve over the initial Random Forest.</w:t>
      </w:r>
    </w:p>
    <w:p>
      <w:pPr>
        <w:pStyle w:val="Heading1"/>
      </w:pPr>
      <w:r>
        <w:t>8. Final Model Comparison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D9EAF7"/>
          </w:tcPr>
          <w:p>
            <w:r>
              <w:rPr>
                <w:b/>
              </w:rPr>
              <w:t>Model / Benchmark</w:t>
            </w:r>
          </w:p>
        </w:tc>
        <w:tc>
          <w:tcPr>
            <w:tcW w:type="dxa" w:w="3312"/>
            <w:shd w:fill="D9EAF7"/>
          </w:tcPr>
          <w:p>
            <w:r>
              <w:rPr>
                <w:b/>
              </w:rPr>
              <w:t>Test accuracy</w:t>
            </w:r>
          </w:p>
        </w:tc>
        <w:tc>
          <w:tcPr>
            <w:tcW w:type="dxa" w:w="3312"/>
            <w:shd w:fill="D9EAF7"/>
          </w:tcPr>
          <w:p>
            <w:r>
              <w:rPr>
                <w:b/>
              </w:rPr>
              <w:t>Difference vs. baseline</w:t>
            </w:r>
          </w:p>
        </w:tc>
      </w:tr>
      <w:tr>
        <w:tc>
          <w:tcPr>
            <w:tcW w:type="dxa" w:w="3312"/>
            <w:vAlign w:val="center"/>
          </w:tcPr>
          <w:p>
            <w:r>
              <w:t>Majority baseline</w:t>
            </w:r>
          </w:p>
        </w:tc>
        <w:tc>
          <w:tcPr>
            <w:tcW w:type="dxa" w:w="3312"/>
            <w:vAlign w:val="center"/>
          </w:tcPr>
          <w:p>
            <w:r>
              <w:t>56.0%</w:t>
            </w:r>
          </w:p>
        </w:tc>
        <w:tc>
          <w:tcPr>
            <w:tcW w:type="dxa" w:w="3312"/>
            <w:vAlign w:val="center"/>
          </w:tcPr>
          <w:p>
            <w:r>
              <w:t>—</w:t>
            </w:r>
          </w:p>
        </w:tc>
      </w:tr>
      <w:tr>
        <w:tc>
          <w:tcPr>
            <w:tcW w:type="dxa" w:w="3312"/>
            <w:vAlign w:val="center"/>
          </w:tcPr>
          <w:p>
            <w:r>
              <w:t>Logistic Regression</w:t>
            </w:r>
          </w:p>
        </w:tc>
        <w:tc>
          <w:tcPr>
            <w:tcW w:type="dxa" w:w="3312"/>
            <w:vAlign w:val="center"/>
          </w:tcPr>
          <w:p>
            <w:r>
              <w:t>44.0%</w:t>
            </w:r>
          </w:p>
        </w:tc>
        <w:tc>
          <w:tcPr>
            <w:tcW w:type="dxa" w:w="3312"/>
            <w:vAlign w:val="center"/>
          </w:tcPr>
          <w:p>
            <w:r>
              <w:t>-12.0 pp</w:t>
            </w:r>
          </w:p>
        </w:tc>
      </w:tr>
      <w:tr>
        <w:tc>
          <w:tcPr>
            <w:tcW w:type="dxa" w:w="3312"/>
            <w:vAlign w:val="center"/>
          </w:tcPr>
          <w:p>
            <w:r>
              <w:t>Random Forest</w:t>
            </w:r>
          </w:p>
        </w:tc>
        <w:tc>
          <w:tcPr>
            <w:tcW w:type="dxa" w:w="3312"/>
            <w:vAlign w:val="center"/>
          </w:tcPr>
          <w:p>
            <w:r>
              <w:t>52.0%</w:t>
            </w:r>
          </w:p>
        </w:tc>
        <w:tc>
          <w:tcPr>
            <w:tcW w:type="dxa" w:w="3312"/>
            <w:vAlign w:val="center"/>
          </w:tcPr>
          <w:p>
            <w:r>
              <w:t>-4.0 pp</w:t>
            </w:r>
          </w:p>
        </w:tc>
      </w:tr>
      <w:tr>
        <w:tc>
          <w:tcPr>
            <w:tcW w:type="dxa" w:w="3312"/>
            <w:vAlign w:val="center"/>
          </w:tcPr>
          <w:p>
            <w:r>
              <w:t>Tuned Random Forest</w:t>
            </w:r>
          </w:p>
        </w:tc>
        <w:tc>
          <w:tcPr>
            <w:tcW w:type="dxa" w:w="3312"/>
            <w:vAlign w:val="center"/>
          </w:tcPr>
          <w:p>
            <w:r>
              <w:t>44.0%</w:t>
            </w:r>
          </w:p>
        </w:tc>
        <w:tc>
          <w:tcPr>
            <w:tcW w:type="dxa" w:w="3312"/>
            <w:vAlign w:val="center"/>
          </w:tcPr>
          <w:p>
            <w:r>
              <w:t>-12.0 pp</w:t>
            </w:r>
          </w:p>
        </w:tc>
      </w:tr>
      <w:tr>
        <w:tc>
          <w:tcPr>
            <w:tcW w:type="dxa" w:w="3312"/>
            <w:vAlign w:val="center"/>
          </w:tcPr>
          <w:p>
            <w:r>
              <w:t>XGBoost</w:t>
            </w:r>
          </w:p>
        </w:tc>
        <w:tc>
          <w:tcPr>
            <w:tcW w:type="dxa" w:w="3312"/>
            <w:vAlign w:val="center"/>
          </w:tcPr>
          <w:p>
            <w:r>
              <w:t>40.0%</w:t>
            </w:r>
          </w:p>
        </w:tc>
        <w:tc>
          <w:tcPr>
            <w:tcW w:type="dxa" w:w="3312"/>
            <w:vAlign w:val="center"/>
          </w:tcPr>
          <w:p>
            <w:r>
              <w:t>-16.0 pp</w:t>
            </w:r>
          </w:p>
        </w:tc>
      </w:tr>
    </w:tbl>
    <w:p>
      <w:r>
        <w:t>The best ML model by test accuracy was the initial Random Forest at 52.0%, but it still did not exceed the 56.0% majority-class baseline.</w:t>
      </w:r>
    </w:p>
    <w:p>
      <w:pPr>
        <w:pStyle w:val="Heading1"/>
      </w:pPr>
      <w:r>
        <w:t>9. Tuned Random Forest Confusion Matrix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D9EAF7"/>
          </w:tcPr>
          <w:p>
            <w:r>
              <w:rPr>
                <w:b/>
              </w:rPr>
            </w:r>
          </w:p>
        </w:tc>
        <w:tc>
          <w:tcPr>
            <w:tcW w:type="dxa" w:w="3312"/>
            <w:shd w:fill="D9EAF7"/>
          </w:tcPr>
          <w:p>
            <w:r>
              <w:rPr>
                <w:b/>
              </w:rPr>
              <w:t>Predicted Down</w:t>
            </w:r>
          </w:p>
        </w:tc>
        <w:tc>
          <w:tcPr>
            <w:tcW w:type="dxa" w:w="3312"/>
            <w:shd w:fill="D9EAF7"/>
          </w:tcPr>
          <w:p>
            <w:r>
              <w:rPr>
                <w:b/>
              </w:rPr>
              <w:t>Predicted Up</w:t>
            </w:r>
          </w:p>
        </w:tc>
      </w:tr>
      <w:tr>
        <w:tc>
          <w:tcPr>
            <w:tcW w:type="dxa" w:w="3312"/>
            <w:vAlign w:val="center"/>
          </w:tcPr>
          <w:p>
            <w:r>
              <w:t>Actual Down</w:t>
            </w:r>
          </w:p>
        </w:tc>
        <w:tc>
          <w:tcPr>
            <w:tcW w:type="dxa" w:w="3312"/>
            <w:vAlign w:val="center"/>
          </w:tcPr>
          <w:p>
            <w:r>
              <w:t>5</w:t>
            </w:r>
          </w:p>
        </w:tc>
        <w:tc>
          <w:tcPr>
            <w:tcW w:type="dxa" w:w="3312"/>
            <w:vAlign w:val="center"/>
          </w:tcPr>
          <w:p>
            <w:r>
              <w:t>9</w:t>
            </w:r>
          </w:p>
        </w:tc>
      </w:tr>
      <w:tr>
        <w:tc>
          <w:tcPr>
            <w:tcW w:type="dxa" w:w="3312"/>
            <w:vAlign w:val="center"/>
          </w:tcPr>
          <w:p>
            <w:r>
              <w:t>Actual Up</w:t>
            </w:r>
          </w:p>
        </w:tc>
        <w:tc>
          <w:tcPr>
            <w:tcW w:type="dxa" w:w="3312"/>
            <w:vAlign w:val="center"/>
          </w:tcPr>
          <w:p>
            <w:r>
              <w:t>5</w:t>
            </w:r>
          </w:p>
        </w:tc>
        <w:tc>
          <w:tcPr>
            <w:tcW w:type="dxa" w:w="3312"/>
            <w:vAlign w:val="center"/>
          </w:tcPr>
          <w:p>
            <w:r>
              <w:t>6</w:t>
            </w:r>
          </w:p>
        </w:tc>
      </w:tr>
    </w:tbl>
    <w:p>
      <w:r>
        <w:t>The tuned model correctly classified 11 of 25 test observations, producing 44.0% accuracy. It generated nine false positives.</w:t>
      </w:r>
    </w:p>
    <w:p>
      <w:pPr>
        <w:pStyle w:val="Heading1"/>
      </w:pPr>
      <w:r>
        <w:t>10. Backtesting vs. NIFTY50 Buy-and-Hold</w:t>
      </w:r>
    </w:p>
    <w:p>
      <w:r>
        <w:t>The tuned Random Forest was used for an illustrative long-or-cash strategy: predicted Up (1) means invest for the next trading day; predicted Down (0) means stay in cash.</w:t>
      </w:r>
    </w:p>
    <w:p>
      <w:r>
        <w:t>Because the ML target dataset ends on 20-Aug-2025, the original final dataset was used to obtain the 21-Aug closing price for evaluating the final available prediction.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D9EAF7"/>
          </w:tcPr>
          <w:p>
            <w:r>
              <w:rPr>
                <w:b/>
              </w:rPr>
              <w:t>Strategy</w:t>
            </w:r>
          </w:p>
        </w:tc>
        <w:tc>
          <w:tcPr>
            <w:tcW w:type="dxa" w:w="3312"/>
            <w:shd w:fill="D9EAF7"/>
          </w:tcPr>
          <w:p>
            <w:r>
              <w:rPr>
                <w:b/>
              </w:rPr>
              <w:t>Final value from ₹1</w:t>
            </w:r>
          </w:p>
        </w:tc>
        <w:tc>
          <w:tcPr>
            <w:tcW w:type="dxa" w:w="3312"/>
            <w:shd w:fill="D9EAF7"/>
          </w:tcPr>
          <w:p>
            <w:r>
              <w:rPr>
                <w:b/>
              </w:rPr>
              <w:t>Total return</w:t>
            </w:r>
          </w:p>
        </w:tc>
      </w:tr>
      <w:tr>
        <w:tc>
          <w:tcPr>
            <w:tcW w:type="dxa" w:w="3312"/>
            <w:vAlign w:val="center"/>
          </w:tcPr>
          <w:p>
            <w:r>
              <w:t>Tuned Random Forest strategy</w:t>
            </w:r>
          </w:p>
        </w:tc>
        <w:tc>
          <w:tcPr>
            <w:tcW w:type="dxa" w:w="3312"/>
            <w:vAlign w:val="center"/>
          </w:tcPr>
          <w:p>
            <w:r>
              <w:t>0.992338</w:t>
            </w:r>
          </w:p>
        </w:tc>
        <w:tc>
          <w:tcPr>
            <w:tcW w:type="dxa" w:w="3312"/>
            <w:vAlign w:val="center"/>
          </w:tcPr>
          <w:p>
            <w:r>
              <w:t>-0.7662%</w:t>
            </w:r>
          </w:p>
        </w:tc>
      </w:tr>
      <w:tr>
        <w:tc>
          <w:tcPr>
            <w:tcW w:type="dxa" w:w="3312"/>
            <w:vAlign w:val="center"/>
          </w:tcPr>
          <w:p>
            <w:r>
              <w:t>NIFTY50 buy-and-hold</w:t>
            </w:r>
          </w:p>
        </w:tc>
        <w:tc>
          <w:tcPr>
            <w:tcW w:type="dxa" w:w="3312"/>
            <w:vAlign w:val="center"/>
          </w:tcPr>
          <w:p>
            <w:r>
              <w:t>0.994911</w:t>
            </w:r>
          </w:p>
        </w:tc>
        <w:tc>
          <w:tcPr>
            <w:tcW w:type="dxa" w:w="3312"/>
            <w:vAlign w:val="center"/>
          </w:tcPr>
          <w:p>
            <w:r>
              <w:t>-0.5089%</w:t>
            </w:r>
          </w:p>
        </w:tc>
      </w:tr>
    </w:tbl>
    <w:p>
      <w:r>
        <w:t>The model strategy underperformed buy-and-hold by approximately 0.2573 percentage points. Transaction costs, slippage, and taxes were not included; the backtest is illustrative, not a trading signal.</w:t>
      </w:r>
    </w:p>
    <w:p>
      <w:pPr>
        <w:pStyle w:val="Heading1"/>
      </w:pPr>
      <w:r>
        <w:t>11. Feature Importance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D9EAF7"/>
          </w:tcPr>
          <w:p>
            <w:r>
              <w:rPr>
                <w:b/>
              </w:rPr>
              <w:t>Rank</w:t>
            </w:r>
          </w:p>
        </w:tc>
        <w:tc>
          <w:tcPr>
            <w:tcW w:type="dxa" w:w="3312"/>
            <w:shd w:fill="D9EAF7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3312"/>
            <w:shd w:fill="D9EAF7"/>
          </w:tcPr>
          <w:p>
            <w:r>
              <w:rPr>
                <w:b/>
              </w:rPr>
              <w:t>Importance</w:t>
            </w:r>
          </w:p>
        </w:tc>
      </w:tr>
      <w:tr>
        <w:tc>
          <w:tcPr>
            <w:tcW w:type="dxa" w:w="3312"/>
            <w:vAlign w:val="center"/>
          </w:tcPr>
          <w:p>
            <w:r>
              <w:t>1</w:t>
            </w:r>
          </w:p>
        </w:tc>
        <w:tc>
          <w:tcPr>
            <w:tcW w:type="dxa" w:w="3312"/>
            <w:vAlign w:val="center"/>
          </w:tcPr>
          <w:p>
            <w:r>
              <w:t>movement_lag1</w:t>
            </w:r>
          </w:p>
        </w:tc>
        <w:tc>
          <w:tcPr>
            <w:tcW w:type="dxa" w:w="3312"/>
            <w:vAlign w:val="center"/>
          </w:tcPr>
          <w:p>
            <w:r>
              <w:t>0.182939</w:t>
            </w:r>
          </w:p>
        </w:tc>
      </w:tr>
      <w:tr>
        <w:tc>
          <w:tcPr>
            <w:tcW w:type="dxa" w:w="3312"/>
            <w:vAlign w:val="center"/>
          </w:tcPr>
          <w:p>
            <w:r>
              <w:t>2</w:t>
            </w:r>
          </w:p>
        </w:tc>
        <w:tc>
          <w:tcPr>
            <w:tcW w:type="dxa" w:w="3312"/>
            <w:vAlign w:val="center"/>
          </w:tcPr>
          <w:p>
            <w:r>
              <w:t>sentiment_ma7</w:t>
            </w:r>
          </w:p>
        </w:tc>
        <w:tc>
          <w:tcPr>
            <w:tcW w:type="dxa" w:w="3312"/>
            <w:vAlign w:val="center"/>
          </w:tcPr>
          <w:p>
            <w:r>
              <w:t>0.174181</w:t>
            </w:r>
          </w:p>
        </w:tc>
      </w:tr>
      <w:tr>
        <w:tc>
          <w:tcPr>
            <w:tcW w:type="dxa" w:w="3312"/>
            <w:vAlign w:val="center"/>
          </w:tcPr>
          <w:p>
            <w:r>
              <w:t>3</w:t>
            </w:r>
          </w:p>
        </w:tc>
        <w:tc>
          <w:tcPr>
            <w:tcW w:type="dxa" w:w="3312"/>
            <w:vAlign w:val="center"/>
          </w:tcPr>
          <w:p>
            <w:r>
              <w:t>high_low_spread</w:t>
            </w:r>
          </w:p>
        </w:tc>
        <w:tc>
          <w:tcPr>
            <w:tcW w:type="dxa" w:w="3312"/>
            <w:vAlign w:val="center"/>
          </w:tcPr>
          <w:p>
            <w:r>
              <w:t>0.150965</w:t>
            </w:r>
          </w:p>
        </w:tc>
      </w:tr>
      <w:tr>
        <w:tc>
          <w:tcPr>
            <w:tcW w:type="dxa" w:w="3312"/>
            <w:vAlign w:val="center"/>
          </w:tcPr>
          <w:p>
            <w:r>
              <w:t>4</w:t>
            </w:r>
          </w:p>
        </w:tc>
        <w:tc>
          <w:tcPr>
            <w:tcW w:type="dxa" w:w="3312"/>
            <w:vAlign w:val="center"/>
          </w:tcPr>
          <w:p>
            <w:r>
              <w:t>sentiment_std3</w:t>
            </w:r>
          </w:p>
        </w:tc>
        <w:tc>
          <w:tcPr>
            <w:tcW w:type="dxa" w:w="3312"/>
            <w:vAlign w:val="center"/>
          </w:tcPr>
          <w:p>
            <w:r>
              <w:t>0.140246</w:t>
            </w:r>
          </w:p>
        </w:tc>
      </w:tr>
      <w:tr>
        <w:tc>
          <w:tcPr>
            <w:tcW w:type="dxa" w:w="3312"/>
            <w:vAlign w:val="center"/>
          </w:tcPr>
          <w:p>
            <w:r>
              <w:t>5</w:t>
            </w:r>
          </w:p>
        </w:tc>
        <w:tc>
          <w:tcPr>
            <w:tcW w:type="dxa" w:w="3312"/>
            <w:vAlign w:val="center"/>
          </w:tcPr>
          <w:p>
            <w:r>
              <w:t>sentiment_ma3</w:t>
            </w:r>
          </w:p>
        </w:tc>
        <w:tc>
          <w:tcPr>
            <w:tcW w:type="dxa" w:w="3312"/>
            <w:vAlign w:val="center"/>
          </w:tcPr>
          <w:p>
            <w:r>
              <w:t>0.113807</w:t>
            </w:r>
          </w:p>
        </w:tc>
      </w:tr>
      <w:tr>
        <w:tc>
          <w:tcPr>
            <w:tcW w:type="dxa" w:w="3312"/>
            <w:vAlign w:val="center"/>
          </w:tcPr>
          <w:p>
            <w:r>
              <w:t>6</w:t>
            </w:r>
          </w:p>
        </w:tc>
        <w:tc>
          <w:tcPr>
            <w:tcW w:type="dxa" w:w="3312"/>
            <w:vAlign w:val="center"/>
          </w:tcPr>
          <w:p>
            <w:r>
              <w:t>movement_lag2</w:t>
            </w:r>
          </w:p>
        </w:tc>
        <w:tc>
          <w:tcPr>
            <w:tcW w:type="dxa" w:w="3312"/>
            <w:vAlign w:val="center"/>
          </w:tcPr>
          <w:p>
            <w:r>
              <w:t>0.110487</w:t>
            </w:r>
          </w:p>
        </w:tc>
      </w:tr>
      <w:tr>
        <w:tc>
          <w:tcPr>
            <w:tcW w:type="dxa" w:w="3312"/>
            <w:vAlign w:val="center"/>
          </w:tcPr>
          <w:p>
            <w:r>
              <w:t>7</w:t>
            </w:r>
          </w:p>
        </w:tc>
        <w:tc>
          <w:tcPr>
            <w:tcW w:type="dxa" w:w="3312"/>
            <w:vAlign w:val="center"/>
          </w:tcPr>
          <w:p>
            <w:r>
              <w:t>sentiment_score</w:t>
            </w:r>
          </w:p>
        </w:tc>
        <w:tc>
          <w:tcPr>
            <w:tcW w:type="dxa" w:w="3312"/>
            <w:vAlign w:val="center"/>
          </w:tcPr>
          <w:p>
            <w:r>
              <w:t>0.082579</w:t>
            </w:r>
          </w:p>
        </w:tc>
      </w:tr>
      <w:tr>
        <w:tc>
          <w:tcPr>
            <w:tcW w:type="dxa" w:w="3312"/>
            <w:vAlign w:val="center"/>
          </w:tcPr>
          <w:p>
            <w:r>
              <w:t>8</w:t>
            </w:r>
          </w:p>
        </w:tc>
        <w:tc>
          <w:tcPr>
            <w:tcW w:type="dxa" w:w="3312"/>
            <w:vAlign w:val="center"/>
          </w:tcPr>
          <w:p>
            <w:r>
              <w:t>volume_change</w:t>
            </w:r>
          </w:p>
        </w:tc>
        <w:tc>
          <w:tcPr>
            <w:tcW w:type="dxa" w:w="3312"/>
            <w:vAlign w:val="center"/>
          </w:tcPr>
          <w:p>
            <w:r>
              <w:t>0.044796</w:t>
            </w:r>
          </w:p>
        </w:tc>
      </w:tr>
    </w:tbl>
    <w:p>
      <w:r>
        <w:t>The most important individual feature was movement_lag1 (18.29%), followed by sentiment_ma7 (17.42%). Raw sentiment_score ranked seventh (8.26%). The four sentiment-derived features together accounted for about 51.08% of the reported feature importance.</w:t>
      </w:r>
    </w:p>
    <w:p>
      <w:r>
        <w:t>Feature importance describes how the fitted Random Forest used the predictors; it is not causal evidence.</w:t>
      </w:r>
    </w:p>
    <w:p>
      <w:pPr>
        <w:pStyle w:val="Heading1"/>
      </w:pPr>
      <w:r>
        <w:t>12. Saved Artifacts and Reproducibility</w:t>
      </w:r>
    </w:p>
    <w:p>
      <w:r>
        <w:t>The Part B notebook was restarted from a fresh kernel and run top-to-bottom. Missing imports and cell-order dependencies found during this check were corrected before the notebook was saved.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D9EAF7"/>
          </w:tcPr>
          <w:p>
            <w:r>
              <w:rPr>
                <w:b/>
              </w:rPr>
              <w:t>Artifact</w:t>
            </w:r>
          </w:p>
        </w:tc>
        <w:tc>
          <w:tcPr>
            <w:tcW w:type="dxa" w:w="4968"/>
            <w:shd w:fill="D9EAF7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4968"/>
            <w:vAlign w:val="center"/>
          </w:tcPr>
          <w:p>
            <w:r>
              <w:t>Part B notebook (.ipynb)</w:t>
            </w:r>
          </w:p>
        </w:tc>
        <w:tc>
          <w:tcPr>
            <w:tcW w:type="dxa" w:w="4968"/>
            <w:vAlign w:val="center"/>
          </w:tcPr>
          <w:p>
            <w:r>
              <w:t>Complete analysis with outputs visible</w:t>
            </w:r>
          </w:p>
        </w:tc>
      </w:tr>
      <w:tr>
        <w:tc>
          <w:tcPr>
            <w:tcW w:type="dxa" w:w="4968"/>
            <w:vAlign w:val="center"/>
          </w:tcPr>
          <w:p>
            <w:r>
              <w:t>part_b_ml_dataset.csv</w:t>
            </w:r>
          </w:p>
        </w:tc>
        <w:tc>
          <w:tcPr>
            <w:tcW w:type="dxa" w:w="4968"/>
            <w:vAlign w:val="center"/>
          </w:tcPr>
          <w:p>
            <w:r>
              <w:t>Final ML modelling dataset</w:t>
            </w:r>
          </w:p>
        </w:tc>
      </w:tr>
      <w:tr>
        <w:tc>
          <w:tcPr>
            <w:tcW w:type="dxa" w:w="4968"/>
            <w:vAlign w:val="center"/>
          </w:tcPr>
          <w:p>
            <w:r>
              <w:t>part_b_backtest_results.csv</w:t>
            </w:r>
          </w:p>
        </w:tc>
        <w:tc>
          <w:tcPr>
            <w:tcW w:type="dxa" w:w="4968"/>
            <w:vAlign w:val="center"/>
          </w:tcPr>
          <w:p>
            <w:r>
              <w:t>Test predictions and backtest results</w:t>
            </w:r>
          </w:p>
        </w:tc>
      </w:tr>
      <w:tr>
        <w:tc>
          <w:tcPr>
            <w:tcW w:type="dxa" w:w="4968"/>
            <w:vAlign w:val="center"/>
          </w:tcPr>
          <w:p>
            <w:r>
              <w:t>part_b_model_comparison.csv</w:t>
            </w:r>
          </w:p>
        </w:tc>
        <w:tc>
          <w:tcPr>
            <w:tcW w:type="dxa" w:w="4968"/>
            <w:vAlign w:val="center"/>
          </w:tcPr>
          <w:p>
            <w:r>
              <w:t>Model/baseline accuracy comparison</w:t>
            </w:r>
          </w:p>
        </w:tc>
      </w:tr>
      <w:tr>
        <w:tc>
          <w:tcPr>
            <w:tcW w:type="dxa" w:w="4968"/>
            <w:vAlign w:val="center"/>
          </w:tcPr>
          <w:p>
            <w:r>
              <w:t>part_b_feature_importance.csv</w:t>
            </w:r>
          </w:p>
        </w:tc>
        <w:tc>
          <w:tcPr>
            <w:tcW w:type="dxa" w:w="4968"/>
            <w:vAlign w:val="center"/>
          </w:tcPr>
          <w:p>
            <w:r>
              <w:t>Feature importance table</w:t>
            </w:r>
          </w:p>
        </w:tc>
      </w:tr>
    </w:tbl>
    <w:p>
      <w:pPr>
        <w:pStyle w:val="Heading1"/>
      </w:pPr>
      <w:r>
        <w:t>13. Conclusion</w:t>
      </w:r>
    </w:p>
    <w:p>
      <w:r>
        <w:t>Part B successfully converted the rule-based sentiment analysis into a time-aware ML pipeline. The next-day target, eight engineered predictors, chronological split, multiple models, time-aware tuning, evaluation, backtesting, and feature-importance analysis were completed.</w:t>
      </w:r>
    </w:p>
    <w:p>
      <w:r>
        <w:t>On the held-out test period, none of the ML models exceeded the 56.0% majority baseline. The initial Random Forest was the strongest ML model at 52.0%, while the tuned Random Forest achieved 44.0% and its illustrative strategy returned -0.7662%, slightly below NIFTY50 buy-and-hold at -0.5089%.</w:t>
      </w:r>
    </w:p>
    <w:p>
      <w:r>
        <w:t>Overall, the results do not provide strong evidence that this small dataset supports reliable next-day NIFTY50 direction prediction. The findings should be reported honestly rather than presented as a profitable trading signal.</w:t>
      </w:r>
    </w:p>
    <w:p>
      <w:pPr>
        <w:pStyle w:val="Heading1"/>
      </w:pPr>
      <w:r>
        <w:t>14. Limitations</w:t>
      </w:r>
    </w:p>
    <w:p>
      <w:pPr>
        <w:pStyle w:val="ListBullet"/>
      </w:pPr>
      <w:r>
        <w:t>The ML dataset contains only 125 observations and the held-out test set contains only 25 observations.</w:t>
      </w:r>
    </w:p>
    <w:p>
      <w:pPr>
        <w:pStyle w:val="ListBullet"/>
      </w:pPr>
      <w:r>
        <w:t>Each test prediction changes accuracy by 4 percentage points.</w:t>
      </w:r>
    </w:p>
    <w:p>
      <w:pPr>
        <w:pStyle w:val="ListBullet"/>
      </w:pPr>
      <w:r>
        <w:t>The data covers roughly six months and may not represent other market regimes.</w:t>
      </w:r>
    </w:p>
    <w:p>
      <w:pPr>
        <w:pStyle w:val="ListBullet"/>
      </w:pPr>
      <w:r>
        <w:t>The sentiment score is based on a manually curated vocabulary rather than a full NLP model.</w:t>
      </w:r>
    </w:p>
    <w:p>
      <w:pPr>
        <w:pStyle w:val="ListBullet"/>
      </w:pPr>
      <w:r>
        <w:t>The backtest ignores transaction costs, slippage, and taxes.</w:t>
      </w:r>
    </w:p>
    <w:p>
      <w:pPr>
        <w:pStyle w:val="ListBullet"/>
      </w:pPr>
      <w:r>
        <w:t>Feature importance from one fitted Random Forest should not be treated as causal evidence.</w:t>
      </w:r>
    </w:p>
    <w:p>
      <w:pPr>
        <w:pStyle w:val="Heading1"/>
      </w:pPr>
      <w:r>
        <w:t>15. Guidebook Alignment</w:t>
      </w:r>
    </w:p>
    <w:p>
      <w:r>
        <w:t>The work follows the supplied guidebook's Part B structure: next-day target, eight features, chronological split, majority baseline, Logistic Regression, Random Forest, XGBoost, TimeSeriesSplit/GridSearchCV, confusion-matrix evaluation, illustrative backtesting, and feature importance. The guidebook requires the completed notebook with outputs visible and a 1-page written summary.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rPr>
      <w:rFonts w:ascii="Consolas" w:hAnsi="Consolas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