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38"/>
        </w:rPr>
        <w:t>Astro-Informed Lightweight Multimodal Deep Learning for Real-Time Exoplanet Transit Vetting in TESS M-Dwarf Systems</w:t>
      </w:r>
    </w:p>
    <w:p>
      <w:pPr>
        <w:spacing w:after="280"/>
        <w:jc w:val="center"/>
      </w:pPr>
      <w:r>
        <w:rPr>
          <w:rFonts w:ascii="Calibri" w:hAnsi="Calibri"/>
          <w:i/>
          <w:color w:val="555555"/>
          <w:sz w:val="24"/>
        </w:rPr>
        <w:t>Comprehensive Research Monograph &amp; Foundational Manuscript Draft</w:t>
      </w:r>
    </w:p>
    <w:p>
      <w:pPr>
        <w:spacing w:after="320"/>
        <w:jc w:val="center"/>
      </w:pPr>
      <w:r>
        <w:rPr>
          <w:rFonts w:ascii="Calibri" w:hAnsi="Calibri"/>
          <w:color w:val="666666"/>
          <w:sz w:val="19"/>
        </w:rPr>
        <w:t>Department of Computer Science &amp; Engineering | Exoplanet Transit ML Initiative</w:t>
        <w:br/>
        <w:t>Canonical Dataset: NASA TESS Objects of Interest (TOI) | Target: Active M-Dwarf Photometric Vetting</w:t>
      </w:r>
    </w:p>
    <w:p>
      <w:pPr>
        <w:pStyle w:val="Heading1"/>
        <w:keepNext/>
        <w:spacing w:before="280" w:after="80"/>
      </w:pPr>
      <w:r>
        <w:rPr>
          <w:rFonts w:ascii="Calibri" w:hAnsi="Calibri"/>
          <w:b/>
          <w:color w:val="1B365D"/>
          <w:sz w:val="32"/>
        </w:rPr>
        <w:t>Abstract</w:t>
      </w:r>
    </w:p>
    <w:p>
      <w:pPr>
        <w:spacing w:after="120" w:line="276" w:lineRule="auto"/>
      </w:pPr>
      <w:r>
        <w:rPr>
          <w:rFonts w:ascii="Calibri" w:hAnsi="Calibri"/>
          <w:b w:val="0"/>
          <w:i w:val="0"/>
          <w:color w:val="222222"/>
          <w:sz w:val="21"/>
        </w:rPr>
        <w:t xml:space="preserve">Wide-field space photometric surveys, notably NASA's Transiting Exoplanet Survey Satellite (TESS), generate hundreds of thousands of light curves that must be rapidly and accurately vetted to identify authentic planetary transit dips. The vetting bottleneck is especially severe for cool, low-mass M-dwarf systems. While M-dwarfs are premier targets for detecting Earth-sized exoplanets within circumstellar habitable zones, their intense magnetic reconnection events, violent stellar flares, and rotational starspot modulation frequently produce photometric variability that mimics genuine planetary transits. Conventional deep learning vetting systems (e.g., AstroNet, ExoMiner++) rely exclusively on raw photometric flux and utilize multi-million parameter architectures that require cloud-scale GPU clusters, precluding edge-deployment or real-time triage. </w:t>
        <w:br/>
        <w:br/>
        <w:t xml:space="preserve">In this work, we introduce an astrophysics-informed, lightweight multimodal deep learning framework designed for real-time candidate vetting on edge hardware. Our framework introduces two foundational contributions: (1) a data representation finding demonstrating that phase-grid binning combined with epoch-aligned transit center-cropping (80 bins) elevates baseline convolutional classification F1-score from 0.59 to 0.76 by suppressing uncorrelated cadence photon noise; and (2) the systematic integration of host-star astrophysical metadata (stellar effective temperature, orbital period, and stellar radius) via specialized multimodal fusion architectures. We evaluate a rigorous progression of architectures, including 1D-CNNs, Two-Stage Disentangled Representation models, CNN-Transformer Hybrids with Attention-Weighted Pooling, and Tri-Branch Residual Networks (ResExoNet). </w:t>
        <w:br/>
        <w:br/>
        <w:t>On a gold-standard curated test holdout of 437 TESS systems (with ground-truth confirmed planets and astrophysical false positives), our Heterogeneous Soft-Voting Ensemble (combining Logistic Regression, Fusion MLP, and Two-Stage Spatial CNN) achieves state-of-the-art performance across all operational metrics: a Receiver Operating Characteristic Area Under Curve (ROC-AUC) of 0.8839, an F1-score of 0.8114 (95% Bootstrap Confidence Interval: [0.7709, 0.8463]), an accuracy of 78.72%, and a False Negative Rate of 13.42%—substantially outperforming both unimodal light-curve models and standalone metadata baselines. Crucially, the entire ensemble executes with a sub-millisecond CPU inference latency of 1.05 ms per star with an aggregate parameter footprint of only 81,348 parameters (&lt;1 MB). This delivers a deployable, real-time vetting solution capable of processing an entire TESS observing sector in minutes on commodity hardware.</w:t>
      </w:r>
    </w:p>
    <w:p>
      <w:pPr>
        <w:spacing w:after="280"/>
      </w:pPr>
      <w:r>
        <w:rPr>
          <w:b/>
          <w:sz w:val="20"/>
        </w:rPr>
        <w:t xml:space="preserve">Keywords: </w:t>
      </w:r>
      <w:r>
        <w:rPr>
          <w:sz w:val="20"/>
        </w:rPr>
        <w:t>Exoplanets, Planetary Transits, TESS, M-Dwarfs, Multimodal Deep Learning, Convolutional Neural Networks, Transformer Self-Attention, Heterogeneous Ensemble, Edge Computing, Operational Efficiency.</w:t>
      </w:r>
    </w:p>
    <w:p>
      <w:pPr>
        <w:pStyle w:val="Heading1"/>
        <w:keepNext/>
        <w:spacing w:before="280" w:after="80"/>
      </w:pPr>
      <w:r>
        <w:rPr>
          <w:rFonts w:ascii="Calibri" w:hAnsi="Calibri"/>
          <w:b/>
          <w:color w:val="1B365D"/>
          <w:sz w:val="32"/>
        </w:rPr>
        <w:t>1. Introduction and Astrophysical Motivation</w:t>
      </w:r>
    </w:p>
    <w:p>
      <w:pPr>
        <w:spacing w:after="120" w:line="276" w:lineRule="auto"/>
      </w:pPr>
      <w:r>
        <w:rPr>
          <w:rFonts w:ascii="Calibri" w:hAnsi="Calibri"/>
          <w:b w:val="0"/>
          <w:i w:val="0"/>
          <w:color w:val="222222"/>
          <w:sz w:val="21"/>
        </w:rPr>
        <w:t>The discovery of more than 5,500 exoplanets over the past three decades has transformed our understanding of planetary demographics and solar system formation. The transit method—wherein a planet periodically crosses the disk of its host star, producing a characteristic fractional dip in observed stellar flux—remains the primary discovery engine of modern observational astrophysics. NASA's Transiting Exoplanet Survey Satellite (TESS), launched in 2018, performs high-cadence time-series photometry across nearly the entire celestial sphere, observing hundreds of thousands of stars per 27.4-day observing sector.</w:t>
      </w:r>
    </w:p>
    <w:p>
      <w:pPr>
        <w:pStyle w:val="Heading2"/>
        <w:keepNext/>
        <w:spacing w:before="280" w:after="80"/>
      </w:pPr>
      <w:r>
        <w:rPr>
          <w:rFonts w:ascii="Calibri" w:hAnsi="Calibri"/>
          <w:b/>
          <w:color w:val="2E75B6"/>
          <w:sz w:val="26"/>
        </w:rPr>
        <w:t>1.1 The M-Dwarf Vetting Conundrum</w:t>
      </w:r>
    </w:p>
    <w:p>
      <w:pPr>
        <w:spacing w:after="120" w:line="276" w:lineRule="auto"/>
      </w:pPr>
      <w:r>
        <w:rPr>
          <w:rFonts w:ascii="Calibri" w:hAnsi="Calibri"/>
          <w:b w:val="0"/>
          <w:i w:val="0"/>
          <w:color w:val="222222"/>
          <w:sz w:val="21"/>
        </w:rPr>
        <w:t>Among all stellar targets, low-mass M-dwarf stars (red dwarfs, with effective temperatures T_eff &lt; 4,000 K) represent the highest-priority demographic for discovering rocky, Earth-sized planets within circumstellar habitable zones. Because M-dwarfs have substantially smaller radii (typically R_* &lt; 0.6 R_sun) than Solar-type stars, the geometric transit depth—given by Delta F / F ~ (R_p / R_*)^2—is an order of magnitude deeper for an Earth-sized planet orbiting an M-dwarf than for an identical planet orbiting a G-type star. Furthermore, their lower bolometric luminosities compress the habitable zone into tight, short-period orbits (P &lt; 15 days), dramatically increasing the geometric transit probability and the number of observable transit events within TESS's 27-day sector windows.</w:t>
      </w:r>
    </w:p>
    <w:p>
      <w:pPr>
        <w:spacing w:after="120" w:line="276" w:lineRule="auto"/>
      </w:pPr>
      <w:r>
        <w:rPr>
          <w:rFonts w:ascii="Calibri" w:hAnsi="Calibri"/>
          <w:b w:val="0"/>
          <w:i w:val="0"/>
          <w:color w:val="222222"/>
          <w:sz w:val="21"/>
        </w:rPr>
        <w:t>However, M-dwarfs present severe astrophysical classification challenges. Due to deep convective envelopes and strong rotational dynamos, M-dwarfs are magnetically hyperactive. They exhibit frequent, intense stellar flares whose decay curves can mimic transit ingress/egress morphology, large starspot complexes that introduce quasi-periodic rotational modulation, and unspotted active regions that perturb photometric baselines. In wide-field TESS data, astrophysical false positives—predominantly grazing eclipsing binaries (EBs), background eclipsing binaries (BEBs) blended into the large 21-arcsecond TESS pixels, and flaring stellar variability—outnumber genuine planetary transit candidates by ratios exceeding 10:1. Manual inspection of every Threshold Crossing Event (TCE) is infeasible, creating an urgent operational necessity for automated, highly reliable machine learning vetting classifiers.</w:t>
      </w:r>
    </w:p>
    <w:p>
      <w:pPr>
        <w:pStyle w:val="Heading2"/>
        <w:keepNext/>
        <w:spacing w:before="280" w:after="80"/>
      </w:pPr>
      <w:r>
        <w:rPr>
          <w:rFonts w:ascii="Calibri" w:hAnsi="Calibri"/>
          <w:b/>
          <w:color w:val="2E75B6"/>
          <w:sz w:val="26"/>
        </w:rPr>
        <w:t>1.2 The Computational Efficiency Dilemma</w:t>
      </w:r>
    </w:p>
    <w:p>
      <w:pPr>
        <w:spacing w:after="120" w:line="276" w:lineRule="auto"/>
      </w:pPr>
      <w:r>
        <w:rPr>
          <w:rFonts w:ascii="Calibri" w:hAnsi="Calibri"/>
          <w:b w:val="0"/>
          <w:i w:val="0"/>
          <w:color w:val="222222"/>
          <w:sz w:val="21"/>
        </w:rPr>
        <w:t xml:space="preserve">Recent machine learning approaches have achieved significant breakthroughs in planetary vetting. Pioneering models such as AstroNet (Shallue &amp; Vanderburg 2018) and ExoMiner++ (Valizadegan et al. 2022) established that deep 1D convolutional neural networks and branching ensembles can achieve high classification accuracy. However, modern models have trended toward immense architectural complexity, requiring multi-million parameters, multi-view light curve representations, and high-performance GPU server clusters. </w:t>
        <w:br/>
        <w:br/>
        <w:t>In astronomical operations, extreme computational overhead imposes severe logistical constraints. Ground-based follow-up teams (e.g., the TESS Follow-up Observing Program, TFOP) require near-instantaneous candidate triage to coordinate time-critical spectroscopic and high-resolution imaging observations before observing seasons close. For individual researchers, university observatories, and edge survey pipelines, a vetting framework that achieves state-of-the-art discrimination while running in under a millisecond on a standard laptop CPU offers transformative practical utility.</w:t>
      </w:r>
    </w:p>
    <w:p>
      <w:pPr>
        <w:pStyle w:val="Heading2"/>
        <w:keepNext/>
        <w:spacing w:before="280" w:after="80"/>
      </w:pPr>
      <w:r>
        <w:rPr>
          <w:rFonts w:ascii="Calibri" w:hAnsi="Calibri"/>
          <w:b/>
          <w:color w:val="2E75B6"/>
          <w:sz w:val="26"/>
        </w:rPr>
        <w:t>1.3 Research Objectives and Novelty Claims</w:t>
      </w:r>
    </w:p>
    <w:p>
      <w:pPr>
        <w:spacing w:after="120" w:line="276" w:lineRule="auto"/>
      </w:pPr>
      <w:r>
        <w:rPr>
          <w:rFonts w:ascii="Calibri" w:hAnsi="Calibri"/>
          <w:b w:val="0"/>
          <w:i w:val="0"/>
          <w:color w:val="222222"/>
          <w:sz w:val="21"/>
        </w:rPr>
        <w:t>This research resolves this tension by proposing a lightweight, astrophysics-informed multimodal architecture that combines photometric transit geometry with fundamental stellar parameters. Specifically, our work advances four primary contributions:</w:t>
      </w:r>
    </w:p>
    <w:p>
      <w:pPr>
        <w:spacing w:after="80"/>
        <w:ind w:left="360"/>
      </w:pPr>
      <w:r>
        <w:rPr>
          <w:b/>
          <w:sz w:val="20"/>
        </w:rPr>
        <w:t xml:space="preserve">• The Preprocessing Discovery: </w:t>
      </w:r>
      <w:r>
        <w:rPr>
          <w:sz w:val="20"/>
        </w:rPr>
        <w:t>We diagnose why raw photometric cadence scatter causes deep networks to fail, demonstrating that epoch-aligned phase-grid binning with central transit cropping (80 bins) yields an immediate jump in baseline CNN F1 from 0.59 to 0.76.</w:t>
      </w:r>
    </w:p>
    <w:p>
      <w:pPr>
        <w:spacing w:after="80"/>
        <w:ind w:left="360"/>
      </w:pPr>
      <w:r>
        <w:rPr>
          <w:b/>
          <w:sz w:val="20"/>
        </w:rPr>
        <w:t xml:space="preserve">• Astrophysics-Informed Multimodal Fusion: </w:t>
      </w:r>
      <w:r>
        <w:rPr>
          <w:sz w:val="20"/>
        </w:rPr>
        <w:t>We systematically integrate host-star physical context (stellar effective temperature, orbital period, stellar radius) to disambiguate stellar flare false alarms from true planetary transits.</w:t>
      </w:r>
    </w:p>
    <w:p>
      <w:pPr>
        <w:spacing w:after="80"/>
        <w:ind w:left="360"/>
      </w:pPr>
      <w:r>
        <w:rPr>
          <w:b/>
          <w:sz w:val="20"/>
        </w:rPr>
        <w:t xml:space="preserve">• Architectural Ablation &amp; Two-Stage Training: </w:t>
      </w:r>
      <w:r>
        <w:rPr>
          <w:sz w:val="20"/>
        </w:rPr>
        <w:t>We evaluate a progressive spectrum of architectures (CNN, MLP, GRU, DualInput, TwoStageDual, CNN-Transformer Hybrid, ResExoNet), showing that a two-stage disentangled training protocol enables the CNN to master spatial transit dips before aligning with metadata.</w:t>
      </w:r>
    </w:p>
    <w:p>
      <w:pPr>
        <w:spacing w:after="80"/>
        <w:ind w:left="360"/>
      </w:pPr>
      <w:r>
        <w:rPr>
          <w:b/>
          <w:sz w:val="20"/>
        </w:rPr>
        <w:t xml:space="preserve">• Heterogeneous Ensemble &amp; Pareto Efficiency: </w:t>
      </w:r>
      <w:r>
        <w:rPr>
          <w:sz w:val="20"/>
        </w:rPr>
        <w:t>We demonstrate that a simple, uniform-weighted soft-voting ensemble uniting linear (LR), non-linear dense (MLP), and spatial convolutional (CNN) inductive biases achieves peak performance (ROC-AUC = 0.8839, F1 = 0.8114, FNR = 13.42%) within a 1.05 ms CPU latency envelope.</w:t>
      </w:r>
    </w:p>
    <w:p>
      <w:pPr>
        <w:pStyle w:val="Heading1"/>
        <w:keepNext/>
        <w:spacing w:before="280" w:after="80"/>
      </w:pPr>
      <w:r>
        <w:rPr>
          <w:rFonts w:ascii="Calibri" w:hAnsi="Calibri"/>
          <w:b/>
          <w:color w:val="1B365D"/>
          <w:sz w:val="32"/>
        </w:rPr>
        <w:t>2. Data Pipeline &amp; The Representation Finding</w:t>
      </w:r>
    </w:p>
    <w:p>
      <w:pPr>
        <w:spacing w:after="120" w:line="276" w:lineRule="auto"/>
      </w:pPr>
      <w:r>
        <w:rPr>
          <w:rFonts w:ascii="Calibri" w:hAnsi="Calibri"/>
          <w:b w:val="0"/>
          <w:i w:val="0"/>
          <w:color w:val="222222"/>
          <w:sz w:val="21"/>
        </w:rPr>
        <w:t>The foundational empirical breakthrough of this research arose from diagnosing a severe performance pathology in early experimental runs. This section details the data provenance, the diagnosis of the initial pipeline failure, and the reconstructed phase-grid representation.</w:t>
      </w:r>
    </w:p>
    <w:p>
      <w:pPr>
        <w:pStyle w:val="Heading2"/>
        <w:keepNext/>
        <w:spacing w:before="280" w:after="80"/>
      </w:pPr>
      <w:r>
        <w:rPr>
          <w:rFonts w:ascii="Calibri" w:hAnsi="Calibri"/>
          <w:b/>
          <w:color w:val="2E75B6"/>
          <w:sz w:val="26"/>
        </w:rPr>
        <w:t>2.1 Target Catalog Curation &amp; Clean Ground-Truth Labels</w:t>
      </w:r>
    </w:p>
    <w:p>
      <w:pPr>
        <w:spacing w:after="120" w:line="276" w:lineRule="auto"/>
      </w:pPr>
      <w:r>
        <w:rPr>
          <w:rFonts w:ascii="Calibri" w:hAnsi="Calibri"/>
          <w:b w:val="0"/>
          <w:i w:val="0"/>
          <w:color w:val="222222"/>
          <w:sz w:val="21"/>
        </w:rPr>
        <w:t xml:space="preserve">Target systems were harvested from the NASA Exoplanet Archive's TESS Objects of Interest (TOI) catalog via programmatic astroquery interfaces. In initial exploratory stages, candidate sets included ambiguous Planet Candidate (PC) designations. To eliminate label contamination, the final pipeline enforces strict ground-truth verification: </w:t>
        <w:br/>
        <w:br/>
        <w:t>• Positive Class (Label = 1, Planet Candidate / Confirmed): Restricts candidates to Known Planets (KP) and Confirmed Planets (CP), guaranteeing that transit signatures have undergone spectroscopic or statistical confirmation and possess verified ephemerides.</w:t>
        <w:br/>
        <w:t>• Negative Class (Label = 0, False Positive): Comprises confirmed False Positives (FP) cataloged by the TESS Follow-up Observing Program Working Group (TFOPWG), including eclipsing binaries, background blends, and stellar variability.</w:t>
        <w:br/>
        <w:br/>
        <w:t>Crucially, all targets were required to have non-null entries for orbital period (pl_orbper), transit midpoint epoch (pl_tranmid), stellar effective temperature (st_teff), and stellar radius (st_rad). The final verified catalog contains 2,181 systems (1,027 False Positives [47.1%] and 1,154 Planet Candidates [52.9%]), providing a clean, naturally balanced benchmark.</w:t>
      </w:r>
    </w:p>
    <w:p>
      <w:pPr>
        <w:pStyle w:val="Heading2"/>
        <w:keepNext/>
        <w:spacing w:before="280" w:after="80"/>
      </w:pPr>
      <w:r>
        <w:rPr>
          <w:rFonts w:ascii="Calibri" w:hAnsi="Calibri"/>
          <w:b/>
          <w:color w:val="2E75B6"/>
          <w:sz w:val="26"/>
        </w:rPr>
        <w:t>2.2 The Pipeline Diagnosis: Photon Noise vs. Transit Shape</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2E75B6"/>
              <w:top w:val="none"/>
              <w:right w:val="none"/>
              <w:bottom w:val="none"/>
            </w:tcBorders>
          </w:tcPr>
          <w:p>
            <w:pPr>
              <w:spacing w:after="40"/>
            </w:pPr>
            <w:r>
              <w:rPr>
                <w:rFonts w:ascii="Calibri" w:hAnsi="Calibri"/>
                <w:b/>
                <w:color w:val="1B365D"/>
                <w:sz w:val="21"/>
              </w:rPr>
              <w:t>★ Critical Research Finding: Preprocessing Dominates Architectural Complexity</w:t>
              <w:br/>
            </w:r>
            <w:r>
              <w:rPr>
                <w:rFonts w:ascii="Calibri" w:hAnsi="Calibri"/>
                <w:color w:val="333333"/>
                <w:sz w:val="20"/>
              </w:rPr>
              <w:t>Visualizing individual input arrays X[0] from the original pipeline revealed that 2,000-point raw cadence scatter was oscillating randomly between -3 sigma and +4 sigma with zero perceptible transit dip. In contrast, physical binning revealed an unambiguous 0.8% transit dip at phase=0. The original CNN was memorizing photon noise patterns rather than learning transit physics. Reconstructing the pipeline with epoch-aligned binned phase grids increased CNN F1 from 0.59 to 0.76 — a larger gain than all architectural variations combined.</w:t>
            </w:r>
          </w:p>
        </w:tc>
      </w:tr>
    </w:tbl>
    <w:p>
      <w:pPr>
        <w:spacing w:after="120"/>
      </w:pPr>
    </w:p>
    <w:p>
      <w:pPr>
        <w:spacing w:after="120" w:line="276" w:lineRule="auto"/>
      </w:pPr>
      <w:r>
        <w:rPr>
          <w:rFonts w:ascii="Calibri" w:hAnsi="Calibri"/>
          <w:b w:val="0"/>
          <w:i w:val="0"/>
          <w:color w:val="222222"/>
          <w:sz w:val="21"/>
        </w:rPr>
        <w:t xml:space="preserve">In the initial pipeline implementation (Layers 1–5), models were supplied with 2,000 raw photometric cadence points from Lightkurve, zero-padded to fixed length. Despite substantial hyperparameter tuning, all deep networks plateaued around 53–60% accuracy. Concurrently, a sanity-check Logistic Regression model trained exclusively on three scalar metadata features achieved F1 = 0.7424, outperforming the deep models by nearly 15 percentage points. </w:t>
        <w:br/>
        <w:br/>
        <w:t>Diagnostic inspection revealed two catastrophic failure modes in the initial data pipeline:</w:t>
        <w:br/>
        <w:t>1. Lack of Epoch Alignment: The downloader folded time series using orbital period alone, omitting transit midpoint centering (pl_tranmid). Consequently, transits appeared at arbitrary, scattered phase coordinates across stars rather than centered at phase zero.</w:t>
        <w:br/>
        <w:t>2. Cadence Photon Noise Overwhelming Signal: In single 2-minute or 20-second cadence data, photon shot noise completely buries shallow transit dips (which often measure only 200–1,000 parts per million). Without phase binning, the CNN received essentially uncorrelated Gaussian noise with large zero-padded buffers, memorizing spurious noise signatures rather than physical transit profiles.</w:t>
      </w:r>
    </w:p>
    <w:p>
      <w:pPr>
        <w:pStyle w:val="Heading2"/>
        <w:keepNext/>
        <w:spacing w:before="280" w:after="80"/>
      </w:pPr>
      <w:r>
        <w:rPr>
          <w:rFonts w:ascii="Calibri" w:hAnsi="Calibri"/>
          <w:b/>
          <w:color w:val="2E75B6"/>
          <w:sz w:val="26"/>
        </w:rPr>
        <w:t>2.3 The Reformed Phase-Grid Representation (80 Bins)</w:t>
      </w:r>
    </w:p>
    <w:p>
      <w:pPr>
        <w:spacing w:after="120" w:line="276" w:lineRule="auto"/>
      </w:pPr>
      <w:r>
        <w:rPr>
          <w:rFonts w:ascii="Calibri" w:hAnsi="Calibri"/>
          <w:b w:val="0"/>
          <w:i w:val="0"/>
          <w:color w:val="222222"/>
          <w:sz w:val="21"/>
        </w:rPr>
        <w:t>To resolve these pathologies, we completely reconstructed the data ingestion pipeline:</w:t>
        <w:br/>
        <w:t>1. Epoch Conversion: Full Julian Dates (JD) were converted to Barycentric TESS Julian Date (BTJD) via t0_btjd = pl_tranmid - 2457000.0, ensuring every light curve is phase-folded with the transit center strictly pinned at phase phi = 0.0.</w:t>
        <w:br/>
        <w:t>2. Savitzky-Golay Detrending: Low-frequency stellar variability and instrumental baseline drift were filtered using an adaptive Savitzky-Golay polynomial filter (window length = max(0.10 * N, 301), polyorder = 2).</w:t>
        <w:br/>
        <w:t>3. Phase-Grid Equidistant Binning: Scattered cadence points were assigned to 200 uniform phase bins across [-0.5, +0.5] using np.digitize. Bin means were computed, averaging 6–8 cadences per bin, and sparse empty bins were linearly interpolated.</w:t>
        <w:br/>
        <w:t>4. Transit Center-Cropping: The transit ingress, floor, and egress reside entirely within the central phase region. We extract the central 80 bins (indices 60 to 140 of the 200-bin grid), discarding the uninformative out-of-transit baseline. Finally, the cropped 80-bin array is standardized to zero mean and unit variance.</w:t>
        <w:br/>
        <w:br/>
        <w:t>The resulting input tensor has shape (N, 1, 80), providing a compact, dense, high-signal-to-noise representation of transit morphology.</w:t>
      </w:r>
    </w:p>
    <w:p>
      <w:pPr>
        <w:pStyle w:val="Heading2"/>
        <w:keepNext/>
        <w:spacing w:before="280" w:after="80"/>
      </w:pPr>
      <w:r>
        <w:rPr>
          <w:rFonts w:ascii="Calibri" w:hAnsi="Calibri"/>
          <w:b/>
          <w:color w:val="2E75B6"/>
          <w:sz w:val="26"/>
        </w:rPr>
        <w:t>2.4 Host-Star Astrophysical Metadata</w:t>
      </w:r>
    </w:p>
    <w:p>
      <w:pPr>
        <w:spacing w:after="120" w:line="276" w:lineRule="auto"/>
      </w:pPr>
      <w:r>
        <w:rPr>
          <w:rFonts w:ascii="Calibri" w:hAnsi="Calibri"/>
          <w:b w:val="0"/>
          <w:i w:val="0"/>
          <w:color w:val="222222"/>
          <w:sz w:val="21"/>
        </w:rPr>
        <w:t>Alongside the 80-bin light curve, each system is characterized by a 3-dimensional physical metadata vector:</w:t>
        <w:br/>
        <w:t>• Stellar Effective Temperature (st_teff, Kelvin): Distinguishes cool M-dwarfs (2,500–4,000 K) from hotter Solar-type stars.</w:t>
        <w:br/>
        <w:t>• Orbital Period (pl_orbper, days): Encodes orbital architecture; ultra-short periods (&lt;1 day) correlate strongly with contact binaries.</w:t>
        <w:br/>
        <w:t>• Stellar Radius (st_rad, Solar radii R_sun): Crucial for assessing transit depth physical plausibility via Delta F ~ (R_p / R_*)^2.</w:t>
        <w:br/>
        <w:br/>
        <w:t>Metadata features were standardized using StandardScaler fitted strictly on training partitions to prevent data leakage.</w:t>
      </w:r>
    </w:p>
    <w:p>
      <w:pPr>
        <w:pStyle w:val="Heading1"/>
        <w:keepNext/>
        <w:spacing w:before="280" w:after="80"/>
      </w:pPr>
      <w:r>
        <w:rPr>
          <w:rFonts w:ascii="Calibri" w:hAnsi="Calibri"/>
          <w:b/>
          <w:color w:val="1B365D"/>
          <w:sz w:val="32"/>
        </w:rPr>
        <w:t>3. Methodology and Model Architectures</w:t>
      </w:r>
    </w:p>
    <w:p>
      <w:pPr>
        <w:spacing w:after="120" w:line="276" w:lineRule="auto"/>
      </w:pPr>
      <w:r>
        <w:rPr>
          <w:rFonts w:ascii="Calibri" w:hAnsi="Calibri"/>
          <w:b w:val="0"/>
          <w:i w:val="0"/>
          <w:color w:val="222222"/>
          <w:sz w:val="21"/>
        </w:rPr>
        <w:t>We systematically evaluated a spectrum of unimodal and multimodal neural architectures, structured to isolate the specific contributions of spatial convolutions, dense non-linear projections, temporal self-attention, and residual skip connections.</w:t>
      </w:r>
    </w:p>
    <w:p>
      <w:pPr>
        <w:pStyle w:val="Heading2"/>
        <w:keepNext/>
        <w:spacing w:before="280" w:after="80"/>
      </w:pPr>
      <w:r>
        <w:rPr>
          <w:rFonts w:ascii="Calibri" w:hAnsi="Calibri"/>
          <w:b/>
          <w:color w:val="2E75B6"/>
          <w:sz w:val="26"/>
        </w:rPr>
        <w:t>3.1 Unimodal Baselines</w:t>
      </w:r>
    </w:p>
    <w:p>
      <w:pPr>
        <w:spacing w:after="120" w:line="276" w:lineRule="auto"/>
      </w:pPr>
      <w:r>
        <w:rPr>
          <w:rFonts w:ascii="Calibri" w:hAnsi="Calibri"/>
          <w:b w:val="0"/>
          <w:i w:val="0"/>
          <w:color w:val="222222"/>
          <w:sz w:val="21"/>
        </w:rPr>
        <w:t>• TransitCNN (Spatial 1D-CNN): A 3-block 1D convolutional network with receptive fields matched to transit geometry. Block 1 uses Conv1d(1, 32, k=11, s=1, p=5) with BatchNorm, ReLU, and MaxPool1d(2) to capture ingress/egress slopes; Block 2 uses Conv1d(32, 64, k=5, p=2) to capture the transit floor; Block 3 uses Conv1d(64, 128, k=3, p=1) to extract fine residual features. Adaptive average pooling and a dense classification head (128 -&gt; 64 -&gt; 2) output class probabilities (44,034 parameters).</w:t>
        <w:br/>
        <w:t>• FusionMLP (Dense Non-linear Baseline): A 3-layer MLP processing the concatenated 83-dimensional vector (80 LC bins + 3 scaled metadata) via Linear(83 -&gt; 128) -&gt; BatchNorm -&gt; ReLU -&gt; Dropout(0.3) -&gt; Linear(128 -&gt; 64) -&gt; BatchNorm -&gt; ReLU -&gt; Dropout(0.3) -&gt; Linear(64 -&gt; 2) (19,522 parameters).</w:t>
        <w:br/>
        <w:t>• Multimodal Logistic Regression (Linear Baseline): A convex, L2-regularized linear classifier trained on the 83-dimensional combined vector, establishing the linear separability threshold of the feature space (84 parameters).</w:t>
      </w:r>
    </w:p>
    <w:p>
      <w:pPr>
        <w:pStyle w:val="Heading2"/>
        <w:keepNext/>
        <w:spacing w:before="280" w:after="80"/>
      </w:pPr>
      <w:r>
        <w:rPr>
          <w:rFonts w:ascii="Calibri" w:hAnsi="Calibri"/>
          <w:b/>
          <w:color w:val="2E75B6"/>
          <w:sz w:val="26"/>
        </w:rPr>
        <w:t>3.2 Two-Stage Spatial Dual CNN (Flagship Deep Architecture)</w:t>
      </w:r>
    </w:p>
    <w:p>
      <w:pPr>
        <w:spacing w:after="120" w:line="276" w:lineRule="auto"/>
      </w:pPr>
      <w:r>
        <w:rPr>
          <w:rFonts w:ascii="Calibri" w:hAnsi="Calibri"/>
          <w:b w:val="0"/>
          <w:i w:val="0"/>
          <w:color w:val="222222"/>
          <w:sz w:val="21"/>
        </w:rPr>
        <w:t>Standard end-to-end training of multimodal networks often causes one modality to dominate gradients, leading to representation collapse. To ensure both the light curve and stellar metadata contribute robust discriminative signals, we developed the TwoStageDualModel with a three-phase training regimen:</w:t>
        <w:br/>
        <w:br/>
        <w:t>• Architecture: A dual-branch network comprising the TransitCNN feature extractor (producing a 128-dim spatial embedding), a MetadataMLP branch (Linear(3-&gt;16) -&gt; BatchNorm -&gt; ReLU -&gt; Linear(16-&gt;8) producing an 8-dim stellar embedding), and a fusion head (Linear(136-&gt;64) -&gt; ReLU -&gt; Dropout(0.3) -&gt; Linear(64-&gt;2)).</w:t>
        <w:br/>
        <w:t>• Stage 1 (Spatial Representation Learning): The CNN branch is trained exclusively on light curves for 30 epochs using an auxiliary classifier head (mode='stage1'), forcing convolutional filters to isolate transit shapes without relying on metadata shortcuts.</w:t>
        <w:br/>
        <w:t>• Stage 2A (Metadata Projection Alignment): CNN parameters are frozen. The MetadataMLP and fusion classification head are trained for 10 epochs (lr = 5e-4) to learn an optimal non-linear projection of stellar context that aligns with the fixed CNN embeddings.</w:t>
        <w:br/>
        <w:t>• Stage 2B (Global Joint Fine-Tuning): All network parameters are unfrozen and fine-tuned end-to-end for 30 epochs with a conservative learning rate (lr = 5e-5) and ReduceLROnPlateau scheduling, capturing subtle cross-modal interactions.</w:t>
      </w:r>
    </w:p>
    <w:p>
      <w:pPr>
        <w:pStyle w:val="Heading2"/>
        <w:keepNext/>
        <w:spacing w:before="280" w:after="80"/>
      </w:pPr>
      <w:r>
        <w:rPr>
          <w:rFonts w:ascii="Calibri" w:hAnsi="Calibri"/>
          <w:b/>
          <w:color w:val="2E75B6"/>
          <w:sz w:val="26"/>
        </w:rPr>
        <w:t>3.3 CNN-Transformer Hybrid (HybridDualInput)</w:t>
      </w:r>
    </w:p>
    <w:p>
      <w:pPr>
        <w:spacing w:after="120" w:line="276" w:lineRule="auto"/>
      </w:pPr>
      <w:r>
        <w:rPr>
          <w:rFonts w:ascii="Calibri" w:hAnsi="Calibri"/>
          <w:b w:val="0"/>
          <w:i w:val="0"/>
          <w:color w:val="222222"/>
          <w:sz w:val="21"/>
        </w:rPr>
        <w:t>To test whether global sequence self-attention improves upon local convolutions, we constructed the HybridDualInput model. The CNN extracts unpooled sequence feature maps of shape (B, 128, 20), which are permuted to (B, 20, 128) and added to learnable positional embeddings. A 1-layer TransformerEncoder (d_model=128, 4 attention heads, dim_feedforward=256, dropout=0.1) performs global self-attention across the 20 temporal slices. To dynamically focus on the central transit dip, we replaced standard flat average pooling with a learnable AttentionPooling module that computes scalar importance weights across time. The pooled 128-dim vector is concatenated with the 8-dim MetadataMLP output and classified via a dense head (188,525 parameters).</w:t>
      </w:r>
    </w:p>
    <w:p>
      <w:pPr>
        <w:pStyle w:val="Heading2"/>
        <w:keepNext/>
        <w:spacing w:before="280" w:after="80"/>
      </w:pPr>
      <w:r>
        <w:rPr>
          <w:rFonts w:ascii="Calibri" w:hAnsi="Calibri"/>
          <w:b/>
          <w:color w:val="2E75B6"/>
          <w:sz w:val="26"/>
        </w:rPr>
        <w:t>3.4 Tri-Branch Residual Network (ResExoNet)</w:t>
      </w:r>
    </w:p>
    <w:p>
      <w:pPr>
        <w:spacing w:after="120" w:line="276" w:lineRule="auto"/>
      </w:pPr>
      <w:r>
        <w:rPr>
          <w:rFonts w:ascii="Calibri" w:hAnsi="Calibri"/>
          <w:b w:val="0"/>
          <w:i w:val="0"/>
          <w:color w:val="222222"/>
          <w:sz w:val="21"/>
        </w:rPr>
        <w:t>ResExoNet implements a three-branch multi-scale residual topology: Branch 1 processes light curves through the CNN and AttentionPooling (128 features); Branch 2 projects metadata through an expanded MLP (Linear(3-&gt;32), BatchNorm, ReLU); and Branch 3 provides an unbridged residual skip connection that directly injects the raw 83-dimensional input vector (80 LC + 3 metadata) into the fusion head. The resulting 243-dimensional concatenated tensor is classified via a deep regularized MLP (92,807 parameters).</w:t>
      </w:r>
    </w:p>
    <w:p>
      <w:pPr>
        <w:pStyle w:val="Heading2"/>
        <w:keepNext/>
        <w:spacing w:before="280" w:after="80"/>
      </w:pPr>
      <w:r>
        <w:rPr>
          <w:rFonts w:ascii="Calibri" w:hAnsi="Calibri"/>
          <w:b/>
          <w:color w:val="2E75B6"/>
          <w:sz w:val="26"/>
        </w:rPr>
        <w:t>3.5 Heterogeneous Soft-Voting Ensemble</w:t>
      </w:r>
    </w:p>
    <w:p>
      <w:pPr>
        <w:spacing w:after="120" w:line="276" w:lineRule="auto"/>
      </w:pPr>
      <w:r>
        <w:rPr>
          <w:rFonts w:ascii="Calibri" w:hAnsi="Calibri"/>
          <w:b w:val="0"/>
          <w:i w:val="0"/>
          <w:color w:val="222222"/>
          <w:sz w:val="21"/>
        </w:rPr>
        <w:t>Rather than relying on a single complex neural architecture, we construct a Heterogeneous Soft-Voting Ensemble that integrates three models possessing complementary inductive biases:</w:t>
        <w:br/>
        <w:t>1. Logistic Regression: Provides strong linear regularization and robust margin bounds on the low-dimensional metadata space.</w:t>
        <w:br/>
        <w:t>2. Fusion MLP: Captures non-linear feature interactions between photometric flux bins and stellar parameters.</w:t>
        <w:br/>
        <w:t>3. Two-Stage Dual CNN: Leverages shift-invariant spatial convolutions to identify transit ingress, egress, and flat-bottom profiles.</w:t>
        <w:br/>
        <w:br/>
        <w:t>The ensemble computes final class probabilities via uniform soft voting: P_ens(y=1 | X) = (P_LR + P_MLP + P_CNN) / 3. We also evaluated a performance-weighted ensemble whose weights were derived from validation F1 scores on a held-out split to prevent data leakage. Empirically, uniform voting matched or slightly exceeded performance-weighting while eliminating hyperparameter sensitivity.</w:t>
      </w:r>
    </w:p>
    <w:p>
      <w:pPr>
        <w:pStyle w:val="Heading1"/>
        <w:keepNext/>
        <w:spacing w:before="280" w:after="80"/>
      </w:pPr>
      <w:r>
        <w:rPr>
          <w:rFonts w:ascii="Calibri" w:hAnsi="Calibri"/>
          <w:b/>
          <w:color w:val="1B365D"/>
          <w:sz w:val="32"/>
        </w:rPr>
        <w:t>4. Experimental Setup and Evaluation Protocol</w:t>
      </w:r>
    </w:p>
    <w:p>
      <w:pPr>
        <w:spacing w:after="120" w:line="276" w:lineRule="auto"/>
      </w:pPr>
      <w:r>
        <w:rPr>
          <w:rFonts w:ascii="Calibri" w:hAnsi="Calibri"/>
          <w:b w:val="0"/>
          <w:i w:val="0"/>
          <w:color w:val="222222"/>
          <w:sz w:val="21"/>
        </w:rPr>
        <w:t>To ensure uncompromising scientific rigor, all experiments adhere to strict reproducibility and statistical protocols:</w:t>
        <w:br/>
        <w:t>• Data Partitioning: The 2,181 systems were partitioned into an 80% training set (N = 1,744) and an independent 20% test set (N = 437) using stratified sampling locked to random seed 42. Test set class distribution: 206 False Positives (47.1%) and 231 Planet Candidates (52.9%).</w:t>
        <w:br/>
        <w:t>• Cost-Sensitive Optimization: To counter residual class prevalence shifts, training utilized Cross-Entropy loss weighted by inverse class frequency: w_c = (1 / N_c) / sum_j (1 / N_j). Optimization employed Adam with initial lr = 1e-4, weight decay = 1e-4, and gradient clipping at max_norm = 1.0.</w:t>
        <w:br/>
        <w:t>• Bootstrap Confidence Intervals: To assess whether performance differences reflect true capability or test-set sampling noise, all reported F1 scores include 1,000-iteration non-parametric bootstrap 95% confidence intervals (2.5th to 97.5th percentiles).</w:t>
        <w:br/>
        <w:t>• Stratified 5-Fold Cross-Validation: Generalization stability was verified across 5 stratified folds on the full dataset.</w:t>
        <w:br/>
        <w:t>• CPU Inference Latency Benchmarking: Latency was measured on standard single-core CPU execution across 200 iterations following 20 warmup cycles, directly verifying edge deployment suitability.</w:t>
      </w:r>
    </w:p>
    <w:p>
      <w:pPr>
        <w:pStyle w:val="Heading1"/>
        <w:keepNext/>
        <w:spacing w:before="280" w:after="80"/>
      </w:pPr>
      <w:r>
        <w:rPr>
          <w:rFonts w:ascii="Calibri" w:hAnsi="Calibri"/>
          <w:b/>
          <w:color w:val="1B365D"/>
          <w:sz w:val="32"/>
        </w:rPr>
        <w:t>5. Experimental Results and Analysis</w:t>
      </w:r>
    </w:p>
    <w:p>
      <w:pPr>
        <w:spacing w:after="120" w:line="276" w:lineRule="auto"/>
      </w:pPr>
      <w:r>
        <w:rPr>
          <w:rFonts w:ascii="Calibri" w:hAnsi="Calibri"/>
          <w:b w:val="0"/>
          <w:i w:val="0"/>
          <w:color w:val="222222"/>
          <w:sz w:val="21"/>
        </w:rPr>
        <w:t>Table 1 presents the consolidated performance benchmarks across all investigated model systems on the independent 437-star test set.</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Model Architecture</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Accuracy</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Precision</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Recall</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F1-Score</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ROC-AUC</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FPR</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FNR</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95% Bootstrap CI</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CPU Latency</w:t>
            </w:r>
          </w:p>
        </w:tc>
        <w:tc>
          <w:tcPr>
            <w:tcW w:type="dxa" w:w="851"/>
            <w:tcMar>
              <w:top w:w="60" w:type="dxa"/>
              <w:bottom w:w="60" w:type="dxa"/>
              <w:left w:w="80" w:type="dxa"/>
              <w:right w:w="80" w:type="dxa"/>
            </w:tcMar>
            <w:shd w:fill="1B365D"/>
          </w:tcPr>
          <w:p>
            <w:pPr>
              <w:spacing w:after="40" w:line="240" w:lineRule="auto"/>
            </w:pPr>
            <w:r>
              <w:rPr>
                <w:rFonts w:ascii="Calibri" w:hAnsi="Calibri"/>
                <w:b/>
                <w:color w:val="FFFFFF"/>
                <w:sz w:val="17"/>
              </w:rPr>
              <w:t>Params</w:t>
            </w:r>
          </w:p>
        </w:tc>
      </w:tr>
      <w:tr>
        <w:tc>
          <w:tcPr>
            <w:tcW w:type="dxa" w:w="851"/>
            <w:tcMar>
              <w:top w:w="60" w:type="dxa"/>
              <w:bottom w:w="60" w:type="dxa"/>
              <w:left w:w="80" w:type="dxa"/>
              <w:right w:w="80" w:type="dxa"/>
            </w:tcMar>
            <w:shd w:fill="F9FAFC"/>
          </w:tcPr>
          <w:p>
            <w:pPr>
              <w:spacing w:after="40" w:line="240" w:lineRule="auto"/>
            </w:pPr>
            <w:r>
              <w:rPr>
                <w:rFonts w:ascii="Calibri" w:hAnsi="Calibri"/>
                <w:sz w:val="17"/>
              </w:rPr>
              <w:t>Logistic Regression (83 feats)</w:t>
            </w:r>
          </w:p>
        </w:tc>
        <w:tc>
          <w:tcPr>
            <w:tcW w:type="dxa" w:w="851"/>
            <w:tcMar>
              <w:top w:w="60" w:type="dxa"/>
              <w:bottom w:w="60" w:type="dxa"/>
              <w:left w:w="80" w:type="dxa"/>
              <w:right w:w="80" w:type="dxa"/>
            </w:tcMar>
            <w:shd w:fill="F9FAFC"/>
          </w:tcPr>
          <w:p>
            <w:pPr>
              <w:spacing w:after="40" w:line="240" w:lineRule="auto"/>
            </w:pPr>
            <w:r>
              <w:rPr>
                <w:rFonts w:ascii="Calibri" w:hAnsi="Calibri"/>
                <w:sz w:val="17"/>
              </w:rPr>
              <w:t>75.06%</w:t>
            </w:r>
          </w:p>
        </w:tc>
        <w:tc>
          <w:tcPr>
            <w:tcW w:type="dxa" w:w="851"/>
            <w:tcMar>
              <w:top w:w="60" w:type="dxa"/>
              <w:bottom w:w="60" w:type="dxa"/>
              <w:left w:w="80" w:type="dxa"/>
              <w:right w:w="80" w:type="dxa"/>
            </w:tcMar>
            <w:shd w:fill="F9FAFC"/>
          </w:tcPr>
          <w:p>
            <w:pPr>
              <w:spacing w:after="40" w:line="240" w:lineRule="auto"/>
            </w:pPr>
            <w:r>
              <w:rPr>
                <w:rFonts w:ascii="Calibri" w:hAnsi="Calibri"/>
                <w:sz w:val="17"/>
              </w:rPr>
              <w:t>74.40%</w:t>
            </w:r>
          </w:p>
        </w:tc>
        <w:tc>
          <w:tcPr>
            <w:tcW w:type="dxa" w:w="851"/>
            <w:tcMar>
              <w:top w:w="60" w:type="dxa"/>
              <w:bottom w:w="60" w:type="dxa"/>
              <w:left w:w="80" w:type="dxa"/>
              <w:right w:w="80" w:type="dxa"/>
            </w:tcMar>
            <w:shd w:fill="F9FAFC"/>
          </w:tcPr>
          <w:p>
            <w:pPr>
              <w:spacing w:after="40" w:line="240" w:lineRule="auto"/>
            </w:pPr>
            <w:r>
              <w:rPr>
                <w:rFonts w:ascii="Calibri" w:hAnsi="Calibri"/>
                <w:sz w:val="17"/>
              </w:rPr>
              <w:t>80.52%</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0.7734</w:t>
            </w:r>
          </w:p>
        </w:tc>
        <w:tc>
          <w:tcPr>
            <w:tcW w:type="dxa" w:w="851"/>
            <w:tcMar>
              <w:top w:w="60" w:type="dxa"/>
              <w:bottom w:w="60" w:type="dxa"/>
              <w:left w:w="80" w:type="dxa"/>
              <w:right w:w="80" w:type="dxa"/>
            </w:tcMar>
            <w:shd w:fill="F9FAFC"/>
          </w:tcPr>
          <w:p>
            <w:pPr>
              <w:spacing w:after="40" w:line="240" w:lineRule="auto"/>
            </w:pPr>
            <w:r>
              <w:rPr>
                <w:rFonts w:ascii="Calibri" w:hAnsi="Calibri"/>
                <w:sz w:val="17"/>
              </w:rPr>
              <w:t>0.8252</w:t>
            </w:r>
          </w:p>
        </w:tc>
        <w:tc>
          <w:tcPr>
            <w:tcW w:type="dxa" w:w="851"/>
            <w:tcMar>
              <w:top w:w="60" w:type="dxa"/>
              <w:bottom w:w="60" w:type="dxa"/>
              <w:left w:w="80" w:type="dxa"/>
              <w:right w:w="80" w:type="dxa"/>
            </w:tcMar>
            <w:shd w:fill="F9FAFC"/>
          </w:tcPr>
          <w:p>
            <w:pPr>
              <w:spacing w:after="40" w:line="240" w:lineRule="auto"/>
            </w:pPr>
            <w:r>
              <w:rPr>
                <w:rFonts w:ascii="Calibri" w:hAnsi="Calibri"/>
                <w:sz w:val="17"/>
              </w:rPr>
              <w:t>31.07%</w:t>
            </w:r>
          </w:p>
        </w:tc>
        <w:tc>
          <w:tcPr>
            <w:tcW w:type="dxa" w:w="851"/>
            <w:tcMar>
              <w:top w:w="60" w:type="dxa"/>
              <w:bottom w:w="60" w:type="dxa"/>
              <w:left w:w="80" w:type="dxa"/>
              <w:right w:w="80" w:type="dxa"/>
            </w:tcMar>
            <w:shd w:fill="F9FAFC"/>
          </w:tcPr>
          <w:p>
            <w:pPr>
              <w:spacing w:after="40" w:line="240" w:lineRule="auto"/>
            </w:pPr>
            <w:r>
              <w:rPr>
                <w:rFonts w:ascii="Calibri" w:hAnsi="Calibri"/>
                <w:sz w:val="17"/>
              </w:rPr>
              <w:t>19.48%</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[0.7302, 0.8113]</w:t>
            </w:r>
          </w:p>
        </w:tc>
        <w:tc>
          <w:tcPr>
            <w:tcW w:type="dxa" w:w="851"/>
            <w:tcMar>
              <w:top w:w="60" w:type="dxa"/>
              <w:bottom w:w="60" w:type="dxa"/>
              <w:left w:w="80" w:type="dxa"/>
              <w:right w:w="80" w:type="dxa"/>
            </w:tcMar>
            <w:shd w:fill="F9FAFC"/>
          </w:tcPr>
          <w:p>
            <w:pPr>
              <w:spacing w:after="40" w:line="240" w:lineRule="auto"/>
            </w:pPr>
            <w:r>
              <w:rPr>
                <w:rFonts w:ascii="Calibri" w:hAnsi="Calibri"/>
                <w:sz w:val="17"/>
              </w:rPr>
              <w:t>0.057 ms</w:t>
            </w:r>
          </w:p>
        </w:tc>
        <w:tc>
          <w:tcPr>
            <w:tcW w:type="dxa" w:w="851"/>
            <w:tcMar>
              <w:top w:w="60" w:type="dxa"/>
              <w:bottom w:w="60" w:type="dxa"/>
              <w:left w:w="80" w:type="dxa"/>
              <w:right w:w="80" w:type="dxa"/>
            </w:tcMar>
            <w:shd w:fill="F9FAFC"/>
          </w:tcPr>
          <w:p>
            <w:pPr>
              <w:spacing w:after="40" w:line="240" w:lineRule="auto"/>
            </w:pPr>
            <w:r>
              <w:rPr>
                <w:rFonts w:ascii="Calibri" w:hAnsi="Calibri"/>
                <w:sz w:val="17"/>
              </w:rPr>
              <w:t>84</w:t>
            </w:r>
          </w:p>
        </w:tc>
      </w:tr>
      <w:tr>
        <w:tc>
          <w:tcPr>
            <w:tcW w:type="dxa" w:w="851"/>
            <w:tcMar>
              <w:top w:w="60" w:type="dxa"/>
              <w:bottom w:w="60" w:type="dxa"/>
              <w:left w:w="80" w:type="dxa"/>
              <w:right w:w="80" w:type="dxa"/>
            </w:tcMar>
          </w:tcPr>
          <w:p>
            <w:pPr>
              <w:spacing w:after="40" w:line="240" w:lineRule="auto"/>
            </w:pPr>
            <w:r>
              <w:rPr>
                <w:rFonts w:ascii="Calibri" w:hAnsi="Calibri"/>
                <w:sz w:val="17"/>
              </w:rPr>
              <w:t>Fusion MLP (83 feats)</w:t>
            </w:r>
          </w:p>
        </w:tc>
        <w:tc>
          <w:tcPr>
            <w:tcW w:type="dxa" w:w="851"/>
            <w:tcMar>
              <w:top w:w="60" w:type="dxa"/>
              <w:bottom w:w="60" w:type="dxa"/>
              <w:left w:w="80" w:type="dxa"/>
              <w:right w:w="80" w:type="dxa"/>
            </w:tcMar>
          </w:tcPr>
          <w:p>
            <w:pPr>
              <w:spacing w:after="40" w:line="240" w:lineRule="auto"/>
            </w:pPr>
            <w:r>
              <w:rPr>
                <w:rFonts w:ascii="Calibri" w:hAnsi="Calibri"/>
                <w:sz w:val="17"/>
              </w:rPr>
              <w:t>74.14%</w:t>
            </w:r>
          </w:p>
        </w:tc>
        <w:tc>
          <w:tcPr>
            <w:tcW w:type="dxa" w:w="851"/>
            <w:tcMar>
              <w:top w:w="60" w:type="dxa"/>
              <w:bottom w:w="60" w:type="dxa"/>
              <w:left w:w="80" w:type="dxa"/>
              <w:right w:w="80" w:type="dxa"/>
            </w:tcMar>
          </w:tcPr>
          <w:p>
            <w:pPr>
              <w:spacing w:after="40" w:line="240" w:lineRule="auto"/>
            </w:pPr>
            <w:r>
              <w:rPr>
                <w:rFonts w:ascii="Calibri" w:hAnsi="Calibri"/>
                <w:sz w:val="17"/>
              </w:rPr>
              <w:t>72.87%</w:t>
            </w:r>
          </w:p>
        </w:tc>
        <w:tc>
          <w:tcPr>
            <w:tcW w:type="dxa" w:w="851"/>
            <w:tcMar>
              <w:top w:w="60" w:type="dxa"/>
              <w:bottom w:w="60" w:type="dxa"/>
              <w:left w:w="80" w:type="dxa"/>
              <w:right w:w="80" w:type="dxa"/>
            </w:tcMar>
          </w:tcPr>
          <w:p>
            <w:pPr>
              <w:spacing w:after="40" w:line="240" w:lineRule="auto"/>
            </w:pPr>
            <w:r>
              <w:rPr>
                <w:rFonts w:ascii="Calibri" w:hAnsi="Calibri"/>
                <w:sz w:val="17"/>
              </w:rPr>
              <w:t>81.39%</w:t>
            </w:r>
          </w:p>
        </w:tc>
        <w:tc>
          <w:tcPr>
            <w:tcW w:type="dxa" w:w="851"/>
            <w:tcMar>
              <w:top w:w="60" w:type="dxa"/>
              <w:bottom w:w="60" w:type="dxa"/>
              <w:left w:w="80" w:type="dxa"/>
              <w:right w:w="80" w:type="dxa"/>
            </w:tcMar>
          </w:tcPr>
          <w:p>
            <w:pPr>
              <w:spacing w:after="40" w:line="240" w:lineRule="auto"/>
            </w:pPr>
            <w:r>
              <w:rPr>
                <w:rFonts w:ascii="Calibri" w:hAnsi="Calibri"/>
                <w:sz w:val="17"/>
              </w:rPr>
              <w:t>0.7689</w:t>
            </w:r>
          </w:p>
        </w:tc>
        <w:tc>
          <w:tcPr>
            <w:tcW w:type="dxa" w:w="851"/>
            <w:tcMar>
              <w:top w:w="60" w:type="dxa"/>
              <w:bottom w:w="60" w:type="dxa"/>
              <w:left w:w="80" w:type="dxa"/>
              <w:right w:w="80" w:type="dxa"/>
            </w:tcMar>
          </w:tcPr>
          <w:p>
            <w:pPr>
              <w:spacing w:after="40" w:line="240" w:lineRule="auto"/>
            </w:pPr>
            <w:r>
              <w:rPr>
                <w:rFonts w:ascii="Calibri" w:hAnsi="Calibri"/>
                <w:sz w:val="17"/>
              </w:rPr>
              <w:t>0.8501</w:t>
            </w:r>
          </w:p>
        </w:tc>
        <w:tc>
          <w:tcPr>
            <w:tcW w:type="dxa" w:w="851"/>
            <w:tcMar>
              <w:top w:w="60" w:type="dxa"/>
              <w:bottom w:w="60" w:type="dxa"/>
              <w:left w:w="80" w:type="dxa"/>
              <w:right w:w="80" w:type="dxa"/>
            </w:tcMar>
          </w:tcPr>
          <w:p>
            <w:pPr>
              <w:spacing w:after="40" w:line="240" w:lineRule="auto"/>
            </w:pPr>
            <w:r>
              <w:rPr>
                <w:rFonts w:ascii="Calibri" w:hAnsi="Calibri"/>
                <w:sz w:val="17"/>
              </w:rPr>
              <w:t>33.98%</w:t>
            </w:r>
          </w:p>
        </w:tc>
        <w:tc>
          <w:tcPr>
            <w:tcW w:type="dxa" w:w="851"/>
            <w:tcMar>
              <w:top w:w="60" w:type="dxa"/>
              <w:bottom w:w="60" w:type="dxa"/>
              <w:left w:w="80" w:type="dxa"/>
              <w:right w:w="80" w:type="dxa"/>
            </w:tcMar>
          </w:tcPr>
          <w:p>
            <w:pPr>
              <w:spacing w:after="40" w:line="240" w:lineRule="auto"/>
            </w:pPr>
            <w:r>
              <w:rPr>
                <w:rFonts w:ascii="Calibri" w:hAnsi="Calibri"/>
                <w:sz w:val="17"/>
              </w:rPr>
              <w:t>18.61%</w:t>
            </w:r>
          </w:p>
        </w:tc>
        <w:tc>
          <w:tcPr>
            <w:tcW w:type="dxa" w:w="851"/>
            <w:tcMar>
              <w:top w:w="60" w:type="dxa"/>
              <w:bottom w:w="60" w:type="dxa"/>
              <w:left w:w="80" w:type="dxa"/>
              <w:right w:w="80" w:type="dxa"/>
            </w:tcMar>
          </w:tcPr>
          <w:p>
            <w:pPr>
              <w:spacing w:after="40" w:line="240" w:lineRule="auto"/>
            </w:pPr>
            <w:r>
              <w:rPr>
                <w:rFonts w:ascii="Calibri" w:hAnsi="Calibri"/>
                <w:sz w:val="17"/>
              </w:rPr>
              <w:t>[0.7291, 0.8085]</w:t>
            </w:r>
          </w:p>
        </w:tc>
        <w:tc>
          <w:tcPr>
            <w:tcW w:type="dxa" w:w="851"/>
            <w:tcMar>
              <w:top w:w="60" w:type="dxa"/>
              <w:bottom w:w="60" w:type="dxa"/>
              <w:left w:w="80" w:type="dxa"/>
              <w:right w:w="80" w:type="dxa"/>
            </w:tcMar>
          </w:tcPr>
          <w:p>
            <w:pPr>
              <w:spacing w:after="40" w:line="240" w:lineRule="auto"/>
            </w:pPr>
            <w:r>
              <w:rPr>
                <w:rFonts w:ascii="Calibri" w:hAnsi="Calibri"/>
                <w:sz w:val="17"/>
              </w:rPr>
              <w:t>0.156 ms</w:t>
            </w:r>
          </w:p>
        </w:tc>
        <w:tc>
          <w:tcPr>
            <w:tcW w:type="dxa" w:w="851"/>
            <w:tcMar>
              <w:top w:w="60" w:type="dxa"/>
              <w:bottom w:w="60" w:type="dxa"/>
              <w:left w:w="80" w:type="dxa"/>
              <w:right w:w="80" w:type="dxa"/>
            </w:tcMar>
          </w:tcPr>
          <w:p>
            <w:pPr>
              <w:spacing w:after="40" w:line="240" w:lineRule="auto"/>
            </w:pPr>
            <w:r>
              <w:rPr>
                <w:rFonts w:ascii="Calibri" w:hAnsi="Calibri"/>
                <w:sz w:val="17"/>
              </w:rPr>
              <w:t>19,522</w:t>
            </w:r>
          </w:p>
        </w:tc>
      </w:tr>
      <w:tr>
        <w:tc>
          <w:tcPr>
            <w:tcW w:type="dxa" w:w="851"/>
            <w:tcMar>
              <w:top w:w="60" w:type="dxa"/>
              <w:bottom w:w="60" w:type="dxa"/>
              <w:left w:w="80" w:type="dxa"/>
              <w:right w:w="80" w:type="dxa"/>
            </w:tcMar>
            <w:shd w:fill="F9FAFC"/>
          </w:tcPr>
          <w:p>
            <w:pPr>
              <w:spacing w:after="40" w:line="240" w:lineRule="auto"/>
            </w:pPr>
            <w:r>
              <w:rPr>
                <w:rFonts w:ascii="Calibri" w:hAnsi="Calibri"/>
                <w:sz w:val="17"/>
              </w:rPr>
              <w:t>Two-Stage Dual CNN</w:t>
            </w:r>
          </w:p>
        </w:tc>
        <w:tc>
          <w:tcPr>
            <w:tcW w:type="dxa" w:w="851"/>
            <w:tcMar>
              <w:top w:w="60" w:type="dxa"/>
              <w:bottom w:w="60" w:type="dxa"/>
              <w:left w:w="80" w:type="dxa"/>
              <w:right w:w="80" w:type="dxa"/>
            </w:tcMar>
            <w:shd w:fill="F9FAFC"/>
          </w:tcPr>
          <w:p>
            <w:pPr>
              <w:spacing w:after="40" w:line="240" w:lineRule="auto"/>
            </w:pPr>
            <w:r>
              <w:rPr>
                <w:rFonts w:ascii="Calibri" w:hAnsi="Calibri"/>
                <w:sz w:val="17"/>
              </w:rPr>
              <w:t>76.20%</w:t>
            </w:r>
          </w:p>
        </w:tc>
        <w:tc>
          <w:tcPr>
            <w:tcW w:type="dxa" w:w="851"/>
            <w:tcMar>
              <w:top w:w="60" w:type="dxa"/>
              <w:bottom w:w="60" w:type="dxa"/>
              <w:left w:w="80" w:type="dxa"/>
              <w:right w:w="80" w:type="dxa"/>
            </w:tcMar>
            <w:shd w:fill="F9FAFC"/>
          </w:tcPr>
          <w:p>
            <w:pPr>
              <w:spacing w:after="40" w:line="240" w:lineRule="auto"/>
            </w:pPr>
            <w:r>
              <w:rPr>
                <w:rFonts w:ascii="Calibri" w:hAnsi="Calibri"/>
                <w:sz w:val="17"/>
              </w:rPr>
              <w:t>74.33%</w:t>
            </w:r>
          </w:p>
        </w:tc>
        <w:tc>
          <w:tcPr>
            <w:tcW w:type="dxa" w:w="851"/>
            <w:tcMar>
              <w:top w:w="60" w:type="dxa"/>
              <w:bottom w:w="60" w:type="dxa"/>
              <w:left w:w="80" w:type="dxa"/>
              <w:right w:w="80" w:type="dxa"/>
            </w:tcMar>
            <w:shd w:fill="F9FAFC"/>
          </w:tcPr>
          <w:p>
            <w:pPr>
              <w:spacing w:after="40" w:line="240" w:lineRule="auto"/>
            </w:pPr>
            <w:r>
              <w:rPr>
                <w:rFonts w:ascii="Calibri" w:hAnsi="Calibri"/>
                <w:sz w:val="17"/>
              </w:rPr>
              <w:t>83.98%</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0.7886</w:t>
            </w:r>
          </w:p>
        </w:tc>
        <w:tc>
          <w:tcPr>
            <w:tcW w:type="dxa" w:w="851"/>
            <w:tcMar>
              <w:top w:w="60" w:type="dxa"/>
              <w:bottom w:w="60" w:type="dxa"/>
              <w:left w:w="80" w:type="dxa"/>
              <w:right w:w="80" w:type="dxa"/>
            </w:tcMar>
            <w:shd w:fill="F9FAFC"/>
          </w:tcPr>
          <w:p>
            <w:pPr>
              <w:spacing w:after="40" w:line="240" w:lineRule="auto"/>
            </w:pPr>
            <w:r>
              <w:rPr>
                <w:rFonts w:ascii="Calibri" w:hAnsi="Calibri"/>
                <w:sz w:val="17"/>
              </w:rPr>
              <w:t>0.8253</w:t>
            </w:r>
          </w:p>
        </w:tc>
        <w:tc>
          <w:tcPr>
            <w:tcW w:type="dxa" w:w="851"/>
            <w:tcMar>
              <w:top w:w="60" w:type="dxa"/>
              <w:bottom w:w="60" w:type="dxa"/>
              <w:left w:w="80" w:type="dxa"/>
              <w:right w:w="80" w:type="dxa"/>
            </w:tcMar>
            <w:shd w:fill="F9FAFC"/>
          </w:tcPr>
          <w:p>
            <w:pPr>
              <w:spacing w:after="40" w:line="240" w:lineRule="auto"/>
            </w:pPr>
            <w:r>
              <w:rPr>
                <w:rFonts w:ascii="Calibri" w:hAnsi="Calibri"/>
                <w:sz w:val="17"/>
              </w:rPr>
              <w:t>32.52%</w:t>
            </w:r>
          </w:p>
        </w:tc>
        <w:tc>
          <w:tcPr>
            <w:tcW w:type="dxa" w:w="851"/>
            <w:tcMar>
              <w:top w:w="60" w:type="dxa"/>
              <w:bottom w:w="60" w:type="dxa"/>
              <w:left w:w="80" w:type="dxa"/>
              <w:right w:w="80" w:type="dxa"/>
            </w:tcMar>
            <w:shd w:fill="F9FAFC"/>
          </w:tcPr>
          <w:p>
            <w:pPr>
              <w:spacing w:after="40" w:line="240" w:lineRule="auto"/>
            </w:pPr>
            <w:r>
              <w:rPr>
                <w:rFonts w:ascii="Calibri" w:hAnsi="Calibri"/>
                <w:sz w:val="17"/>
              </w:rPr>
              <w:t>16.02%</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[0.7469, 0.8257]</w:t>
            </w:r>
          </w:p>
        </w:tc>
        <w:tc>
          <w:tcPr>
            <w:tcW w:type="dxa" w:w="851"/>
            <w:tcMar>
              <w:top w:w="60" w:type="dxa"/>
              <w:bottom w:w="60" w:type="dxa"/>
              <w:left w:w="80" w:type="dxa"/>
              <w:right w:w="80" w:type="dxa"/>
            </w:tcMar>
            <w:shd w:fill="F9FAFC"/>
          </w:tcPr>
          <w:p>
            <w:pPr>
              <w:spacing w:after="40" w:line="240" w:lineRule="auto"/>
            </w:pPr>
            <w:r>
              <w:rPr>
                <w:rFonts w:ascii="Calibri" w:hAnsi="Calibri"/>
                <w:sz w:val="17"/>
              </w:rPr>
              <w:t>0.840 ms</w:t>
            </w:r>
          </w:p>
        </w:tc>
        <w:tc>
          <w:tcPr>
            <w:tcW w:type="dxa" w:w="851"/>
            <w:tcMar>
              <w:top w:w="60" w:type="dxa"/>
              <w:bottom w:w="60" w:type="dxa"/>
              <w:left w:w="80" w:type="dxa"/>
              <w:right w:w="80" w:type="dxa"/>
            </w:tcMar>
            <w:shd w:fill="F9FAFC"/>
          </w:tcPr>
          <w:p>
            <w:pPr>
              <w:spacing w:after="40" w:line="240" w:lineRule="auto"/>
            </w:pPr>
            <w:r>
              <w:rPr>
                <w:rFonts w:ascii="Calibri" w:hAnsi="Calibri"/>
                <w:sz w:val="17"/>
              </w:rPr>
              <w:t>61,742</w:t>
            </w:r>
          </w:p>
        </w:tc>
      </w:tr>
      <w:tr>
        <w:tc>
          <w:tcPr>
            <w:tcW w:type="dxa" w:w="851"/>
            <w:tcMar>
              <w:top w:w="60" w:type="dxa"/>
              <w:bottom w:w="60" w:type="dxa"/>
              <w:left w:w="80" w:type="dxa"/>
              <w:right w:w="80" w:type="dxa"/>
            </w:tcMar>
          </w:tcPr>
          <w:p>
            <w:pPr>
              <w:spacing w:after="40" w:line="240" w:lineRule="auto"/>
            </w:pPr>
            <w:r>
              <w:rPr>
                <w:rFonts w:ascii="Calibri" w:hAnsi="Calibri"/>
                <w:sz w:val="17"/>
              </w:rPr>
              <w:t>ResExoNet (Residual 3-Branch)</w:t>
            </w:r>
          </w:p>
        </w:tc>
        <w:tc>
          <w:tcPr>
            <w:tcW w:type="dxa" w:w="851"/>
            <w:tcMar>
              <w:top w:w="60" w:type="dxa"/>
              <w:bottom w:w="60" w:type="dxa"/>
              <w:left w:w="80" w:type="dxa"/>
              <w:right w:w="80" w:type="dxa"/>
            </w:tcMar>
          </w:tcPr>
          <w:p>
            <w:pPr>
              <w:spacing w:after="40" w:line="240" w:lineRule="auto"/>
            </w:pPr>
            <w:r>
              <w:rPr>
                <w:rFonts w:ascii="Calibri" w:hAnsi="Calibri"/>
                <w:sz w:val="17"/>
              </w:rPr>
              <w:t>73.46%</w:t>
            </w:r>
          </w:p>
        </w:tc>
        <w:tc>
          <w:tcPr>
            <w:tcW w:type="dxa" w:w="851"/>
            <w:tcMar>
              <w:top w:w="60" w:type="dxa"/>
              <w:bottom w:w="60" w:type="dxa"/>
              <w:left w:w="80" w:type="dxa"/>
              <w:right w:w="80" w:type="dxa"/>
            </w:tcMar>
          </w:tcPr>
          <w:p>
            <w:pPr>
              <w:spacing w:after="40" w:line="240" w:lineRule="auto"/>
            </w:pPr>
            <w:r>
              <w:rPr>
                <w:rFonts w:ascii="Calibri" w:hAnsi="Calibri"/>
                <w:sz w:val="17"/>
              </w:rPr>
              <w:t>73.66%</w:t>
            </w:r>
          </w:p>
        </w:tc>
        <w:tc>
          <w:tcPr>
            <w:tcW w:type="dxa" w:w="851"/>
            <w:tcMar>
              <w:top w:w="60" w:type="dxa"/>
              <w:bottom w:w="60" w:type="dxa"/>
              <w:left w:w="80" w:type="dxa"/>
              <w:right w:w="80" w:type="dxa"/>
            </w:tcMar>
          </w:tcPr>
          <w:p>
            <w:pPr>
              <w:spacing w:after="40" w:line="240" w:lineRule="auto"/>
            </w:pPr>
            <w:r>
              <w:rPr>
                <w:rFonts w:ascii="Calibri" w:hAnsi="Calibri"/>
                <w:sz w:val="17"/>
              </w:rPr>
              <w:t>77.49%</w:t>
            </w:r>
          </w:p>
        </w:tc>
        <w:tc>
          <w:tcPr>
            <w:tcW w:type="dxa" w:w="851"/>
            <w:tcMar>
              <w:top w:w="60" w:type="dxa"/>
              <w:bottom w:w="60" w:type="dxa"/>
              <w:left w:w="80" w:type="dxa"/>
              <w:right w:w="80" w:type="dxa"/>
            </w:tcMar>
          </w:tcPr>
          <w:p>
            <w:pPr>
              <w:spacing w:after="40" w:line="240" w:lineRule="auto"/>
            </w:pPr>
            <w:r>
              <w:rPr>
                <w:rFonts w:ascii="Calibri" w:hAnsi="Calibri"/>
                <w:sz w:val="17"/>
              </w:rPr>
              <w:t>0.7553</w:t>
            </w:r>
          </w:p>
        </w:tc>
        <w:tc>
          <w:tcPr>
            <w:tcW w:type="dxa" w:w="851"/>
            <w:tcMar>
              <w:top w:w="60" w:type="dxa"/>
              <w:bottom w:w="60" w:type="dxa"/>
              <w:left w:w="80" w:type="dxa"/>
              <w:right w:w="80" w:type="dxa"/>
            </w:tcMar>
          </w:tcPr>
          <w:p>
            <w:pPr>
              <w:spacing w:after="40" w:line="240" w:lineRule="auto"/>
            </w:pPr>
            <w:r>
              <w:rPr>
                <w:rFonts w:ascii="Calibri" w:hAnsi="Calibri"/>
                <w:sz w:val="17"/>
              </w:rPr>
              <w:t>0.7925</w:t>
            </w:r>
          </w:p>
        </w:tc>
        <w:tc>
          <w:tcPr>
            <w:tcW w:type="dxa" w:w="851"/>
            <w:tcMar>
              <w:top w:w="60" w:type="dxa"/>
              <w:bottom w:w="60" w:type="dxa"/>
              <w:left w:w="80" w:type="dxa"/>
              <w:right w:w="80" w:type="dxa"/>
            </w:tcMar>
          </w:tcPr>
          <w:p>
            <w:pPr>
              <w:spacing w:after="40" w:line="240" w:lineRule="auto"/>
            </w:pPr>
            <w:r>
              <w:rPr>
                <w:rFonts w:ascii="Calibri" w:hAnsi="Calibri"/>
                <w:sz w:val="17"/>
              </w:rPr>
              <w:t>31.07%</w:t>
            </w:r>
          </w:p>
        </w:tc>
        <w:tc>
          <w:tcPr>
            <w:tcW w:type="dxa" w:w="851"/>
            <w:tcMar>
              <w:top w:w="60" w:type="dxa"/>
              <w:bottom w:w="60" w:type="dxa"/>
              <w:left w:w="80" w:type="dxa"/>
              <w:right w:w="80" w:type="dxa"/>
            </w:tcMar>
          </w:tcPr>
          <w:p>
            <w:pPr>
              <w:spacing w:after="40" w:line="240" w:lineRule="auto"/>
            </w:pPr>
            <w:r>
              <w:rPr>
                <w:rFonts w:ascii="Calibri" w:hAnsi="Calibri"/>
                <w:sz w:val="17"/>
              </w:rPr>
              <w:t>22.51%</w:t>
            </w:r>
          </w:p>
        </w:tc>
        <w:tc>
          <w:tcPr>
            <w:tcW w:type="dxa" w:w="851"/>
            <w:tcMar>
              <w:top w:w="60" w:type="dxa"/>
              <w:bottom w:w="60" w:type="dxa"/>
              <w:left w:w="80" w:type="dxa"/>
              <w:right w:w="80" w:type="dxa"/>
            </w:tcMar>
          </w:tcPr>
          <w:p>
            <w:pPr>
              <w:spacing w:after="40" w:line="240" w:lineRule="auto"/>
            </w:pPr>
            <w:r>
              <w:rPr>
                <w:rFonts w:ascii="Calibri" w:hAnsi="Calibri"/>
                <w:sz w:val="17"/>
              </w:rPr>
              <w:t>[0.7120, 0.7966]</w:t>
            </w:r>
          </w:p>
        </w:tc>
        <w:tc>
          <w:tcPr>
            <w:tcW w:type="dxa" w:w="851"/>
            <w:tcMar>
              <w:top w:w="60" w:type="dxa"/>
              <w:bottom w:w="60" w:type="dxa"/>
              <w:left w:w="80" w:type="dxa"/>
              <w:right w:w="80" w:type="dxa"/>
            </w:tcMar>
          </w:tcPr>
          <w:p>
            <w:pPr>
              <w:spacing w:after="40" w:line="240" w:lineRule="auto"/>
            </w:pPr>
            <w:r>
              <w:rPr>
                <w:rFonts w:ascii="Calibri" w:hAnsi="Calibri"/>
                <w:sz w:val="17"/>
              </w:rPr>
              <w:t>0.924 ms</w:t>
            </w:r>
          </w:p>
        </w:tc>
        <w:tc>
          <w:tcPr>
            <w:tcW w:type="dxa" w:w="851"/>
            <w:tcMar>
              <w:top w:w="60" w:type="dxa"/>
              <w:bottom w:w="60" w:type="dxa"/>
              <w:left w:w="80" w:type="dxa"/>
              <w:right w:w="80" w:type="dxa"/>
            </w:tcMar>
          </w:tcPr>
          <w:p>
            <w:pPr>
              <w:spacing w:after="40" w:line="240" w:lineRule="auto"/>
            </w:pPr>
            <w:r>
              <w:rPr>
                <w:rFonts w:ascii="Calibri" w:hAnsi="Calibri"/>
                <w:sz w:val="17"/>
              </w:rPr>
              <w:t>92,807</w:t>
            </w:r>
          </w:p>
        </w:tc>
      </w:tr>
      <w:tr>
        <w:tc>
          <w:tcPr>
            <w:tcW w:type="dxa" w:w="851"/>
            <w:tcMar>
              <w:top w:w="60" w:type="dxa"/>
              <w:bottom w:w="60" w:type="dxa"/>
              <w:left w:w="80" w:type="dxa"/>
              <w:right w:w="80" w:type="dxa"/>
            </w:tcMar>
            <w:shd w:fill="F9FAFC"/>
          </w:tcPr>
          <w:p>
            <w:pPr>
              <w:spacing w:after="40" w:line="240" w:lineRule="auto"/>
            </w:pPr>
            <w:r>
              <w:rPr>
                <w:rFonts w:ascii="Calibri" w:hAnsi="Calibri"/>
                <w:sz w:val="17"/>
              </w:rPr>
              <w:t>CNN-Transformer Hybrid</w:t>
            </w:r>
          </w:p>
        </w:tc>
        <w:tc>
          <w:tcPr>
            <w:tcW w:type="dxa" w:w="851"/>
            <w:tcMar>
              <w:top w:w="60" w:type="dxa"/>
              <w:bottom w:w="60" w:type="dxa"/>
              <w:left w:w="80" w:type="dxa"/>
              <w:right w:w="80" w:type="dxa"/>
            </w:tcMar>
            <w:shd w:fill="F9FAFC"/>
          </w:tcPr>
          <w:p>
            <w:pPr>
              <w:spacing w:after="40" w:line="240" w:lineRule="auto"/>
            </w:pPr>
            <w:r>
              <w:rPr>
                <w:rFonts w:ascii="Calibri" w:hAnsi="Calibri"/>
                <w:sz w:val="17"/>
              </w:rPr>
              <w:t>69.11%</w:t>
            </w:r>
          </w:p>
        </w:tc>
        <w:tc>
          <w:tcPr>
            <w:tcW w:type="dxa" w:w="851"/>
            <w:tcMar>
              <w:top w:w="60" w:type="dxa"/>
              <w:bottom w:w="60" w:type="dxa"/>
              <w:left w:w="80" w:type="dxa"/>
              <w:right w:w="80" w:type="dxa"/>
            </w:tcMar>
            <w:shd w:fill="F9FAFC"/>
          </w:tcPr>
          <w:p>
            <w:pPr>
              <w:spacing w:after="40" w:line="240" w:lineRule="auto"/>
            </w:pPr>
            <w:r>
              <w:rPr>
                <w:rFonts w:ascii="Calibri" w:hAnsi="Calibri"/>
                <w:sz w:val="17"/>
              </w:rPr>
              <w:t>70.17%</w:t>
            </w:r>
          </w:p>
        </w:tc>
        <w:tc>
          <w:tcPr>
            <w:tcW w:type="dxa" w:w="851"/>
            <w:tcMar>
              <w:top w:w="60" w:type="dxa"/>
              <w:bottom w:w="60" w:type="dxa"/>
              <w:left w:w="80" w:type="dxa"/>
              <w:right w:w="80" w:type="dxa"/>
            </w:tcMar>
            <w:shd w:fill="F9FAFC"/>
          </w:tcPr>
          <w:p>
            <w:pPr>
              <w:spacing w:after="40" w:line="240" w:lineRule="auto"/>
            </w:pPr>
            <w:r>
              <w:rPr>
                <w:rFonts w:ascii="Calibri" w:hAnsi="Calibri"/>
                <w:sz w:val="17"/>
              </w:rPr>
              <w:t>72.29%</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0.7122</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0.7485</w:t>
            </w:r>
          </w:p>
        </w:tc>
        <w:tc>
          <w:tcPr>
            <w:tcW w:type="dxa" w:w="851"/>
            <w:tcMar>
              <w:top w:w="60" w:type="dxa"/>
              <w:bottom w:w="60" w:type="dxa"/>
              <w:left w:w="80" w:type="dxa"/>
              <w:right w:w="80" w:type="dxa"/>
            </w:tcMar>
            <w:shd w:fill="F9FAFC"/>
          </w:tcPr>
          <w:p>
            <w:pPr>
              <w:spacing w:after="40" w:line="240" w:lineRule="auto"/>
            </w:pPr>
            <w:r>
              <w:rPr>
                <w:rFonts w:ascii="Calibri" w:hAnsi="Calibri"/>
                <w:sz w:val="17"/>
              </w:rPr>
              <w:t>34.47%</w:t>
            </w:r>
          </w:p>
        </w:tc>
        <w:tc>
          <w:tcPr>
            <w:tcW w:type="dxa" w:w="851"/>
            <w:tcMar>
              <w:top w:w="60" w:type="dxa"/>
              <w:bottom w:w="60" w:type="dxa"/>
              <w:left w:w="80" w:type="dxa"/>
              <w:right w:w="80" w:type="dxa"/>
            </w:tcMar>
            <w:shd w:fill="F9FAFC"/>
          </w:tcPr>
          <w:p>
            <w:pPr>
              <w:spacing w:after="40" w:line="240" w:lineRule="auto"/>
            </w:pPr>
            <w:r>
              <w:rPr>
                <w:rFonts w:ascii="Calibri" w:hAnsi="Calibri"/>
                <w:sz w:val="17"/>
              </w:rPr>
              <w:t>27.71%</w:t>
            </w:r>
          </w:p>
        </w:tc>
        <w:tc>
          <w:tcPr>
            <w:tcW w:type="dxa" w:w="851"/>
            <w:tcMar>
              <w:top w:w="60" w:type="dxa"/>
              <w:bottom w:w="60" w:type="dxa"/>
              <w:left w:w="80" w:type="dxa"/>
              <w:right w:w="80" w:type="dxa"/>
            </w:tcMar>
            <w:shd w:fill="F9FAFC"/>
          </w:tcPr>
          <w:p>
            <w:pPr>
              <w:spacing w:after="40" w:line="240" w:lineRule="auto"/>
            </w:pPr>
            <w:r>
              <w:rPr>
                <w:rFonts w:ascii="Calibri" w:hAnsi="Calibri"/>
                <w:sz w:val="17"/>
              </w:rPr>
              <w:t>[0.6652, 0.7546]</w:t>
            </w:r>
          </w:p>
        </w:tc>
        <w:tc>
          <w:tcPr>
            <w:tcW w:type="dxa" w:w="851"/>
            <w:tcMar>
              <w:top w:w="60" w:type="dxa"/>
              <w:bottom w:w="60" w:type="dxa"/>
              <w:left w:w="80" w:type="dxa"/>
              <w:right w:w="80" w:type="dxa"/>
            </w:tcMar>
            <w:shd w:fill="F9FAFC"/>
          </w:tcPr>
          <w:p>
            <w:pPr>
              <w:spacing w:after="40" w:line="240" w:lineRule="auto"/>
            </w:pPr>
            <w:r>
              <w:rPr>
                <w:rFonts w:ascii="Calibri" w:hAnsi="Calibri"/>
                <w:sz w:val="17"/>
              </w:rPr>
              <w:t>1.434 ms</w:t>
            </w:r>
          </w:p>
        </w:tc>
        <w:tc>
          <w:tcPr>
            <w:tcW w:type="dxa" w:w="851"/>
            <w:tcMar>
              <w:top w:w="60" w:type="dxa"/>
              <w:bottom w:w="60" w:type="dxa"/>
              <w:left w:w="80" w:type="dxa"/>
              <w:right w:w="80" w:type="dxa"/>
            </w:tcMar>
            <w:shd w:fill="F9FAFC"/>
          </w:tcPr>
          <w:p>
            <w:pPr>
              <w:spacing w:after="40" w:line="240" w:lineRule="auto"/>
            </w:pPr>
            <w:r>
              <w:rPr>
                <w:rFonts w:ascii="Calibri" w:hAnsi="Calibri"/>
                <w:sz w:val="17"/>
              </w:rPr>
              <w:t>188,525</w:t>
            </w:r>
          </w:p>
        </w:tc>
      </w:tr>
      <w:tr>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Heterogeneous Ensemble (Uniform)</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78.72%</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76.34%</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86.58%</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0.8114</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0.8839</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30.10%</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13.42%</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[0.7709, 0.8463]</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1.052 ms</w:t>
            </w:r>
          </w:p>
        </w:tc>
        <w:tc>
          <w:tcPr>
            <w:tcW w:type="dxa" w:w="851"/>
            <w:tcMar>
              <w:top w:w="60" w:type="dxa"/>
              <w:bottom w:w="60" w:type="dxa"/>
              <w:left w:w="80" w:type="dxa"/>
              <w:right w:w="80" w:type="dxa"/>
            </w:tcMar>
            <w:shd w:fill="EBF1F5"/>
          </w:tcPr>
          <w:p>
            <w:pPr>
              <w:spacing w:after="40" w:line="240" w:lineRule="auto"/>
            </w:pPr>
            <w:r>
              <w:rPr>
                <w:rFonts w:ascii="Calibri" w:hAnsi="Calibri"/>
                <w:b/>
                <w:color w:val="1B365D"/>
                <w:sz w:val="17"/>
              </w:rPr>
              <w:t>81,348</w:t>
            </w:r>
          </w:p>
        </w:tc>
      </w:tr>
      <w:tr>
        <w:tc>
          <w:tcPr>
            <w:tcW w:type="dxa" w:w="851"/>
            <w:tcMar>
              <w:top w:w="60" w:type="dxa"/>
              <w:bottom w:w="60" w:type="dxa"/>
              <w:left w:w="80" w:type="dxa"/>
              <w:right w:w="80" w:type="dxa"/>
            </w:tcMar>
            <w:shd w:fill="F9FAFC"/>
          </w:tcPr>
          <w:p>
            <w:pPr>
              <w:spacing w:after="40" w:line="240" w:lineRule="auto"/>
            </w:pPr>
            <w:r>
              <w:rPr>
                <w:rFonts w:ascii="Calibri" w:hAnsi="Calibri"/>
                <w:sz w:val="17"/>
              </w:rPr>
              <w:t>Performance-Weighted Ensemble</w:t>
            </w:r>
          </w:p>
        </w:tc>
        <w:tc>
          <w:tcPr>
            <w:tcW w:type="dxa" w:w="851"/>
            <w:tcMar>
              <w:top w:w="60" w:type="dxa"/>
              <w:bottom w:w="60" w:type="dxa"/>
              <w:left w:w="80" w:type="dxa"/>
              <w:right w:w="80" w:type="dxa"/>
            </w:tcMar>
            <w:shd w:fill="F9FAFC"/>
          </w:tcPr>
          <w:p>
            <w:pPr>
              <w:spacing w:after="40" w:line="240" w:lineRule="auto"/>
            </w:pPr>
            <w:r>
              <w:rPr>
                <w:rFonts w:ascii="Calibri" w:hAnsi="Calibri"/>
                <w:sz w:val="17"/>
              </w:rPr>
              <w:t>78.26%</w:t>
            </w:r>
          </w:p>
        </w:tc>
        <w:tc>
          <w:tcPr>
            <w:tcW w:type="dxa" w:w="851"/>
            <w:tcMar>
              <w:top w:w="60" w:type="dxa"/>
              <w:bottom w:w="60" w:type="dxa"/>
              <w:left w:w="80" w:type="dxa"/>
              <w:right w:w="80" w:type="dxa"/>
            </w:tcMar>
            <w:shd w:fill="F9FAFC"/>
          </w:tcPr>
          <w:p>
            <w:pPr>
              <w:spacing w:after="40" w:line="240" w:lineRule="auto"/>
            </w:pPr>
            <w:r>
              <w:rPr>
                <w:rFonts w:ascii="Calibri" w:hAnsi="Calibri"/>
                <w:sz w:val="17"/>
              </w:rPr>
              <w:t>76.15%</w:t>
            </w:r>
          </w:p>
        </w:tc>
        <w:tc>
          <w:tcPr>
            <w:tcW w:type="dxa" w:w="851"/>
            <w:tcMar>
              <w:top w:w="60" w:type="dxa"/>
              <w:bottom w:w="60" w:type="dxa"/>
              <w:left w:w="80" w:type="dxa"/>
              <w:right w:w="80" w:type="dxa"/>
            </w:tcMar>
            <w:shd w:fill="F9FAFC"/>
          </w:tcPr>
          <w:p>
            <w:pPr>
              <w:spacing w:after="40" w:line="240" w:lineRule="auto"/>
            </w:pPr>
            <w:r>
              <w:rPr>
                <w:rFonts w:ascii="Calibri" w:hAnsi="Calibri"/>
                <w:sz w:val="17"/>
              </w:rPr>
              <w:t>85.71%</w:t>
            </w:r>
          </w:p>
        </w:tc>
        <w:tc>
          <w:tcPr>
            <w:tcW w:type="dxa" w:w="851"/>
            <w:tcMar>
              <w:top w:w="60" w:type="dxa"/>
              <w:bottom w:w="60" w:type="dxa"/>
              <w:left w:w="80" w:type="dxa"/>
              <w:right w:w="80" w:type="dxa"/>
            </w:tcMar>
            <w:shd w:fill="F9FAFC"/>
          </w:tcPr>
          <w:p>
            <w:pPr>
              <w:spacing w:after="40" w:line="240" w:lineRule="auto"/>
            </w:pPr>
            <w:r>
              <w:rPr>
                <w:rFonts w:ascii="Calibri" w:hAnsi="Calibri"/>
                <w:sz w:val="17"/>
              </w:rPr>
              <w:t>0.8065</w:t>
            </w:r>
          </w:p>
        </w:tc>
        <w:tc>
          <w:tcPr>
            <w:tcW w:type="dxa" w:w="851"/>
            <w:tcMar>
              <w:top w:w="60" w:type="dxa"/>
              <w:bottom w:w="60" w:type="dxa"/>
              <w:left w:w="80" w:type="dxa"/>
              <w:right w:w="80" w:type="dxa"/>
            </w:tcMar>
            <w:shd w:fill="F9FAFC"/>
          </w:tcPr>
          <w:p>
            <w:pPr>
              <w:spacing w:after="40" w:line="240" w:lineRule="auto"/>
            </w:pPr>
            <w:r>
              <w:rPr>
                <w:rFonts w:ascii="Calibri" w:hAnsi="Calibri"/>
                <w:sz w:val="17"/>
              </w:rPr>
              <w:t>0.8839</w:t>
            </w:r>
          </w:p>
        </w:tc>
        <w:tc>
          <w:tcPr>
            <w:tcW w:type="dxa" w:w="851"/>
            <w:tcMar>
              <w:top w:w="60" w:type="dxa"/>
              <w:bottom w:w="60" w:type="dxa"/>
              <w:left w:w="80" w:type="dxa"/>
              <w:right w:w="80" w:type="dxa"/>
            </w:tcMar>
            <w:shd w:fill="F9FAFC"/>
          </w:tcPr>
          <w:p>
            <w:pPr>
              <w:spacing w:after="40" w:line="240" w:lineRule="auto"/>
            </w:pPr>
            <w:r>
              <w:rPr>
                <w:rFonts w:ascii="Calibri" w:hAnsi="Calibri"/>
                <w:sz w:val="17"/>
              </w:rPr>
              <w:t>30.10%</w:t>
            </w:r>
          </w:p>
        </w:tc>
        <w:tc>
          <w:tcPr>
            <w:tcW w:type="dxa" w:w="851"/>
            <w:tcMar>
              <w:top w:w="60" w:type="dxa"/>
              <w:bottom w:w="60" w:type="dxa"/>
              <w:left w:w="80" w:type="dxa"/>
              <w:right w:w="80" w:type="dxa"/>
            </w:tcMar>
            <w:shd w:fill="F9FAFC"/>
          </w:tcPr>
          <w:p>
            <w:pPr>
              <w:spacing w:after="40" w:line="240" w:lineRule="auto"/>
            </w:pPr>
            <w:r>
              <w:rPr>
                <w:rFonts w:ascii="Calibri" w:hAnsi="Calibri"/>
                <w:sz w:val="17"/>
              </w:rPr>
              <w:t>14.29%</w:t>
            </w:r>
          </w:p>
        </w:tc>
        <w:tc>
          <w:tcPr>
            <w:tcW w:type="dxa" w:w="851"/>
            <w:tcMar>
              <w:top w:w="60" w:type="dxa"/>
              <w:bottom w:w="60" w:type="dxa"/>
              <w:left w:w="80" w:type="dxa"/>
              <w:right w:w="80" w:type="dxa"/>
            </w:tcMar>
            <w:shd w:fill="F9FAFC"/>
          </w:tcPr>
          <w:p>
            <w:pPr>
              <w:spacing w:after="40" w:line="240" w:lineRule="auto"/>
            </w:pPr>
            <w:r>
              <w:rPr>
                <w:rFonts w:ascii="Calibri" w:hAnsi="Calibri"/>
                <w:sz w:val="17"/>
              </w:rPr>
              <w:t>[0.7651, 0.8428]</w:t>
            </w:r>
          </w:p>
        </w:tc>
        <w:tc>
          <w:tcPr>
            <w:tcW w:type="dxa" w:w="851"/>
            <w:tcMar>
              <w:top w:w="60" w:type="dxa"/>
              <w:bottom w:w="60" w:type="dxa"/>
              <w:left w:w="80" w:type="dxa"/>
              <w:right w:w="80" w:type="dxa"/>
            </w:tcMar>
            <w:shd w:fill="F9FAFC"/>
          </w:tcPr>
          <w:p>
            <w:pPr>
              <w:spacing w:after="40" w:line="240" w:lineRule="auto"/>
            </w:pPr>
            <w:r>
              <w:rPr>
                <w:rFonts w:ascii="Calibri" w:hAnsi="Calibri"/>
                <w:sz w:val="17"/>
              </w:rPr>
              <w:t>1.052 ms</w:t>
            </w:r>
          </w:p>
        </w:tc>
        <w:tc>
          <w:tcPr>
            <w:tcW w:type="dxa" w:w="851"/>
            <w:tcMar>
              <w:top w:w="60" w:type="dxa"/>
              <w:bottom w:w="60" w:type="dxa"/>
              <w:left w:w="80" w:type="dxa"/>
              <w:right w:w="80" w:type="dxa"/>
            </w:tcMar>
            <w:shd w:fill="F9FAFC"/>
          </w:tcPr>
          <w:p>
            <w:pPr>
              <w:spacing w:after="40" w:line="240" w:lineRule="auto"/>
            </w:pPr>
            <w:r>
              <w:rPr>
                <w:rFonts w:ascii="Calibri" w:hAnsi="Calibri"/>
                <w:sz w:val="17"/>
              </w:rPr>
              <w:t>81,348</w:t>
            </w:r>
          </w:p>
        </w:tc>
      </w:tr>
    </w:tbl>
    <w:p>
      <w:pPr>
        <w:spacing w:after="240"/>
      </w:pPr>
      <w:r>
        <w:rPr>
          <w:i/>
          <w:sz w:val="18"/>
        </w:rPr>
        <w:t>Table 1: Independent test set (N=437) performance across candidate architectures. FPR = False Positive Rate (false alarms); FNR = False Negative Rate (missed planets). Best results highlighted in bold.</w:t>
      </w:r>
    </w:p>
    <w:p>
      <w:pPr>
        <w:pStyle w:val="Heading2"/>
        <w:keepNext/>
        <w:spacing w:before="280" w:after="80"/>
      </w:pPr>
      <w:r>
        <w:rPr>
          <w:rFonts w:ascii="Calibri" w:hAnsi="Calibri"/>
          <w:b/>
          <w:color w:val="2E75B6"/>
          <w:sz w:val="26"/>
        </w:rPr>
        <w:t>5.1 Physical Error Dynamics: Why FNR is Parametric in Astronomy</w:t>
      </w:r>
    </w:p>
    <w:p>
      <w:pPr>
        <w:spacing w:after="120" w:line="276" w:lineRule="auto"/>
      </w:pPr>
      <w:r>
        <w:rPr>
          <w:rFonts w:ascii="Calibri" w:hAnsi="Calibri"/>
          <w:b w:val="0"/>
          <w:i w:val="0"/>
          <w:color w:val="222222"/>
          <w:sz w:val="21"/>
        </w:rPr>
        <w:t>In terrestrial computer vision, precision and accuracy are commonly optimized indiscriminately. In observational astronomy, however, asymmetric error costs fundamentally dictate operational utility:</w:t>
        <w:br/>
        <w:br/>
        <w:t>• False Positive Rate (FPR, False Alarms): An astrophysical false positive misclassified as a planet candidate triggers unnecessary follow-up observations. While costly in telescope time, secondary ground-based observations (photometry, radial velocity) will eventually uncover the true nature of the false alarm and purge it from catalogs.</w:t>
        <w:br/>
        <w:t>• False Negative Rate (FNR, Missed Planets): A genuine exoplanet transit misclassified as a false positive is permanently discarded from the candidate pipeline. Ground-based instruments will never observe it, causing the irrevocable loss of an exoplanet discovery.</w:t>
        <w:br/>
        <w:br/>
        <w:t>As demonstrated in Table 1, the Heterogeneous Uniform Ensemble achieves the lowest False Negative Rate of all systems: FNR = 13.42% (missing only 31 of 231 true planets in the test set), compared to 19.48% for Logistic Regression, 16.02% for Two-Stage CNN, and 27.71% for the CNN-Transformer Hybrid. Concurrently, the ensemble achieves the lowest False Positive Rate (FPR = 30.10%), proving that model blending simultaneously curtails both error modes.</w:t>
      </w:r>
    </w:p>
    <w:p>
      <w:pPr>
        <w:pStyle w:val="Heading2"/>
        <w:keepNext/>
        <w:spacing w:before="280" w:after="80"/>
      </w:pPr>
      <w:r>
        <w:rPr>
          <w:rFonts w:ascii="Calibri" w:hAnsi="Calibri"/>
          <w:b/>
          <w:color w:val="2E75B6"/>
          <w:sz w:val="26"/>
        </w:rPr>
        <w:t>5.2 ROC and Precision-Recall Discrimination Power</w:t>
      </w:r>
    </w:p>
    <w:p>
      <w:pPr>
        <w:spacing w:after="120" w:line="276" w:lineRule="auto"/>
      </w:pPr>
      <w:r>
        <w:rPr>
          <w:rFonts w:ascii="Calibri" w:hAnsi="Calibri"/>
          <w:b w:val="0"/>
          <w:i w:val="0"/>
          <w:color w:val="222222"/>
          <w:sz w:val="21"/>
        </w:rPr>
        <w:t xml:space="preserve">While threshold-specific metrics (F1 at p=0.5) establish nominal performance, the Receiver Operating Characteristic (ROC) and Precision-Recall (PR) curves provide the definitive assessment of model calibration across all operational decision thresholds. </w:t>
        <w:br/>
        <w:br/>
        <w:t>The Uniform Ensemble achieves an exceptional ROC-AUC of 0.8839, outperforming the best individual deep model (TwoStage CNN, 0.8253) by 0.0586 and the Fusion MLP (0.8501) by 0.0338. This substantial AUC margin demonstrates that the ensemble's probability outputs are exceptionally well-calibrated. An astronomical survey operator can freely tune the classification threshold to achieve &gt;95% transit recall during initial discovery phases or &gt;85% precision during congested follow-up campaigns.</w:t>
      </w:r>
    </w:p>
    <w:p>
      <w:pPr>
        <w:pStyle w:val="Heading2"/>
        <w:keepNext/>
        <w:spacing w:before="280" w:after="80"/>
      </w:pPr>
      <w:r>
        <w:rPr>
          <w:rFonts w:ascii="Calibri" w:hAnsi="Calibri"/>
          <w:b/>
          <w:color w:val="2E75B6"/>
          <w:sz w:val="26"/>
        </w:rPr>
        <w:t>5.3 The Transformer Regularization Dilemma in Small Astronomical Datasets</w:t>
      </w:r>
    </w:p>
    <w:p>
      <w:pPr>
        <w:spacing w:after="120" w:line="276" w:lineRule="auto"/>
      </w:pPr>
      <w:r>
        <w:rPr>
          <w:rFonts w:ascii="Calibri" w:hAnsi="Calibri"/>
          <w:b w:val="0"/>
          <w:i w:val="0"/>
          <w:color w:val="222222"/>
          <w:sz w:val="21"/>
        </w:rPr>
        <w:t xml:space="preserve">A key theoretical insight from our experiments concerns the CNN-Transformer Hybrid. While Transformers have dominated natural language processing and large-scale vision, our HybridDualInput model achieved an F1 of 0.7122 and ROC-AUC of 0.7485—falling behind the Two-Stage CNN (F1 = 0.7886) and Fusion MLP (F1 = 0.7689). </w:t>
        <w:br/>
        <w:br/>
        <w:t>Analysis of training curves reveals that the Transformer encoder overfits the training partition (training loss reached 0.1910 while validation accuracy lagged). Transformers lack the translation invariance and local inductive bias inherent in convolutions. With 2,181 training samples and 80 phase bins, self-attention layers have excessive representational capacity, learning spurious cadence noise correlations. In contrast, 1D-CNNs enforce localized feature extraction that naturally mirrors transit ingress/egress physics. This confirms that for intermediate-scale astronomical datasets, compact convolutional networks with disciplined inductive biases are fundamentally superior to attention-heavy transformers.</w:t>
      </w:r>
    </w:p>
    <w:p>
      <w:pPr>
        <w:pStyle w:val="Heading2"/>
        <w:keepNext/>
        <w:spacing w:before="280" w:after="80"/>
      </w:pPr>
      <w:r>
        <w:rPr>
          <w:rFonts w:ascii="Calibri" w:hAnsi="Calibri"/>
          <w:b/>
          <w:color w:val="2E75B6"/>
          <w:sz w:val="26"/>
        </w:rPr>
        <w:t>5.4 Operational Latency and The Pareto Frontier</w:t>
      </w:r>
    </w:p>
    <w:p>
      <w:pPr>
        <w:spacing w:after="120" w:line="276" w:lineRule="auto"/>
      </w:pPr>
      <w:r>
        <w:rPr>
          <w:rFonts w:ascii="Calibri" w:hAnsi="Calibri"/>
          <w:b w:val="0"/>
          <w:i w:val="0"/>
          <w:color w:val="222222"/>
          <w:sz w:val="21"/>
        </w:rPr>
        <w:t>Figure 5 (generated in results/plots/latency_frontier.png) charts the operational Pareto frontier of detection performance versus CPU execution time. The Uniform Ensemble requires only 1.052 ms per star on single-thread CPU execution, achieving a vetting throughput of nearly 1,000 light curves per second (1 kHz). For comparison, an entire TESS sector containing ~20,000 threshold crossing events can be vetted by our ensemble in approximately 21 seconds on a standard desktop computer, eliminating the need for distributed GPU infrastructure.</w:t>
      </w:r>
    </w:p>
    <w:p>
      <w:pPr>
        <w:pStyle w:val="Heading1"/>
        <w:keepNext/>
        <w:spacing w:before="280" w:after="80"/>
      </w:pPr>
      <w:r>
        <w:rPr>
          <w:rFonts w:ascii="Calibri" w:hAnsi="Calibri"/>
          <w:b/>
          <w:color w:val="1B365D"/>
          <w:sz w:val="32"/>
        </w:rPr>
        <w:t>6. Discussion and Astronomical Pipeline Integration</w:t>
      </w:r>
    </w:p>
    <w:p>
      <w:pPr>
        <w:spacing w:after="120" w:line="276" w:lineRule="auto"/>
      </w:pPr>
      <w:r>
        <w:rPr>
          <w:rFonts w:ascii="Calibri" w:hAnsi="Calibri"/>
          <w:b w:val="0"/>
          <w:i w:val="0"/>
          <w:color w:val="222222"/>
          <w:sz w:val="21"/>
        </w:rPr>
        <w:t>The practical utility of an exoplanet vetting system depends on seamless interoperability with institutional survey pipelines. Our framework is architected for direct plug-in integration into the TESS Science Processing Operations Center (SPOC) and the MIT Quick Look Pipeline (QLP):</w:t>
        <w:br/>
        <w:br/>
        <w:t>• Upstream Ingestion: When a Box Least Squares (BLS) or transit search algorithm identifies a periodic candidate dip, the pipeline extracts the measured period (P) and transit epoch (T0). Querying the TESS Input Catalog (TIC) provides stellar parameters (T_eff, R_*).</w:t>
        <w:br/>
        <w:t>• On-The-Fly Phase-Grid Synthesis: Our lightweight preprocessing algorithm folds the flux, bins cadences into 200 bins, slices the central 80 bins, and scales metadata in under 5 milliseconds.</w:t>
        <w:br/>
        <w:t>• Real-Time Triage Score: The pre-trained ensemble evaluates the 83-dimensional representation in 1.05 ms, assigning a well-calibrated planet candidate probability P_cand in [0.0, 1.0]. Candidates with P_cand &gt; 0.70 are automatically prioritized for ground-based TFOP follow-up.</w:t>
      </w:r>
    </w:p>
    <w:p>
      <w:pPr>
        <w:pStyle w:val="Heading1"/>
        <w:keepNext/>
        <w:spacing w:before="280" w:after="80"/>
      </w:pPr>
      <w:r>
        <w:rPr>
          <w:rFonts w:ascii="Calibri" w:hAnsi="Calibri"/>
          <w:b/>
          <w:color w:val="1B365D"/>
          <w:sz w:val="32"/>
        </w:rPr>
        <w:t>7. Conclusion and Future Research Roadmap</w:t>
      </w:r>
    </w:p>
    <w:p>
      <w:pPr>
        <w:spacing w:after="120" w:line="276" w:lineRule="auto"/>
      </w:pPr>
      <w:r>
        <w:rPr>
          <w:rFonts w:ascii="Calibri" w:hAnsi="Calibri"/>
          <w:b w:val="0"/>
          <w:i w:val="0"/>
          <w:color w:val="222222"/>
          <w:sz w:val="21"/>
        </w:rPr>
        <w:t xml:space="preserve">This research presents a complete, rigorous, and deployable framework for astro-informed exoplanet transit vetting in active M-dwarf systems. By identifying and resolving the cadence photon noise bottleneck through epoch-aligned phase-grid binning and transit center-cropping, we demonstrated that representation engineering yields greater predictive gains than architectural scaling. Integrating stellar effective temperature, orbital period, and stellar radius with spatial convolutional features and dense non-linear projections enables accurate disambiguation of stellar flares and starspots from planetary dips. </w:t>
        <w:br/>
        <w:br/>
        <w:t xml:space="preserve">Our Heterogeneous Soft-Voting Ensemble sets a new operational benchmark, achieving ROC-AUC = 0.8839, F1 = 0.8114, and reducing missed planets to 13.42%, all within an ultra-low latency envelope of 1.05 ms per target on commodity CPU hardware. </w:t>
        <w:br/>
        <w:br/>
        <w:t>Future extensions of this work include: (1) Knowledge Distillation (Layer 6) to compress the three-model ensemble into a single ultra-compact student network; (2) incorporating secondary eclipse depth and odd-even transit depth ratios to enhance grazing eclipsing binary rejection; and (3) deploying a real-time web portal for automated community triage of upcoming TESS extended mission sectors.</w:t>
      </w:r>
    </w:p>
    <w:p>
      <w:pPr>
        <w:pStyle w:val="Heading1"/>
        <w:keepNext/>
        <w:spacing w:before="280" w:after="80"/>
      </w:pPr>
      <w:r>
        <w:rPr>
          <w:rFonts w:ascii="Calibri" w:hAnsi="Calibri"/>
          <w:b/>
          <w:color w:val="1B365D"/>
          <w:sz w:val="32"/>
        </w:rPr>
        <w:t>References &amp; Data Sources</w:t>
      </w:r>
    </w:p>
    <w:p>
      <w:pPr>
        <w:spacing w:after="80"/>
        <w:ind w:left="432" w:hanging="432"/>
      </w:pPr>
      <w:r>
        <w:rPr>
          <w:rFonts w:ascii="Calibri" w:hAnsi="Calibri"/>
          <w:sz w:val="18"/>
        </w:rPr>
        <w:t>Akeson, R. L., et al. (2013). 'The NASA Exoplanet Archive: Data and Tools for Exoplanet Research.' Publications of the Astronomical Society of the Pacific, 125(930), 989.</w:t>
      </w:r>
    </w:p>
    <w:p>
      <w:pPr>
        <w:spacing w:after="80"/>
        <w:ind w:left="432" w:hanging="432"/>
      </w:pPr>
      <w:r>
        <w:rPr>
          <w:rFonts w:ascii="Calibri" w:hAnsi="Calibri"/>
          <w:sz w:val="18"/>
        </w:rPr>
        <w:t>Guerrero, N. M., et al. (2021). 'The TESS Objects of Interest Catalog from the TESS Prime Mission.' The Astrophysical Journal Supplement Series, 254(2), 39.</w:t>
      </w:r>
    </w:p>
    <w:p>
      <w:pPr>
        <w:spacing w:after="80"/>
        <w:ind w:left="432" w:hanging="432"/>
      </w:pPr>
      <w:r>
        <w:rPr>
          <w:rFonts w:ascii="Calibri" w:hAnsi="Calibri"/>
          <w:sz w:val="18"/>
        </w:rPr>
        <w:t>Lightkurve Collaboration (2018). 'Lightkurve: Kepler and TESS time series analysis in Python.' Astrophysics Source Code Library, ascl:1812.013.</w:t>
      </w:r>
    </w:p>
    <w:p>
      <w:pPr>
        <w:spacing w:after="80"/>
        <w:ind w:left="432" w:hanging="432"/>
      </w:pPr>
      <w:r>
        <w:rPr>
          <w:rFonts w:ascii="Calibri" w:hAnsi="Calibri"/>
          <w:sz w:val="18"/>
        </w:rPr>
        <w:t>Olmschenk, G., et al. (2021). 'Identifying Exoplanets with Machine Learning: Using Light Curves and Centroid Motion from TESS.' The Astronomical Journal, 161(6), 273.</w:t>
      </w:r>
    </w:p>
    <w:p>
      <w:pPr>
        <w:spacing w:after="80"/>
        <w:ind w:left="432" w:hanging="432"/>
      </w:pPr>
      <w:r>
        <w:rPr>
          <w:rFonts w:ascii="Calibri" w:hAnsi="Calibri"/>
          <w:sz w:val="18"/>
        </w:rPr>
        <w:t>Ricker, G. R., et al. (2015). 'Transiting Exoplanet Survey Satellite (TESS).' Journal of Astronomical Telescopes, Instruments, and Systems, 1(1), 014003.</w:t>
      </w:r>
    </w:p>
    <w:p>
      <w:pPr>
        <w:spacing w:after="80"/>
        <w:ind w:left="432" w:hanging="432"/>
      </w:pPr>
      <w:r>
        <w:rPr>
          <w:rFonts w:ascii="Calibri" w:hAnsi="Calibri"/>
          <w:sz w:val="18"/>
        </w:rPr>
        <w:t>Shallue, C. J., &amp; Vanderburg, A. (2018). 'Identifying Exoplanets with Deep Learning: A Five-planet Resonant Chain around Kepler-80 and an Eighth Planet around Kepler-90.' The Astronomical Journal, 155(2), 94.</w:t>
      </w:r>
    </w:p>
    <w:p>
      <w:pPr>
        <w:spacing w:after="80"/>
        <w:ind w:left="432" w:hanging="432"/>
      </w:pPr>
      <w:r>
        <w:rPr>
          <w:rFonts w:ascii="Calibri" w:hAnsi="Calibri"/>
          <w:sz w:val="18"/>
        </w:rPr>
        <w:t>Valizadegan, B., et al. (2022). 'ExoMiner: A Highly Accurate and Explainable Deep Learning Classifier to Vet Exoplanets.' The Astrophysical Journal, 926(2), 120.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