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15D4C" w14:textId="0D83A925" w:rsidR="00941FB4" w:rsidRDefault="00941FB4">
      <w:pPr>
        <w:rPr>
          <w:lang w:val="en-US"/>
        </w:rPr>
      </w:pPr>
      <w:r w:rsidRPr="00941FB4">
        <w:t>I have compiled the table of relevant literature (2019-2025) comparing methods</w:t>
      </w:r>
    </w:p>
    <w:p w14:paraId="4903CC77" w14:textId="77777777" w:rsidR="00941FB4" w:rsidRDefault="00941FB4">
      <w:pPr>
        <w:rPr>
          <w:lang w:val="en-US"/>
        </w:rPr>
      </w:pPr>
    </w:p>
    <w:p w14:paraId="570E76FF" w14:textId="77777777" w:rsidR="00941FB4" w:rsidRDefault="00941FB4">
      <w:pPr>
        <w:rPr>
          <w:lang w:val="en-US"/>
        </w:rPr>
      </w:pPr>
    </w:p>
    <w:tbl>
      <w:tblPr>
        <w:tblW w:w="0" w:type="auto"/>
        <w:tblCellSpacing w:w="15" w:type="dxa"/>
        <w:tblCellMar>
          <w:left w:w="0" w:type="dxa"/>
          <w:right w:w="0" w:type="dxa"/>
        </w:tblCellMar>
        <w:tblLook w:val="04A0" w:firstRow="1" w:lastRow="0" w:firstColumn="1" w:lastColumn="0" w:noHBand="0" w:noVBand="1"/>
      </w:tblPr>
      <w:tblGrid>
        <w:gridCol w:w="1649"/>
        <w:gridCol w:w="933"/>
        <w:gridCol w:w="1835"/>
        <w:gridCol w:w="1954"/>
        <w:gridCol w:w="2639"/>
      </w:tblGrid>
      <w:tr w:rsidR="00941FB4" w:rsidRPr="00941FB4" w14:paraId="57D522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AC810" w14:textId="77777777" w:rsidR="00941FB4" w:rsidRPr="00941FB4" w:rsidRDefault="00941FB4" w:rsidP="00941FB4">
            <w:r w:rsidRPr="00941FB4">
              <w:rPr>
                <w:b/>
                <w:bCs/>
              </w:rPr>
              <w:t>Reference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9FC2E" w14:textId="77777777" w:rsidR="00941FB4" w:rsidRPr="00941FB4" w:rsidRDefault="00941FB4" w:rsidP="00941FB4">
            <w:r w:rsidRPr="00941FB4">
              <w:rPr>
                <w:b/>
                <w:bCs/>
              </w:rPr>
              <w:t>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C5FE8" w14:textId="77777777" w:rsidR="00941FB4" w:rsidRPr="00941FB4" w:rsidRDefault="00941FB4" w:rsidP="00941FB4">
            <w:r w:rsidRPr="00941FB4">
              <w:rPr>
                <w:b/>
                <w:bCs/>
              </w:rPr>
              <w:t>Target Sample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8100A" w14:textId="77777777" w:rsidR="00941FB4" w:rsidRPr="00941FB4" w:rsidRDefault="00941FB4" w:rsidP="00941FB4">
            <w:r w:rsidRPr="00941FB4">
              <w:rPr>
                <w:b/>
                <w:bCs/>
              </w:rPr>
              <w:t>Methodology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C116C" w14:textId="77777777" w:rsidR="00941FB4" w:rsidRPr="00941FB4" w:rsidRDefault="00941FB4" w:rsidP="00941FB4">
            <w:r w:rsidRPr="00941FB4">
              <w:rPr>
                <w:b/>
                <w:bCs/>
              </w:rPr>
              <w:t>Key Contribution / Relevance to Our Work</w:t>
            </w:r>
          </w:p>
        </w:tc>
      </w:tr>
      <w:tr w:rsidR="00941FB4" w:rsidRPr="00941FB4" w14:paraId="53E41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BAAFA" w14:textId="77777777" w:rsidR="00941FB4" w:rsidRPr="00941FB4" w:rsidRDefault="00941FB4" w:rsidP="00941FB4">
            <w:r w:rsidRPr="00941FB4">
              <w:rPr>
                <w:b/>
                <w:bCs/>
              </w:rPr>
              <w:t>Canto Martins et al. (</w:t>
            </w:r>
            <w:proofErr w:type="spellStart"/>
            <w:r w:rsidRPr="00941FB4">
              <w:rPr>
                <w:b/>
                <w:bCs/>
              </w:rPr>
              <w:t>ApJS</w:t>
            </w:r>
            <w:proofErr w:type="spellEnd"/>
            <w:r w:rsidRPr="00941FB4">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B01E0" w14:textId="77777777" w:rsidR="00941FB4" w:rsidRPr="00941FB4" w:rsidRDefault="00941FB4" w:rsidP="00941FB4">
            <w:r w:rsidRPr="00941FB4">
              <w:t>2020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3CC0A" w14:textId="77777777" w:rsidR="00941FB4" w:rsidRPr="00941FB4" w:rsidRDefault="00941FB4" w:rsidP="00941FB4">
            <w:r w:rsidRPr="00941FB4">
              <w:t>TESS Sectors 1–13 (Bright Stars)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7510E" w14:textId="77777777" w:rsidR="00941FB4" w:rsidRPr="00941FB4" w:rsidRDefault="00941FB4" w:rsidP="00941FB4">
            <w:r w:rsidRPr="00941FB4">
              <w:t>Lomb-</w:t>
            </w:r>
            <w:proofErr w:type="spellStart"/>
            <w:r w:rsidRPr="00941FB4">
              <w:t>Scargle</w:t>
            </w:r>
            <w:proofErr w:type="spellEnd"/>
            <w:r w:rsidRPr="00941FB4">
              <w:t xml:space="preserve"> (LS) + Wavelet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D737C" w14:textId="77777777" w:rsidR="00941FB4" w:rsidRPr="00941FB4" w:rsidRDefault="00941FB4" w:rsidP="00941FB4">
            <w:r w:rsidRPr="00941FB4">
              <w:t>Established the baseline for TESS rotation recovery. Found that single-sector data is restricted to detecting periods &lt;13 days, validating our search range of 0.5–15 days.</w:t>
            </w:r>
          </w:p>
        </w:tc>
      </w:tr>
      <w:tr w:rsidR="00941FB4" w:rsidRPr="00941FB4" w14:paraId="19BAE2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3CC6B" w14:textId="77777777" w:rsidR="00941FB4" w:rsidRPr="00941FB4" w:rsidRDefault="00941FB4" w:rsidP="00941FB4">
            <w:r w:rsidRPr="00941FB4">
              <w:rPr>
                <w:b/>
                <w:bCs/>
              </w:rPr>
              <w:t>Ramsay et al. (MNRAS)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60826" w14:textId="77777777" w:rsidR="00941FB4" w:rsidRPr="00941FB4" w:rsidRDefault="00941FB4" w:rsidP="00941FB4">
            <w:r w:rsidRPr="00941FB4">
              <w:t>2020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38D93" w14:textId="77777777" w:rsidR="00941FB4" w:rsidRPr="00941FB4" w:rsidRDefault="00941FB4" w:rsidP="00941FB4">
            <w:r w:rsidRPr="00941FB4">
              <w:t>Southern Hemisphere M-Dwarfs (TESS)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AE5DE" w14:textId="77777777" w:rsidR="00941FB4" w:rsidRPr="00941FB4" w:rsidRDefault="00941FB4" w:rsidP="00941FB4">
            <w:r w:rsidRPr="00941FB4">
              <w:t>Lomb-</w:t>
            </w:r>
            <w:proofErr w:type="spellStart"/>
            <w:r w:rsidRPr="00941FB4">
              <w:t>Scargle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14899" w14:textId="77777777" w:rsidR="00941FB4" w:rsidRPr="00941FB4" w:rsidRDefault="00941FB4" w:rsidP="00941FB4">
            <w:r w:rsidRPr="00941FB4">
              <w:t>Focused specifically on fast-rotating M-dwarfs. Highlighted the correlation between fast rotation and high flare activity, justifying our focus on late-type dwarfs.</w:t>
            </w:r>
          </w:p>
        </w:tc>
      </w:tr>
      <w:tr w:rsidR="00941FB4" w:rsidRPr="00941FB4" w14:paraId="354390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2A960" w14:textId="77777777" w:rsidR="00941FB4" w:rsidRPr="00941FB4" w:rsidRDefault="00941FB4" w:rsidP="00941FB4">
            <w:r w:rsidRPr="00941FB4">
              <w:rPr>
                <w:b/>
                <w:bCs/>
              </w:rPr>
              <w:t>Howard et al. (</w:t>
            </w:r>
            <w:proofErr w:type="spellStart"/>
            <w:r w:rsidRPr="00941FB4">
              <w:rPr>
                <w:b/>
                <w:bCs/>
              </w:rPr>
              <w:t>ApJ</w:t>
            </w:r>
            <w:proofErr w:type="spellEnd"/>
            <w:r w:rsidRPr="00941FB4">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89AD2" w14:textId="77777777" w:rsidR="00941FB4" w:rsidRPr="00941FB4" w:rsidRDefault="00941FB4" w:rsidP="00941FB4">
            <w:r w:rsidRPr="00941FB4">
              <w:t>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8470D" w14:textId="77777777" w:rsidR="00941FB4" w:rsidRPr="00941FB4" w:rsidRDefault="00941FB4" w:rsidP="00941FB4">
            <w:r w:rsidRPr="00941FB4">
              <w:t>TESS Flares &amp; Rotation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A929E" w14:textId="77777777" w:rsidR="00941FB4" w:rsidRPr="00941FB4" w:rsidRDefault="00941FB4" w:rsidP="00941FB4">
            <w:r w:rsidRPr="00941FB4">
              <w:t>LS + Fast Fourier Transform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78985" w14:textId="77777777" w:rsidR="00941FB4" w:rsidRPr="00941FB4" w:rsidRDefault="00941FB4" w:rsidP="00941FB4">
            <w:r w:rsidRPr="00941FB4">
              <w:t>Used 2-minute cadence SPOC data (same as this study). Confirmed that PDCSAP flux preserves rotation signals better than raw SAP for most stars.</w:t>
            </w:r>
          </w:p>
        </w:tc>
      </w:tr>
      <w:tr w:rsidR="00941FB4" w:rsidRPr="00941FB4" w14:paraId="366EA7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E0407" w14:textId="77777777" w:rsidR="00941FB4" w:rsidRPr="00941FB4" w:rsidRDefault="00941FB4" w:rsidP="00941FB4">
            <w:proofErr w:type="spellStart"/>
            <w:r w:rsidRPr="00941FB4">
              <w:rPr>
                <w:b/>
                <w:bCs/>
              </w:rPr>
              <w:lastRenderedPageBreak/>
              <w:t>Magaudda</w:t>
            </w:r>
            <w:proofErr w:type="spellEnd"/>
            <w:r w:rsidRPr="00941FB4">
              <w:rPr>
                <w:b/>
                <w:bCs/>
              </w:rPr>
              <w:t xml:space="preserve"> et al. (A&amp;A)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D74E8" w14:textId="77777777" w:rsidR="00941FB4" w:rsidRPr="00941FB4" w:rsidRDefault="00941FB4" w:rsidP="00941FB4">
            <w:r w:rsidRPr="00941FB4">
              <w:t>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AC591" w14:textId="77777777" w:rsidR="00941FB4" w:rsidRPr="00941FB4" w:rsidRDefault="00941FB4" w:rsidP="00941FB4">
            <w:r w:rsidRPr="00941FB4">
              <w:t>TESS M-Dwarfs (3000+ stars)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A2AFC" w14:textId="77777777" w:rsidR="00941FB4" w:rsidRPr="00941FB4" w:rsidRDefault="00941FB4" w:rsidP="00941FB4">
            <w:r w:rsidRPr="00941FB4">
              <w:t>ACF + Gaussian Processes (GP)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FE130" w14:textId="77777777" w:rsidR="00941FB4" w:rsidRPr="00941FB4" w:rsidRDefault="00941FB4" w:rsidP="00941FB4">
            <w:r w:rsidRPr="00941FB4">
              <w:t>Demonstrated that ACF is more robust than Lomb-</w:t>
            </w:r>
            <w:proofErr w:type="spellStart"/>
            <w:r w:rsidRPr="00941FB4">
              <w:t>Scargle</w:t>
            </w:r>
            <w:proofErr w:type="spellEnd"/>
            <w:r w:rsidRPr="00941FB4">
              <w:t xml:space="preserve"> against artifacts caused by evolving </w:t>
            </w:r>
            <w:proofErr w:type="spellStart"/>
            <w:r w:rsidRPr="00941FB4">
              <w:t>starspots</w:t>
            </w:r>
            <w:proofErr w:type="spellEnd"/>
            <w:r w:rsidRPr="00941FB4">
              <w:t>. Supports our decision to use ACF as a validator.</w:t>
            </w:r>
          </w:p>
        </w:tc>
      </w:tr>
      <w:tr w:rsidR="00941FB4" w:rsidRPr="00941FB4" w14:paraId="741BAD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DF5FB" w14:textId="77777777" w:rsidR="00941FB4" w:rsidRPr="00941FB4" w:rsidRDefault="00941FB4" w:rsidP="00941FB4">
            <w:r w:rsidRPr="00941FB4">
              <w:rPr>
                <w:b/>
                <w:bCs/>
              </w:rPr>
              <w:t>Avallone et al. (A&amp;A)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27566" w14:textId="77777777" w:rsidR="00941FB4" w:rsidRPr="00941FB4" w:rsidRDefault="00941FB4" w:rsidP="00941FB4">
            <w:r w:rsidRPr="00941FB4">
              <w:t>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EB461" w14:textId="77777777" w:rsidR="00941FB4" w:rsidRPr="00941FB4" w:rsidRDefault="00941FB4" w:rsidP="00941FB4">
            <w:r w:rsidRPr="00941FB4">
              <w:t>M-Dwarfs in TESS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ABD7D" w14:textId="77777777" w:rsidR="00941FB4" w:rsidRPr="00941FB4" w:rsidRDefault="00941FB4" w:rsidP="00941FB4">
            <w:r w:rsidRPr="00941FB4">
              <w:t>Generalized Lomb-</w:t>
            </w:r>
            <w:proofErr w:type="spellStart"/>
            <w:r w:rsidRPr="00941FB4">
              <w:t>Scargle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42C7E" w14:textId="77777777" w:rsidR="00941FB4" w:rsidRPr="00941FB4" w:rsidRDefault="00941FB4" w:rsidP="00941FB4">
            <w:r w:rsidRPr="00941FB4">
              <w:t>Explicitly noted the prevalence of the "</w:t>
            </w:r>
            <w:proofErr w:type="gramStart"/>
            <w:r w:rsidRPr="00941FB4">
              <w:t>double-dip</w:t>
            </w:r>
            <w:proofErr w:type="gramEnd"/>
            <w:r w:rsidRPr="00941FB4">
              <w:t>" harmonic issue in spotted stars. Supports our inclusion of a harmonic-correction logic step.</w:t>
            </w:r>
          </w:p>
        </w:tc>
      </w:tr>
      <w:tr w:rsidR="00941FB4" w:rsidRPr="00941FB4" w14:paraId="1B6BF1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EA509" w14:textId="77777777" w:rsidR="00941FB4" w:rsidRPr="00941FB4" w:rsidRDefault="00941FB4" w:rsidP="00941FB4">
            <w:r w:rsidRPr="00941FB4">
              <w:rPr>
                <w:b/>
                <w:bCs/>
              </w:rPr>
              <w:t>Paudel et al. (Preprint)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E32CB" w14:textId="77777777" w:rsidR="00941FB4" w:rsidRPr="00941FB4" w:rsidRDefault="00941FB4" w:rsidP="00941FB4">
            <w:r w:rsidRPr="00941FB4">
              <w:t>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F7E7F" w14:textId="77777777" w:rsidR="00941FB4" w:rsidRPr="00941FB4" w:rsidRDefault="00941FB4" w:rsidP="00941FB4">
            <w:r w:rsidRPr="00941FB4">
              <w:t>Specific TESS Targets (e.g., TIC 445493624)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4A56E" w14:textId="77777777" w:rsidR="00941FB4" w:rsidRPr="00941FB4" w:rsidRDefault="00941FB4" w:rsidP="00941FB4">
            <w:r w:rsidRPr="00941FB4">
              <w:t>Visual Inspection + 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B37E3" w14:textId="77777777" w:rsidR="00941FB4" w:rsidRPr="00941FB4" w:rsidRDefault="00941FB4" w:rsidP="00941FB4">
            <w:r w:rsidRPr="00941FB4">
              <w:t>Validated the rotation period of our specific test star. Highlighted the physical reality of the P/2 harmonic due to spot geometry.</w:t>
            </w:r>
          </w:p>
        </w:tc>
      </w:tr>
      <w:tr w:rsidR="00941FB4" w:rsidRPr="00941FB4" w14:paraId="70B380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B2CAB" w14:textId="77777777" w:rsidR="00941FB4" w:rsidRPr="00941FB4" w:rsidRDefault="00941FB4" w:rsidP="00941FB4">
            <w:r w:rsidRPr="00941FB4">
              <w:rPr>
                <w:b/>
                <w:bCs/>
              </w:rPr>
              <w:t>This 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D4D1F" w14:textId="77777777" w:rsidR="00941FB4" w:rsidRPr="00941FB4" w:rsidRDefault="00941FB4" w:rsidP="00941FB4">
            <w:r w:rsidRPr="00941FB4">
              <w:t>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49686" w14:textId="77777777" w:rsidR="00941FB4" w:rsidRPr="00941FB4" w:rsidRDefault="00941FB4" w:rsidP="00941FB4">
            <w:r w:rsidRPr="00941FB4">
              <w:t>TESS Sector 18 Late-Type Dwarfs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F5AB0" w14:textId="77777777" w:rsidR="00941FB4" w:rsidRPr="00941FB4" w:rsidRDefault="00941FB4" w:rsidP="00941FB4">
            <w:r w:rsidRPr="00941FB4">
              <w:t>Hybrid LS + ACF + Harmonic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6DAC5" w14:textId="77777777" w:rsidR="00941FB4" w:rsidRPr="00941FB4" w:rsidRDefault="00941FB4" w:rsidP="00941FB4">
            <w:r w:rsidRPr="00941FB4">
              <w:rPr>
                <w:b/>
                <w:bCs/>
              </w:rPr>
              <w:t>Novelty:</w:t>
            </w:r>
            <w:r w:rsidRPr="00941FB4">
              <w:t xml:space="preserve"> Application of a conservative preprocessing pipeline (no flattening) and automated harmonic decision trees to </w:t>
            </w:r>
            <w:r w:rsidRPr="00941FB4">
              <w:lastRenderedPageBreak/>
              <w:t>correlate rotation with exoplanet multiplicity.</w:t>
            </w:r>
          </w:p>
        </w:tc>
      </w:tr>
    </w:tbl>
    <w:p w14:paraId="5933A1EE" w14:textId="77777777" w:rsidR="00941FB4" w:rsidRDefault="00941FB4">
      <w:pPr>
        <w:rPr>
          <w:lang w:val="en-US"/>
        </w:rPr>
      </w:pPr>
    </w:p>
    <w:p w14:paraId="2C1625D3" w14:textId="77777777" w:rsidR="00B76BC5" w:rsidRDefault="00B76BC5">
      <w:pPr>
        <w:rPr>
          <w:lang w:val="en-US"/>
        </w:rPr>
      </w:pPr>
    </w:p>
    <w:p w14:paraId="20DA915A" w14:textId="72939159" w:rsidR="00B76BC5" w:rsidRDefault="00A63433">
      <w:pPr>
        <w:rPr>
          <w:lang w:val="en-US"/>
        </w:rPr>
      </w:pPr>
      <w:r w:rsidRPr="00A63433">
        <w:rPr>
          <w:b/>
          <w:bCs/>
        </w:rPr>
        <w:t>McQuillan et al.</w:t>
      </w:r>
      <w:r w:rsidRPr="00A63433">
        <w:t>2013 / 2014</w:t>
      </w:r>
      <w:r>
        <w:t xml:space="preserve"> </w:t>
      </w:r>
      <w:r w:rsidRPr="00A63433">
        <w:t>ACF on Kepler M-dwarfs</w:t>
      </w:r>
      <w:r>
        <w:br/>
      </w:r>
      <w:r w:rsidRPr="00A63433">
        <w:rPr>
          <w:b/>
          <w:bCs/>
        </w:rPr>
        <w:t>Foundational Method:</w:t>
      </w:r>
      <w:r w:rsidRPr="00A63433">
        <w:t xml:space="preserve"> Established the standard for using ACF to detect rotation in M-dwarfs. We adopted their core metric: identifying the first significant peak of the ACF to avoid periodogram aliasing.</w:t>
      </w:r>
      <w:r>
        <w:br/>
      </w:r>
      <w:r>
        <w:br/>
      </w:r>
    </w:p>
    <w:p w14:paraId="02C96F76" w14:textId="77777777" w:rsidR="002C645F" w:rsidRPr="002C645F" w:rsidRDefault="002C645F" w:rsidP="002C645F">
      <w:r w:rsidRPr="002C645F">
        <w:t>Stellar rotation periods have been extensively studied using space-based photometric missions such as Kepler and, more recently, the Transiting Exoplanet Survey Satellite (TESS). While Kepler provided long, nearly continuous observing baselines that enabled robust recovery of slow stellar rotation periods, TESS adopts a sector-based observing strategy with typical baselines of approximately 27 days, which limits sensitivity to longer periods in single sectors. This fundamental difference imposes practical constraints on the range of rotation periods that can be reliably detected from single-sector TESS data and is widely recognized in the rotation literature.</w:t>
      </w:r>
      <w:r w:rsidRPr="002C645F">
        <w:rPr>
          <w:rFonts w:ascii="Arial" w:hAnsi="Arial" w:cs="Arial"/>
        </w:rPr>
        <w:t>​</w:t>
      </w:r>
    </w:p>
    <w:p w14:paraId="04C5A72F" w14:textId="77777777" w:rsidR="002C645F" w:rsidRPr="002C645F" w:rsidRDefault="002C645F" w:rsidP="002C645F">
      <w:r w:rsidRPr="002C645F">
        <w:t xml:space="preserve">Several studies using early TESS observations have shown that reliable rotation period recovery from individual sectors is primarily limited to fast and intermediate rotators. For example, Canto Martins et al. (2020) </w:t>
      </w:r>
      <w:proofErr w:type="spellStart"/>
      <w:r w:rsidRPr="002C645F">
        <w:t>analyzed</w:t>
      </w:r>
      <w:proofErr w:type="spellEnd"/>
      <w:r w:rsidRPr="002C645F">
        <w:t xml:space="preserve"> rotation periods derived from single-sector TESS data using Lomb–</w:t>
      </w:r>
      <w:proofErr w:type="spellStart"/>
      <w:r w:rsidRPr="002C645F">
        <w:t>Scargle</w:t>
      </w:r>
      <w:proofErr w:type="spellEnd"/>
      <w:r w:rsidRPr="002C645F">
        <w:t xml:space="preserve"> periodograms and reported that most secure detections cluster at periods shorter than roughly 10–13 days, reflecting both the finite baseline and systematics near the TESS orbital timescale. These results motivate the common practice of restricting single-sector period searches to relatively short timescales.</w:t>
      </w:r>
      <w:r w:rsidRPr="002C645F">
        <w:rPr>
          <w:rFonts w:ascii="Arial" w:hAnsi="Arial" w:cs="Arial"/>
        </w:rPr>
        <w:t>​</w:t>
      </w:r>
    </w:p>
    <w:p w14:paraId="2DAB7B16" w14:textId="77777777" w:rsidR="002C645F" w:rsidRPr="002C645F" w:rsidRDefault="002C645F" w:rsidP="002C645F">
      <w:r w:rsidRPr="002C645F">
        <w:t xml:space="preserve">Late-type dwarf stars are particularly suitable targets for TESS-based rotation studies due to their strong magnetic activity and comparatively large photometric modulation amplitudes. Multiple investigations of M dwarfs observed by TESS have reported a prevalence of rapid rotation and associated activity signatures, including frequent flares, among stars with detectable rotation periods in single-sector data. These </w:t>
      </w:r>
      <w:r w:rsidRPr="002C645F">
        <w:lastRenderedPageBreak/>
        <w:t>findings support a focus on late-K and M dwarfs when studying stellar rotation using short-baseline TESS observations.</w:t>
      </w:r>
      <w:r w:rsidRPr="002C645F">
        <w:rPr>
          <w:rFonts w:ascii="Arial" w:hAnsi="Arial" w:cs="Arial"/>
        </w:rPr>
        <w:t>​</w:t>
      </w:r>
    </w:p>
    <w:p w14:paraId="269DD0A1" w14:textId="77777777" w:rsidR="002C645F" w:rsidRPr="002C645F" w:rsidRDefault="002C645F" w:rsidP="002C645F">
      <w:r w:rsidRPr="002C645F">
        <w:t>The choice of photometric data products and preprocessing strategies also influences rotation recovery. Many TESS rotation and activity studies rely on SPOC-produced PDCSAP light curves, which apply systematic error corrections while generally preserving variability on typical rotational timescales, although over-correction of long-period signals remains a known concern. As a result, PDCSAP flux has become a standard input for large-scale TESS rotation analyses, particularly when using 2-minute cadence data.</w:t>
      </w:r>
      <w:r w:rsidRPr="002C645F">
        <w:rPr>
          <w:rFonts w:ascii="Arial" w:hAnsi="Arial" w:cs="Arial"/>
        </w:rPr>
        <w:t>​</w:t>
      </w:r>
    </w:p>
    <w:p w14:paraId="0F596C52" w14:textId="77777777" w:rsidR="002C645F" w:rsidRPr="002C645F" w:rsidRDefault="002C645F" w:rsidP="002C645F">
      <w:r w:rsidRPr="002C645F">
        <w:t>In addition to frequency-domain approaches such as the Lomb–</w:t>
      </w:r>
      <w:proofErr w:type="spellStart"/>
      <w:r w:rsidRPr="002C645F">
        <w:t>Scargle</w:t>
      </w:r>
      <w:proofErr w:type="spellEnd"/>
      <w:r w:rsidRPr="002C645F">
        <w:t xml:space="preserve"> periodogram, time-domain methods have been widely adopted to improve robustness against evolving </w:t>
      </w:r>
      <w:proofErr w:type="spellStart"/>
      <w:r w:rsidRPr="002C645F">
        <w:t>starspot</w:t>
      </w:r>
      <w:proofErr w:type="spellEnd"/>
      <w:r w:rsidRPr="002C645F">
        <w:t xml:space="preserve"> patterns. Autocorrelation function (ACF) analyses and related techniques have been applied in both Kepler and TESS contexts to identify rotation periods that might be missed or misidentified by periodograms alone, especially when spot evolution or differential rotation broadens or splits the dominant peaks. These complementary diagnostics help reduce ambiguities in period determination.</w:t>
      </w:r>
      <w:r w:rsidRPr="002C645F">
        <w:rPr>
          <w:rFonts w:ascii="Arial" w:hAnsi="Arial" w:cs="Arial"/>
        </w:rPr>
        <w:t>​</w:t>
      </w:r>
    </w:p>
    <w:p w14:paraId="749D4DFB" w14:textId="77777777" w:rsidR="002C645F" w:rsidRPr="002C645F" w:rsidRDefault="002C645F" w:rsidP="002C645F">
      <w:r w:rsidRPr="002C645F">
        <w:t xml:space="preserve">A persistent challenge in stellar rotation studies is the prevalence of harmonic signals, particularly half-period aliases produced by </w:t>
      </w:r>
      <w:proofErr w:type="spellStart"/>
      <w:r w:rsidRPr="002C645F">
        <w:t>starspot</w:t>
      </w:r>
      <w:proofErr w:type="spellEnd"/>
      <w:r w:rsidRPr="002C645F">
        <w:t xml:space="preserve"> groups on opposite hemispheres, which give rise to the characteristic “</w:t>
      </w:r>
      <w:proofErr w:type="gramStart"/>
      <w:r w:rsidRPr="002C645F">
        <w:t>double-dip</w:t>
      </w:r>
      <w:proofErr w:type="gramEnd"/>
      <w:r w:rsidRPr="002C645F">
        <w:t xml:space="preserve">” morphology. This morphology is well documented in spotted stars and can cause automated algorithms to recover harmonic periods rather than the true rotation period. Consequently, several large rotation </w:t>
      </w:r>
      <w:proofErr w:type="spellStart"/>
      <w:r w:rsidRPr="002C645F">
        <w:t>catalogs</w:t>
      </w:r>
      <w:proofErr w:type="spellEnd"/>
      <w:r w:rsidRPr="002C645F">
        <w:t xml:space="preserve"> incorporate some form of harmonic correction or post-processing, though such treatments are often implicit and do not always explicitly flag ambiguous cases.</w:t>
      </w:r>
      <w:r w:rsidRPr="002C645F">
        <w:rPr>
          <w:rFonts w:ascii="Arial" w:hAnsi="Arial" w:cs="Arial"/>
        </w:rPr>
        <w:t>​</w:t>
      </w:r>
    </w:p>
    <w:p w14:paraId="51C5839E" w14:textId="77777777" w:rsidR="002C645F" w:rsidRPr="002C645F" w:rsidRDefault="002C645F" w:rsidP="002C645F">
      <w:r w:rsidRPr="002C645F">
        <w:t xml:space="preserve">Despite these advances, many existing TESS-based rotation </w:t>
      </w:r>
      <w:proofErr w:type="spellStart"/>
      <w:r w:rsidRPr="002C645F">
        <w:t>catalogs</w:t>
      </w:r>
      <w:proofErr w:type="spellEnd"/>
      <w:r w:rsidRPr="002C645F">
        <w:t xml:space="preserve"> still rely primarily on a single detection method or on automated harmonic handling that does not clearly separate robust measurements from potentially ambiguous ones. In contrast, the present work adopts a hybrid framework that combines Lomb–</w:t>
      </w:r>
      <w:proofErr w:type="spellStart"/>
      <w:r w:rsidRPr="002C645F">
        <w:t>Scargle</w:t>
      </w:r>
      <w:proofErr w:type="spellEnd"/>
      <w:r w:rsidRPr="002C645F">
        <w:t xml:space="preserve"> and ACF diagnostics with an explicit, harmonic-aware decision logic. By conservatively handling ambiguous detections and avoiding aggressive detrending, this study aims to construct a reliability-aware rotation </w:t>
      </w:r>
      <w:proofErr w:type="spellStart"/>
      <w:r w:rsidRPr="002C645F">
        <w:t>catalog</w:t>
      </w:r>
      <w:proofErr w:type="spellEnd"/>
      <w:r w:rsidRPr="002C645F">
        <w:t xml:space="preserve"> tailored to the constraints of single-sector TESS observations, providing a solid basis for population-level analyses of late-type dwarf stars.</w:t>
      </w:r>
      <w:r w:rsidRPr="002C645F">
        <w:rPr>
          <w:rFonts w:ascii="Arial" w:hAnsi="Arial" w:cs="Arial"/>
        </w:rPr>
        <w:t>​</w:t>
      </w:r>
    </w:p>
    <w:p w14:paraId="795A05BA" w14:textId="77777777" w:rsidR="002C645F" w:rsidRDefault="002C645F">
      <w:pPr>
        <w:rPr>
          <w:lang w:val="en-US"/>
        </w:rPr>
      </w:pPr>
    </w:p>
    <w:p w14:paraId="3811D354" w14:textId="77777777" w:rsidR="00551AC5" w:rsidRPr="00941FB4" w:rsidRDefault="00551AC5">
      <w:pPr>
        <w:rPr>
          <w:lang w:val="en-US"/>
        </w:rPr>
      </w:pPr>
    </w:p>
    <w:sectPr w:rsidR="00551AC5" w:rsidRPr="00941F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CE8"/>
    <w:rsid w:val="0003438A"/>
    <w:rsid w:val="000956D2"/>
    <w:rsid w:val="002C645F"/>
    <w:rsid w:val="00551AC5"/>
    <w:rsid w:val="00941FB4"/>
    <w:rsid w:val="009C1331"/>
    <w:rsid w:val="00A63433"/>
    <w:rsid w:val="00AC3054"/>
    <w:rsid w:val="00B76BC5"/>
    <w:rsid w:val="00C22112"/>
    <w:rsid w:val="00C60CE8"/>
    <w:rsid w:val="00F31D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A306F"/>
  <w15:chartTrackingRefBased/>
  <w15:docId w15:val="{7471C1C3-C598-408C-ABF1-9727C074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CE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60CE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60CE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60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CE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60CE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60CE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60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CE8"/>
    <w:rPr>
      <w:rFonts w:eastAsiaTheme="majorEastAsia" w:cstheme="majorBidi"/>
      <w:color w:val="272727" w:themeColor="text1" w:themeTint="D8"/>
    </w:rPr>
  </w:style>
  <w:style w:type="paragraph" w:styleId="Title">
    <w:name w:val="Title"/>
    <w:basedOn w:val="Normal"/>
    <w:next w:val="Normal"/>
    <w:link w:val="TitleChar"/>
    <w:uiPriority w:val="10"/>
    <w:qFormat/>
    <w:rsid w:val="00C60C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60CE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60CE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60C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60CE8"/>
    <w:pPr>
      <w:spacing w:before="160"/>
      <w:jc w:val="center"/>
    </w:pPr>
    <w:rPr>
      <w:i/>
      <w:iCs/>
      <w:color w:val="404040" w:themeColor="text1" w:themeTint="BF"/>
    </w:rPr>
  </w:style>
  <w:style w:type="character" w:customStyle="1" w:styleId="QuoteChar">
    <w:name w:val="Quote Char"/>
    <w:basedOn w:val="DefaultParagraphFont"/>
    <w:link w:val="Quote"/>
    <w:uiPriority w:val="29"/>
    <w:rsid w:val="00C60CE8"/>
    <w:rPr>
      <w:i/>
      <w:iCs/>
      <w:color w:val="404040" w:themeColor="text1" w:themeTint="BF"/>
    </w:rPr>
  </w:style>
  <w:style w:type="paragraph" w:styleId="ListParagraph">
    <w:name w:val="List Paragraph"/>
    <w:basedOn w:val="Normal"/>
    <w:uiPriority w:val="34"/>
    <w:qFormat/>
    <w:rsid w:val="00C60CE8"/>
    <w:pPr>
      <w:ind w:left="720"/>
      <w:contextualSpacing/>
    </w:pPr>
  </w:style>
  <w:style w:type="character" w:styleId="IntenseEmphasis">
    <w:name w:val="Intense Emphasis"/>
    <w:basedOn w:val="DefaultParagraphFont"/>
    <w:uiPriority w:val="21"/>
    <w:qFormat/>
    <w:rsid w:val="00C60CE8"/>
    <w:rPr>
      <w:i/>
      <w:iCs/>
      <w:color w:val="0F4761" w:themeColor="accent1" w:themeShade="BF"/>
    </w:rPr>
  </w:style>
  <w:style w:type="paragraph" w:styleId="IntenseQuote">
    <w:name w:val="Intense Quote"/>
    <w:basedOn w:val="Normal"/>
    <w:next w:val="Normal"/>
    <w:link w:val="IntenseQuoteChar"/>
    <w:uiPriority w:val="30"/>
    <w:qFormat/>
    <w:rsid w:val="00C60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CE8"/>
    <w:rPr>
      <w:i/>
      <w:iCs/>
      <w:color w:val="0F4761" w:themeColor="accent1" w:themeShade="BF"/>
    </w:rPr>
  </w:style>
  <w:style w:type="character" w:styleId="IntenseReference">
    <w:name w:val="Intense Reference"/>
    <w:basedOn w:val="DefaultParagraphFont"/>
    <w:uiPriority w:val="32"/>
    <w:qFormat/>
    <w:rsid w:val="00C60C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4</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Kushwaha</dc:creator>
  <cp:keywords/>
  <dc:description/>
  <cp:lastModifiedBy>Mukund Kushwaha</cp:lastModifiedBy>
  <cp:revision>5</cp:revision>
  <dcterms:created xsi:type="dcterms:W3CDTF">2025-12-16T09:10:00Z</dcterms:created>
  <dcterms:modified xsi:type="dcterms:W3CDTF">2025-12-31T20:50:00Z</dcterms:modified>
</cp:coreProperties>
</file>